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37C5" w14:textId="730BAAA6" w:rsidR="00102493" w:rsidRDefault="00102493" w:rsidP="00102493">
      <w:pPr>
        <w:spacing w:line="276" w:lineRule="auto"/>
        <w:jc w:val="both"/>
        <w:rPr>
          <w:rFonts w:eastAsia="Calibri" w:cs="Arial"/>
          <w:b/>
          <w:bCs/>
          <w:szCs w:val="20"/>
          <w:lang w:val="en-GB"/>
        </w:rPr>
      </w:pPr>
      <w:r>
        <w:rPr>
          <w:rFonts w:eastAsia="Calibri" w:cs="Arial"/>
          <w:b/>
          <w:bCs/>
          <w:szCs w:val="20"/>
          <w:lang w:val="en-GB"/>
        </w:rPr>
        <w:t xml:space="preserve">ANNEX: </w:t>
      </w:r>
    </w:p>
    <w:p w14:paraId="1399BB8F" w14:textId="77777777" w:rsidR="00102493" w:rsidRDefault="00102493" w:rsidP="00102493">
      <w:pPr>
        <w:spacing w:line="276" w:lineRule="auto"/>
        <w:jc w:val="both"/>
        <w:rPr>
          <w:rFonts w:eastAsia="Calibri" w:cs="Arial"/>
          <w:b/>
          <w:bCs/>
          <w:szCs w:val="20"/>
          <w:lang w:val="en-GB"/>
        </w:rPr>
      </w:pPr>
    </w:p>
    <w:p w14:paraId="5A5476AA" w14:textId="41104E4D" w:rsidR="00102493" w:rsidRPr="00102493" w:rsidRDefault="00102493" w:rsidP="00102493">
      <w:pPr>
        <w:spacing w:line="276" w:lineRule="auto"/>
        <w:jc w:val="both"/>
        <w:rPr>
          <w:rFonts w:eastAsia="Calibri" w:cs="Arial"/>
          <w:b/>
          <w:bCs/>
          <w:szCs w:val="20"/>
          <w:lang w:val="en-GB"/>
        </w:rPr>
      </w:pPr>
      <w:r w:rsidRPr="00102493">
        <w:rPr>
          <w:rFonts w:eastAsia="Calibri" w:cs="Arial"/>
          <w:b/>
          <w:bCs/>
          <w:szCs w:val="20"/>
          <w:lang w:val="en-GB"/>
        </w:rPr>
        <w:t>WORKING TRANSLATION OF THE ABOVE-MENTIONED ARTICLES OF THE SLOVENIAN LEGISLATION</w:t>
      </w:r>
      <w:r>
        <w:rPr>
          <w:rFonts w:eastAsia="Calibri" w:cs="Arial"/>
          <w:b/>
          <w:bCs/>
          <w:szCs w:val="20"/>
          <w:lang w:val="en-GB"/>
        </w:rPr>
        <w:t>:</w:t>
      </w:r>
    </w:p>
    <w:p w14:paraId="6B901DC7" w14:textId="47DE0795" w:rsidR="002A0B22" w:rsidRPr="002420B9" w:rsidRDefault="002A0B22">
      <w:pPr>
        <w:rPr>
          <w:rFonts w:cs="Arial"/>
          <w:szCs w:val="20"/>
        </w:rPr>
      </w:pPr>
    </w:p>
    <w:tbl>
      <w:tblPr>
        <w:tblW w:w="4798" w:type="pct"/>
        <w:tblInd w:w="392" w:type="dxa"/>
        <w:tblCellMar>
          <w:left w:w="0" w:type="dxa"/>
          <w:right w:w="0" w:type="dxa"/>
        </w:tblCellMar>
        <w:tblLook w:val="04A0" w:firstRow="1" w:lastRow="0" w:firstColumn="1" w:lastColumn="0" w:noHBand="0" w:noVBand="1"/>
      </w:tblPr>
      <w:tblGrid>
        <w:gridCol w:w="8226"/>
      </w:tblGrid>
      <w:tr w:rsidR="002A0B22" w:rsidRPr="00DA58E1" w14:paraId="563FC4EF" w14:textId="77777777" w:rsidTr="002A0B22">
        <w:trPr>
          <w:trHeight w:val="20"/>
        </w:trPr>
        <w:tc>
          <w:tcPr>
            <w:tcW w:w="2504" w:type="pct"/>
            <w:tcMar>
              <w:top w:w="0" w:type="dxa"/>
              <w:left w:w="108" w:type="dxa"/>
              <w:bottom w:w="0" w:type="dxa"/>
              <w:right w:w="108" w:type="dxa"/>
            </w:tcMar>
            <w:hideMark/>
          </w:tcPr>
          <w:p w14:paraId="79E04F0B" w14:textId="44512EFA" w:rsidR="002A0B22" w:rsidRPr="00DA58E1" w:rsidRDefault="00CC7761" w:rsidP="00CC7761">
            <w:pPr>
              <w:pStyle w:val="len"/>
              <w:jc w:val="left"/>
              <w:rPr>
                <w:sz w:val="20"/>
                <w:szCs w:val="20"/>
                <w:lang w:val="en-GB"/>
              </w:rPr>
            </w:pPr>
            <w:r w:rsidRPr="00DA58E1">
              <w:rPr>
                <w:sz w:val="20"/>
                <w:szCs w:val="20"/>
                <w:lang w:val="en-GB"/>
              </w:rPr>
              <w:t>CRIMINAL PROCEDURE ACT</w:t>
            </w:r>
          </w:p>
          <w:p w14:paraId="2D454A4A" w14:textId="77777777" w:rsidR="002A0B22" w:rsidRPr="00DA58E1" w:rsidRDefault="002A0B22">
            <w:pPr>
              <w:pStyle w:val="len"/>
              <w:rPr>
                <w:sz w:val="20"/>
                <w:szCs w:val="20"/>
                <w:lang w:val="en-GB"/>
              </w:rPr>
            </w:pPr>
            <w:r w:rsidRPr="00DA58E1">
              <w:rPr>
                <w:sz w:val="20"/>
                <w:szCs w:val="20"/>
                <w:lang w:val="en-GB"/>
              </w:rPr>
              <w:t>Article 18a</w:t>
            </w:r>
          </w:p>
        </w:tc>
      </w:tr>
      <w:tr w:rsidR="002A0B22" w:rsidRPr="00DA58E1" w14:paraId="7B028183" w14:textId="77777777" w:rsidTr="002A0B22">
        <w:trPr>
          <w:trHeight w:val="20"/>
        </w:trPr>
        <w:tc>
          <w:tcPr>
            <w:tcW w:w="2504" w:type="pct"/>
            <w:tcMar>
              <w:top w:w="0" w:type="dxa"/>
              <w:left w:w="108" w:type="dxa"/>
              <w:bottom w:w="0" w:type="dxa"/>
              <w:right w:w="108" w:type="dxa"/>
            </w:tcMar>
          </w:tcPr>
          <w:p w14:paraId="6772ECAC" w14:textId="77777777" w:rsidR="002A0B22" w:rsidRPr="00DA58E1" w:rsidRDefault="002A0B22">
            <w:pPr>
              <w:pStyle w:val="Odstavek"/>
              <w:rPr>
                <w:sz w:val="20"/>
                <w:szCs w:val="20"/>
                <w:lang w:val="en-GB" w:eastAsia="ar-SA"/>
              </w:rPr>
            </w:pPr>
            <w:r w:rsidRPr="00DA58E1">
              <w:rPr>
                <w:sz w:val="20"/>
                <w:szCs w:val="20"/>
                <w:lang w:val="en-GB" w:eastAsia="ar-SA"/>
              </w:rPr>
              <w:t xml:space="preserve">The police, </w:t>
            </w:r>
            <w:r w:rsidRPr="00DA58E1">
              <w:rPr>
                <w:sz w:val="20"/>
                <w:szCs w:val="20"/>
                <w:lang w:val="en-GB"/>
              </w:rPr>
              <w:t xml:space="preserve">the state prosecution service, </w:t>
            </w:r>
            <w:r w:rsidRPr="00DA58E1">
              <w:rPr>
                <w:sz w:val="20"/>
                <w:szCs w:val="20"/>
                <w:lang w:val="en-GB" w:eastAsia="ar-SA"/>
              </w:rPr>
              <w:t xml:space="preserve">courts and other </w:t>
            </w:r>
            <w:r w:rsidRPr="00DA58E1">
              <w:rPr>
                <w:sz w:val="20"/>
                <w:szCs w:val="20"/>
                <w:lang w:val="en-GB"/>
              </w:rPr>
              <w:t>state</w:t>
            </w:r>
            <w:r w:rsidRPr="00DA58E1">
              <w:rPr>
                <w:sz w:val="20"/>
                <w:szCs w:val="20"/>
                <w:lang w:val="en-GB" w:eastAsia="ar-SA"/>
              </w:rPr>
              <w:t xml:space="preserve"> authorities, experts, </w:t>
            </w:r>
            <w:r w:rsidRPr="00DA58E1">
              <w:rPr>
                <w:sz w:val="20"/>
                <w:szCs w:val="20"/>
                <w:lang w:val="en-GB"/>
              </w:rPr>
              <w:t>expert witnesses</w:t>
            </w:r>
            <w:r w:rsidRPr="00DA58E1">
              <w:rPr>
                <w:sz w:val="20"/>
                <w:szCs w:val="20"/>
                <w:lang w:val="en-GB" w:eastAsia="ar-SA"/>
              </w:rPr>
              <w:t xml:space="preserve">, court and other interpreters and </w:t>
            </w:r>
            <w:r w:rsidRPr="00DA58E1">
              <w:rPr>
                <w:sz w:val="20"/>
                <w:szCs w:val="20"/>
                <w:lang w:val="en-GB"/>
              </w:rPr>
              <w:t xml:space="preserve">mediators </w:t>
            </w:r>
            <w:r w:rsidRPr="00DA58E1">
              <w:rPr>
                <w:sz w:val="20"/>
                <w:szCs w:val="20"/>
                <w:lang w:val="en-GB" w:eastAsia="ar-SA"/>
              </w:rPr>
              <w:t xml:space="preserve">must treat the injured parties, suspects, </w:t>
            </w:r>
            <w:r w:rsidRPr="00DA58E1">
              <w:rPr>
                <w:sz w:val="20"/>
                <w:szCs w:val="20"/>
                <w:lang w:val="en-GB"/>
              </w:rPr>
              <w:t>accused persons</w:t>
            </w:r>
            <w:r w:rsidRPr="00DA58E1">
              <w:rPr>
                <w:sz w:val="20"/>
                <w:szCs w:val="20"/>
                <w:lang w:val="en-GB" w:eastAsia="ar-SA"/>
              </w:rPr>
              <w:t xml:space="preserve"> and convicts </w:t>
            </w:r>
            <w:r w:rsidRPr="00DA58E1">
              <w:rPr>
                <w:sz w:val="20"/>
                <w:szCs w:val="20"/>
                <w:lang w:val="en-GB"/>
              </w:rPr>
              <w:t xml:space="preserve">with </w:t>
            </w:r>
            <w:r w:rsidRPr="00DA58E1">
              <w:rPr>
                <w:sz w:val="20"/>
                <w:szCs w:val="20"/>
                <w:lang w:val="en-GB" w:eastAsia="ar-SA"/>
              </w:rPr>
              <w:t xml:space="preserve">particular </w:t>
            </w:r>
            <w:r w:rsidRPr="00DA58E1">
              <w:rPr>
                <w:sz w:val="20"/>
                <w:szCs w:val="20"/>
                <w:lang w:val="en-GB"/>
              </w:rPr>
              <w:t>care</w:t>
            </w:r>
            <w:r w:rsidRPr="00DA58E1">
              <w:rPr>
                <w:sz w:val="20"/>
                <w:szCs w:val="20"/>
                <w:lang w:val="en-GB" w:eastAsia="ar-SA"/>
              </w:rPr>
              <w:t xml:space="preserve"> and </w:t>
            </w:r>
            <w:r w:rsidRPr="00DA58E1">
              <w:rPr>
                <w:sz w:val="20"/>
                <w:szCs w:val="20"/>
                <w:lang w:val="en-GB"/>
              </w:rPr>
              <w:t>act considerately</w:t>
            </w:r>
            <w:r w:rsidRPr="00DA58E1">
              <w:rPr>
                <w:sz w:val="20"/>
                <w:szCs w:val="20"/>
                <w:lang w:val="en-GB" w:eastAsia="ar-SA"/>
              </w:rPr>
              <w:t xml:space="preserve"> whe</w:t>
            </w:r>
            <w:r w:rsidRPr="00DA58E1">
              <w:rPr>
                <w:sz w:val="20"/>
                <w:szCs w:val="20"/>
                <w:lang w:val="en-GB"/>
              </w:rPr>
              <w:t>re</w:t>
            </w:r>
            <w:r w:rsidRPr="00DA58E1">
              <w:rPr>
                <w:sz w:val="20"/>
                <w:szCs w:val="20"/>
                <w:lang w:val="en-GB" w:eastAsia="ar-SA"/>
              </w:rPr>
              <w:t xml:space="preserve"> necessary because of their vulnerability, such as age, health</w:t>
            </w:r>
            <w:r w:rsidRPr="00DA58E1">
              <w:rPr>
                <w:sz w:val="20"/>
                <w:szCs w:val="20"/>
                <w:lang w:val="en-GB"/>
              </w:rPr>
              <w:t xml:space="preserve"> condition</w:t>
            </w:r>
            <w:r w:rsidRPr="00DA58E1">
              <w:rPr>
                <w:sz w:val="20"/>
                <w:szCs w:val="20"/>
                <w:lang w:val="en-GB" w:eastAsia="ar-SA"/>
              </w:rPr>
              <w:t>, disability, or other similar circumstances.</w:t>
            </w:r>
          </w:p>
          <w:tbl>
            <w:tblPr>
              <w:tblW w:w="7618" w:type="dxa"/>
              <w:tblInd w:w="392" w:type="dxa"/>
              <w:tblCellMar>
                <w:left w:w="0" w:type="dxa"/>
                <w:right w:w="0" w:type="dxa"/>
              </w:tblCellMar>
              <w:tblLook w:val="04A0" w:firstRow="1" w:lastRow="0" w:firstColumn="1" w:lastColumn="0" w:noHBand="0" w:noVBand="1"/>
            </w:tblPr>
            <w:tblGrid>
              <w:gridCol w:w="7618"/>
            </w:tblGrid>
            <w:tr w:rsidR="002A0B22" w:rsidRPr="00DA58E1" w14:paraId="003CFAD8" w14:textId="77777777" w:rsidTr="006F33DA">
              <w:trPr>
                <w:trHeight w:val="661"/>
              </w:trPr>
              <w:tc>
                <w:tcPr>
                  <w:tcW w:w="5000" w:type="pct"/>
                  <w:tcMar>
                    <w:top w:w="0" w:type="dxa"/>
                    <w:left w:w="108" w:type="dxa"/>
                    <w:bottom w:w="0" w:type="dxa"/>
                    <w:right w:w="108" w:type="dxa"/>
                  </w:tcMar>
                  <w:hideMark/>
                </w:tcPr>
                <w:p w14:paraId="5DAE3BE7" w14:textId="77777777" w:rsidR="002A0B22" w:rsidRPr="00DA58E1" w:rsidRDefault="002A0B22">
                  <w:pPr>
                    <w:pStyle w:val="len"/>
                    <w:rPr>
                      <w:sz w:val="20"/>
                      <w:szCs w:val="20"/>
                      <w:lang w:val="en-GB"/>
                    </w:rPr>
                  </w:pPr>
                  <w:r w:rsidRPr="00DA58E1">
                    <w:rPr>
                      <w:sz w:val="20"/>
                      <w:szCs w:val="20"/>
                      <w:lang w:val="en-GB"/>
                    </w:rPr>
                    <w:t xml:space="preserve">Article 143č </w:t>
                  </w:r>
                </w:p>
              </w:tc>
            </w:tr>
            <w:tr w:rsidR="002A0B22" w:rsidRPr="00DA58E1" w14:paraId="6277CFE4" w14:textId="77777777" w:rsidTr="006F33DA">
              <w:trPr>
                <w:trHeight w:val="20"/>
              </w:trPr>
              <w:tc>
                <w:tcPr>
                  <w:tcW w:w="5000" w:type="pct"/>
                  <w:tcMar>
                    <w:top w:w="0" w:type="dxa"/>
                    <w:left w:w="108" w:type="dxa"/>
                    <w:bottom w:w="0" w:type="dxa"/>
                    <w:right w:w="108" w:type="dxa"/>
                  </w:tcMar>
                  <w:hideMark/>
                </w:tcPr>
                <w:p w14:paraId="3E6FCF7D" w14:textId="77777777" w:rsidR="002A0B22" w:rsidRPr="00DA58E1" w:rsidRDefault="002A0B22">
                  <w:pPr>
                    <w:pStyle w:val="Odstavek"/>
                    <w:rPr>
                      <w:sz w:val="20"/>
                      <w:szCs w:val="20"/>
                      <w:lang w:val="en-GB"/>
                    </w:rPr>
                  </w:pPr>
                  <w:r w:rsidRPr="00DA58E1">
                    <w:rPr>
                      <w:sz w:val="20"/>
                      <w:szCs w:val="20"/>
                      <w:lang w:val="en-GB"/>
                    </w:rPr>
                    <w:t xml:space="preserve">(1) </w:t>
                  </w:r>
                  <w:r w:rsidRPr="00DA58E1">
                    <w:rPr>
                      <w:sz w:val="20"/>
                      <w:szCs w:val="20"/>
                      <w:lang w:val="en-GB" w:eastAsia="ar-SA"/>
                    </w:rPr>
                    <w:t>The competent authority in pre-trial or criminal proceedings</w:t>
                  </w:r>
                  <w:r w:rsidRPr="00DA58E1">
                    <w:rPr>
                      <w:sz w:val="20"/>
                      <w:szCs w:val="20"/>
                      <w:lang w:val="en-GB"/>
                    </w:rPr>
                    <w:t xml:space="preserve"> shall, if possible, </w:t>
                  </w:r>
                  <w:r w:rsidRPr="00DA58E1">
                    <w:rPr>
                      <w:sz w:val="20"/>
                      <w:szCs w:val="20"/>
                      <w:lang w:val="en-GB" w:eastAsia="ar-SA"/>
                    </w:rPr>
                    <w:t xml:space="preserve">the </w:t>
                  </w:r>
                  <w:r w:rsidRPr="00DA58E1">
                    <w:rPr>
                      <w:sz w:val="20"/>
                      <w:szCs w:val="20"/>
                      <w:lang w:val="en-GB"/>
                    </w:rPr>
                    <w:t>degree of the injured person's exposure to the secondary and repeated victimisation, intimidation and retaliation (individual assessment) in order to establish the existence of special needs for protection during</w:t>
                  </w:r>
                  <w:r w:rsidRPr="00DA58E1">
                    <w:rPr>
                      <w:sz w:val="20"/>
                      <w:szCs w:val="20"/>
                      <w:lang w:val="en-GB" w:eastAsia="ar-SA"/>
                    </w:rPr>
                    <w:t xml:space="preserve"> the </w:t>
                  </w:r>
                  <w:r w:rsidRPr="00DA58E1">
                    <w:rPr>
                      <w:sz w:val="20"/>
                      <w:szCs w:val="20"/>
                      <w:lang w:val="en-GB"/>
                    </w:rPr>
                    <w:t xml:space="preserve">very </w:t>
                  </w:r>
                  <w:r w:rsidRPr="00DA58E1">
                    <w:rPr>
                      <w:sz w:val="20"/>
                      <w:szCs w:val="20"/>
                      <w:lang w:val="en-GB" w:eastAsia="ar-SA"/>
                    </w:rPr>
                    <w:t>first contact with the injured person</w:t>
                  </w:r>
                  <w:r w:rsidRPr="00DA58E1">
                    <w:rPr>
                      <w:sz w:val="20"/>
                      <w:szCs w:val="20"/>
                      <w:lang w:val="en-GB"/>
                    </w:rPr>
                    <w:t xml:space="preserve">. </w:t>
                  </w:r>
                </w:p>
              </w:tc>
            </w:tr>
            <w:tr w:rsidR="002A0B22" w:rsidRPr="00DA58E1" w14:paraId="2EAE1F24" w14:textId="77777777" w:rsidTr="006F33DA">
              <w:trPr>
                <w:trHeight w:val="20"/>
              </w:trPr>
              <w:tc>
                <w:tcPr>
                  <w:tcW w:w="5000" w:type="pct"/>
                  <w:tcMar>
                    <w:top w:w="0" w:type="dxa"/>
                    <w:left w:w="108" w:type="dxa"/>
                    <w:bottom w:w="0" w:type="dxa"/>
                    <w:right w:w="108" w:type="dxa"/>
                  </w:tcMar>
                  <w:hideMark/>
                </w:tcPr>
                <w:p w14:paraId="296F521E" w14:textId="77777777" w:rsidR="002A0B22" w:rsidRPr="00DA58E1" w:rsidRDefault="002A0B22">
                  <w:pPr>
                    <w:pStyle w:val="Odstavek"/>
                    <w:rPr>
                      <w:sz w:val="20"/>
                      <w:szCs w:val="20"/>
                      <w:lang w:val="en-GB"/>
                    </w:rPr>
                  </w:pPr>
                  <w:r w:rsidRPr="00DA58E1">
                    <w:rPr>
                      <w:sz w:val="20"/>
                      <w:szCs w:val="20"/>
                      <w:lang w:val="en-GB"/>
                    </w:rPr>
                    <w:t xml:space="preserve">(2) </w:t>
                  </w:r>
                  <w:r w:rsidRPr="00DA58E1">
                    <w:rPr>
                      <w:sz w:val="20"/>
                      <w:szCs w:val="20"/>
                      <w:lang w:val="en-GB" w:eastAsia="ar-SA"/>
                    </w:rPr>
                    <w:t xml:space="preserve">The individual assessment shall </w:t>
                  </w:r>
                  <w:r w:rsidRPr="00DA58E1">
                    <w:rPr>
                      <w:sz w:val="20"/>
                      <w:szCs w:val="20"/>
                      <w:lang w:val="en-GB"/>
                    </w:rPr>
                    <w:t>examine</w:t>
                  </w:r>
                  <w:r w:rsidRPr="00DA58E1">
                    <w:rPr>
                      <w:sz w:val="20"/>
                      <w:szCs w:val="20"/>
                      <w:lang w:val="en-GB" w:eastAsia="ar-SA"/>
                    </w:rPr>
                    <w:t xml:space="preserve"> in particular the personal characteristics of the injured person, the nature, gravity and circumstances of the crime, the conduct of the accused </w:t>
                  </w:r>
                  <w:r w:rsidRPr="00DA58E1">
                    <w:rPr>
                      <w:sz w:val="20"/>
                      <w:szCs w:val="20"/>
                      <w:lang w:val="en-GB"/>
                    </w:rPr>
                    <w:t xml:space="preserve">person </w:t>
                  </w:r>
                  <w:r w:rsidRPr="00DA58E1">
                    <w:rPr>
                      <w:sz w:val="20"/>
                      <w:szCs w:val="20"/>
                      <w:lang w:val="en-GB" w:eastAsia="ar-SA"/>
                    </w:rPr>
                    <w:t>and the injured person in pre-</w:t>
                  </w:r>
                  <w:r w:rsidRPr="00DA58E1">
                    <w:rPr>
                      <w:sz w:val="20"/>
                      <w:szCs w:val="20"/>
                      <w:lang w:val="en-GB"/>
                    </w:rPr>
                    <w:t>trial</w:t>
                  </w:r>
                  <w:r w:rsidRPr="00DA58E1">
                    <w:rPr>
                      <w:sz w:val="20"/>
                      <w:szCs w:val="20"/>
                      <w:lang w:val="en-GB" w:eastAsia="ar-SA"/>
                    </w:rPr>
                    <w:t xml:space="preserve"> or criminal proceedings</w:t>
                  </w:r>
                  <w:r w:rsidRPr="00DA58E1">
                    <w:rPr>
                      <w:sz w:val="20"/>
                      <w:szCs w:val="20"/>
                      <w:lang w:val="en-GB"/>
                    </w:rPr>
                    <w:t xml:space="preserve"> and otuside them</w:t>
                  </w:r>
                  <w:r w:rsidRPr="00DA58E1">
                    <w:rPr>
                      <w:sz w:val="20"/>
                      <w:szCs w:val="20"/>
                      <w:lang w:val="en-GB" w:eastAsia="ar-SA"/>
                    </w:rPr>
                    <w:t xml:space="preserve">, and </w:t>
                  </w:r>
                  <w:r w:rsidRPr="00DA58E1">
                    <w:rPr>
                      <w:sz w:val="20"/>
                      <w:szCs w:val="20"/>
                      <w:lang w:val="en-GB"/>
                    </w:rPr>
                    <w:t xml:space="preserve">shall </w:t>
                  </w:r>
                  <w:r w:rsidRPr="00DA58E1">
                    <w:rPr>
                      <w:sz w:val="20"/>
                      <w:szCs w:val="20"/>
                      <w:lang w:val="en-GB" w:eastAsia="ar-SA"/>
                    </w:rPr>
                    <w:t xml:space="preserve">take into account the opinion of the injured person, </w:t>
                  </w:r>
                  <w:r w:rsidRPr="00DA58E1">
                    <w:rPr>
                      <w:sz w:val="20"/>
                      <w:szCs w:val="20"/>
                      <w:lang w:val="en-GB"/>
                    </w:rPr>
                    <w:t>in particular</w:t>
                  </w:r>
                  <w:r w:rsidRPr="00DA58E1">
                    <w:rPr>
                      <w:sz w:val="20"/>
                      <w:szCs w:val="20"/>
                      <w:lang w:val="en-GB" w:eastAsia="ar-SA"/>
                    </w:rPr>
                    <w:t xml:space="preserve"> if the injured person expressly refuses in advance the possibility of special protection. Particular consideration shall be given to the age and potential disability of the injured person and to the circumstances of </w:t>
                  </w:r>
                  <w:r w:rsidRPr="00DA58E1">
                    <w:rPr>
                      <w:sz w:val="20"/>
                      <w:szCs w:val="20"/>
                      <w:lang w:val="en-GB"/>
                    </w:rPr>
                    <w:t xml:space="preserve">the </w:t>
                  </w:r>
                  <w:r w:rsidRPr="00DA58E1">
                    <w:rPr>
                      <w:sz w:val="20"/>
                      <w:szCs w:val="20"/>
                      <w:lang w:val="en-GB" w:eastAsia="ar-SA"/>
                    </w:rPr>
                    <w:t>crim</w:t>
                  </w:r>
                  <w:r w:rsidRPr="00DA58E1">
                    <w:rPr>
                      <w:sz w:val="20"/>
                      <w:szCs w:val="20"/>
                      <w:lang w:val="en-GB"/>
                    </w:rPr>
                    <w:t>inal offences</w:t>
                  </w:r>
                  <w:r w:rsidRPr="00DA58E1">
                    <w:rPr>
                      <w:sz w:val="20"/>
                      <w:szCs w:val="20"/>
                      <w:lang w:val="en-GB" w:eastAsia="ar-SA"/>
                    </w:rPr>
                    <w:t xml:space="preserve"> committed as a result of prejudice, discrimination, exploitation or hatred, criminal offen</w:t>
                  </w:r>
                  <w:r w:rsidRPr="00DA58E1">
                    <w:rPr>
                      <w:sz w:val="20"/>
                      <w:szCs w:val="20"/>
                      <w:lang w:val="en-GB"/>
                    </w:rPr>
                    <w:t>c</w:t>
                  </w:r>
                  <w:r w:rsidRPr="00DA58E1">
                    <w:rPr>
                      <w:sz w:val="20"/>
                      <w:szCs w:val="20"/>
                      <w:lang w:val="en-GB" w:eastAsia="ar-SA"/>
                    </w:rPr>
                    <w:t xml:space="preserve">es </w:t>
                  </w:r>
                  <w:r w:rsidRPr="00DA58E1">
                    <w:rPr>
                      <w:sz w:val="20"/>
                      <w:szCs w:val="20"/>
                      <w:lang w:val="en-GB"/>
                    </w:rPr>
                    <w:t>involving</w:t>
                  </w:r>
                  <w:r w:rsidRPr="00DA58E1">
                    <w:rPr>
                      <w:sz w:val="20"/>
                      <w:szCs w:val="20"/>
                      <w:lang w:val="en-GB" w:eastAsia="ar-SA"/>
                    </w:rPr>
                    <w:t xml:space="preserve"> </w:t>
                  </w:r>
                  <w:r w:rsidRPr="00DA58E1">
                    <w:rPr>
                      <w:sz w:val="20"/>
                      <w:szCs w:val="20"/>
                      <w:lang w:val="en-GB"/>
                    </w:rPr>
                    <w:t xml:space="preserve">the elements of </w:t>
                  </w:r>
                  <w:r w:rsidRPr="00DA58E1">
                    <w:rPr>
                      <w:sz w:val="20"/>
                      <w:szCs w:val="20"/>
                      <w:lang w:val="en-GB" w:eastAsia="ar-SA"/>
                    </w:rPr>
                    <w:t xml:space="preserve">violence or </w:t>
                  </w:r>
                  <w:r w:rsidRPr="00DA58E1">
                    <w:rPr>
                      <w:sz w:val="20"/>
                      <w:szCs w:val="20"/>
                      <w:lang w:val="en-GB"/>
                    </w:rPr>
                    <w:t xml:space="preserve">criminal offences against </w:t>
                  </w:r>
                  <w:r w:rsidRPr="00DA58E1">
                    <w:rPr>
                      <w:sz w:val="20"/>
                      <w:szCs w:val="20"/>
                      <w:lang w:val="en-GB" w:eastAsia="ar-SA"/>
                    </w:rPr>
                    <w:t xml:space="preserve">sexual integrity, and </w:t>
                  </w:r>
                  <w:r w:rsidRPr="00DA58E1">
                    <w:rPr>
                      <w:sz w:val="20"/>
                      <w:szCs w:val="20"/>
                      <w:lang w:val="en-GB"/>
                    </w:rPr>
                    <w:t xml:space="preserve">criminal offences </w:t>
                  </w:r>
                  <w:r w:rsidRPr="00DA58E1">
                    <w:rPr>
                      <w:sz w:val="20"/>
                      <w:szCs w:val="20"/>
                      <w:lang w:val="en-GB" w:eastAsia="ar-SA"/>
                    </w:rPr>
                    <w:t>involving the elements of terrorism, trafficking in human beings and crim</w:t>
                  </w:r>
                  <w:r w:rsidRPr="00DA58E1">
                    <w:rPr>
                      <w:sz w:val="20"/>
                      <w:szCs w:val="20"/>
                      <w:lang w:val="en-GB"/>
                    </w:rPr>
                    <w:t xml:space="preserve">es </w:t>
                  </w:r>
                  <w:r w:rsidRPr="00DA58E1">
                    <w:rPr>
                      <w:sz w:val="20"/>
                      <w:szCs w:val="20"/>
                      <w:lang w:val="en-GB" w:eastAsia="ar-SA"/>
                    </w:rPr>
                    <w:t xml:space="preserve">committed </w:t>
                  </w:r>
                  <w:r w:rsidRPr="00DA58E1">
                    <w:rPr>
                      <w:sz w:val="20"/>
                      <w:szCs w:val="20"/>
                      <w:lang w:val="en-GB"/>
                    </w:rPr>
                    <w:t xml:space="preserve">within the context of a criminal </w:t>
                  </w:r>
                  <w:r w:rsidRPr="00DA58E1">
                    <w:rPr>
                      <w:sz w:val="20"/>
                      <w:szCs w:val="20"/>
                      <w:lang w:val="en-GB" w:eastAsia="ar-SA"/>
                    </w:rPr>
                    <w:t>association.</w:t>
                  </w:r>
                </w:p>
              </w:tc>
            </w:tr>
          </w:tbl>
          <w:p w14:paraId="68ED848A" w14:textId="77777777" w:rsidR="002A0B22" w:rsidRPr="00DA58E1" w:rsidRDefault="002A0B22">
            <w:pPr>
              <w:rPr>
                <w:rFonts w:eastAsiaTheme="minorHAnsi" w:cs="Arial"/>
                <w:szCs w:val="20"/>
                <w:lang w:val="en-GB"/>
              </w:rPr>
            </w:pPr>
          </w:p>
        </w:tc>
      </w:tr>
    </w:tbl>
    <w:p w14:paraId="7A5E7DB9" w14:textId="2D2C4EF3" w:rsidR="002A0B22" w:rsidRPr="00DA58E1" w:rsidRDefault="002A0B22">
      <w:pPr>
        <w:rPr>
          <w:rFonts w:cs="Arial"/>
          <w:szCs w:val="20"/>
          <w:lang w:val="en-GB"/>
        </w:rPr>
      </w:pPr>
    </w:p>
    <w:p w14:paraId="17DD8058" w14:textId="77777777" w:rsidR="002420B9" w:rsidRPr="00DA58E1" w:rsidRDefault="002420B9">
      <w:pPr>
        <w:rPr>
          <w:rFonts w:cs="Arial"/>
          <w:szCs w:val="20"/>
          <w:lang w:val="en-GB"/>
        </w:rPr>
      </w:pPr>
    </w:p>
    <w:p w14:paraId="4778A633" w14:textId="1C3E6084" w:rsidR="00A65492" w:rsidRPr="00DA58E1" w:rsidRDefault="00A65492">
      <w:pPr>
        <w:rPr>
          <w:rFonts w:cs="Arial"/>
          <w:b/>
          <w:bCs/>
          <w:szCs w:val="20"/>
          <w:lang w:val="en-GB"/>
        </w:rPr>
      </w:pPr>
      <w:r w:rsidRPr="00DA58E1">
        <w:rPr>
          <w:rFonts w:cs="Arial"/>
          <w:b/>
          <w:bCs/>
          <w:noProof/>
          <w:szCs w:val="20"/>
          <w:lang w:val="en-GB"/>
        </w:rPr>
        <w:t>CIVIL PROCEDURE ACT</w:t>
      </w:r>
    </w:p>
    <w:p w14:paraId="47A3BA25" w14:textId="77777777" w:rsidR="00A65492" w:rsidRPr="00DA58E1" w:rsidRDefault="00A65492" w:rsidP="00A65492">
      <w:pPr>
        <w:pStyle w:val="h4"/>
        <w:rPr>
          <w:sz w:val="20"/>
          <w:szCs w:val="20"/>
          <w:lang w:val="en-GB"/>
        </w:rPr>
      </w:pPr>
      <w:r w:rsidRPr="00DA58E1">
        <w:rPr>
          <w:sz w:val="20"/>
          <w:szCs w:val="20"/>
          <w:lang w:val="en-GB"/>
        </w:rPr>
        <w:t>Article 237</w:t>
      </w:r>
    </w:p>
    <w:p w14:paraId="6F28FF4C" w14:textId="0E58F0CA" w:rsidR="00A65492" w:rsidRPr="00DA58E1" w:rsidRDefault="00A65492" w:rsidP="00A65492">
      <w:pPr>
        <w:pStyle w:val="p"/>
        <w:spacing w:before="40" w:after="20"/>
        <w:rPr>
          <w:sz w:val="20"/>
          <w:szCs w:val="20"/>
          <w:lang w:val="en-GB"/>
        </w:rPr>
      </w:pPr>
      <w:r w:rsidRPr="00DA58E1">
        <w:rPr>
          <w:sz w:val="20"/>
          <w:szCs w:val="20"/>
          <w:lang w:val="en-GB"/>
        </w:rPr>
        <w:t>Witnesses shall be summoned invited by a writ of summons indicating: their name and surname, their occupation, the time and place of appearance, the matter in respect of which they are summoned, and the fact that they are being summoned as witnesses. The summons shall also state a warning as to the consequences of unjustified non-appearance (Article 241), and the right to refunding of costs (Article 242).</w:t>
      </w:r>
    </w:p>
    <w:p w14:paraId="12D6E8FE" w14:textId="2DB79DE3" w:rsidR="00A65492" w:rsidRPr="00DA58E1" w:rsidRDefault="00A65492" w:rsidP="00A65492">
      <w:pPr>
        <w:pStyle w:val="p"/>
        <w:spacing w:before="40" w:after="20"/>
        <w:rPr>
          <w:sz w:val="20"/>
          <w:szCs w:val="20"/>
          <w:lang w:val="en-GB"/>
        </w:rPr>
      </w:pPr>
      <w:r w:rsidRPr="00DA58E1">
        <w:rPr>
          <w:sz w:val="20"/>
          <w:szCs w:val="20"/>
          <w:lang w:val="en-GB"/>
        </w:rPr>
        <w:t xml:space="preserve">Those witnesses who are prevented from complying with the summons due to their </w:t>
      </w:r>
      <w:r w:rsidRPr="00DA58E1">
        <w:rPr>
          <w:b/>
          <w:bCs/>
          <w:sz w:val="20"/>
          <w:szCs w:val="20"/>
          <w:lang w:val="en-GB"/>
        </w:rPr>
        <w:t>age,</w:t>
      </w:r>
      <w:r w:rsidRPr="00DA58E1">
        <w:rPr>
          <w:sz w:val="20"/>
          <w:szCs w:val="20"/>
          <w:lang w:val="en-GB"/>
        </w:rPr>
        <w:t xml:space="preserve"> sickness or grave physical handicaps may be examined at the place of their residence. </w:t>
      </w:r>
    </w:p>
    <w:p w14:paraId="7830D2FF" w14:textId="041B700F" w:rsidR="00A65492" w:rsidRPr="00DA58E1" w:rsidRDefault="00A65492" w:rsidP="00A65492">
      <w:pPr>
        <w:pStyle w:val="p"/>
        <w:spacing w:before="40" w:after="20"/>
        <w:rPr>
          <w:sz w:val="20"/>
          <w:szCs w:val="20"/>
          <w:lang w:val="en-GB"/>
        </w:rPr>
      </w:pPr>
    </w:p>
    <w:p w14:paraId="335AA90C" w14:textId="50239DAD" w:rsidR="00A65492" w:rsidRPr="00DA58E1" w:rsidRDefault="00A65492" w:rsidP="00A65492">
      <w:pPr>
        <w:pStyle w:val="h4"/>
        <w:rPr>
          <w:sz w:val="20"/>
          <w:szCs w:val="20"/>
          <w:lang w:val="en-GB"/>
        </w:rPr>
      </w:pPr>
      <w:r w:rsidRPr="00DA58E1">
        <w:rPr>
          <w:sz w:val="20"/>
          <w:szCs w:val="20"/>
          <w:lang w:val="en-GB"/>
        </w:rPr>
        <w:t>Article 140, 3</w:t>
      </w:r>
      <w:r w:rsidRPr="00DA58E1">
        <w:rPr>
          <w:sz w:val="20"/>
          <w:szCs w:val="20"/>
          <w:vertAlign w:val="superscript"/>
          <w:lang w:val="en-GB"/>
        </w:rPr>
        <w:t>rd</w:t>
      </w:r>
      <w:r w:rsidRPr="00DA58E1">
        <w:rPr>
          <w:sz w:val="20"/>
          <w:szCs w:val="20"/>
          <w:lang w:val="en-GB"/>
        </w:rPr>
        <w:t xml:space="preserve"> paragraph</w:t>
      </w:r>
    </w:p>
    <w:p w14:paraId="2BA6A6D3" w14:textId="36A50954" w:rsidR="00A65492" w:rsidRPr="00DA58E1" w:rsidRDefault="00A65492" w:rsidP="00A65492">
      <w:pPr>
        <w:pStyle w:val="p"/>
        <w:spacing w:before="40" w:after="20"/>
        <w:rPr>
          <w:sz w:val="20"/>
          <w:szCs w:val="20"/>
          <w:lang w:val="en-GB"/>
        </w:rPr>
      </w:pPr>
      <w:r w:rsidRPr="00DA58E1">
        <w:rPr>
          <w:sz w:val="20"/>
          <w:szCs w:val="20"/>
          <w:lang w:val="en-GB"/>
        </w:rPr>
        <w:t xml:space="preserve">If the addressee residing in a residential building intended for common residence, or for performance of an activity which includes 24-hour residence (such as residence halls for students, nursing homes, residence halls for single persons, </w:t>
      </w:r>
      <w:r w:rsidRPr="00DA58E1">
        <w:rPr>
          <w:b/>
          <w:bCs/>
          <w:sz w:val="20"/>
          <w:szCs w:val="20"/>
          <w:lang w:val="en-GB"/>
        </w:rPr>
        <w:t>public social welfare institutions</w:t>
      </w:r>
      <w:r w:rsidRPr="00DA58E1">
        <w:rPr>
          <w:sz w:val="20"/>
          <w:szCs w:val="20"/>
          <w:lang w:val="en-GB"/>
        </w:rPr>
        <w:t xml:space="preserve">, </w:t>
      </w:r>
      <w:r w:rsidRPr="00DA58E1">
        <w:rPr>
          <w:sz w:val="20"/>
          <w:szCs w:val="20"/>
          <w:lang w:val="en-GB"/>
        </w:rPr>
        <w:lastRenderedPageBreak/>
        <w:t>hospitals), is not found there and does not have a separate post box at that address, service shall be effected to the person in that residential building authorized to take receipt of mail for the residents</w:t>
      </w:r>
    </w:p>
    <w:p w14:paraId="05F94A4A" w14:textId="3ABD8840" w:rsidR="00A65492" w:rsidRPr="00DA58E1" w:rsidRDefault="00A65492">
      <w:pPr>
        <w:rPr>
          <w:rFonts w:cs="Arial"/>
          <w:szCs w:val="20"/>
          <w:lang w:val="en-GB"/>
        </w:rPr>
      </w:pPr>
    </w:p>
    <w:p w14:paraId="1420CB9B" w14:textId="1757D7BE" w:rsidR="00085EB9" w:rsidRPr="00DA58E1" w:rsidRDefault="00085EB9">
      <w:pPr>
        <w:rPr>
          <w:rFonts w:cs="Arial"/>
          <w:szCs w:val="20"/>
          <w:lang w:val="en-GB"/>
        </w:rPr>
      </w:pPr>
    </w:p>
    <w:p w14:paraId="1FFC43E8" w14:textId="7FDFCC40" w:rsidR="00085EB9" w:rsidRPr="00DA58E1" w:rsidRDefault="002420B9">
      <w:pPr>
        <w:rPr>
          <w:rFonts w:cs="Arial"/>
          <w:b/>
          <w:bCs/>
          <w:color w:val="626060"/>
          <w:szCs w:val="20"/>
          <w:shd w:val="clear" w:color="auto" w:fill="FFFFFF"/>
          <w:lang w:val="en-GB"/>
        </w:rPr>
      </w:pPr>
      <w:r w:rsidRPr="00DA58E1">
        <w:rPr>
          <w:rFonts w:cs="Arial"/>
          <w:b/>
          <w:bCs/>
          <w:color w:val="626060"/>
          <w:szCs w:val="20"/>
          <w:shd w:val="clear" w:color="auto" w:fill="FFFFFF"/>
          <w:lang w:val="en-GB"/>
        </w:rPr>
        <w:t>ENFORCEMENT OF CRIMINAL SANCTIONS ACT</w:t>
      </w:r>
    </w:p>
    <w:p w14:paraId="100AE75C" w14:textId="0D5A798C" w:rsidR="00085EB9" w:rsidRPr="00DA58E1" w:rsidRDefault="00085EB9">
      <w:pPr>
        <w:rPr>
          <w:rFonts w:cs="Arial"/>
          <w:color w:val="626060"/>
          <w:szCs w:val="20"/>
          <w:shd w:val="clear" w:color="auto" w:fill="FFFFFF"/>
          <w:lang w:val="en-GB"/>
        </w:rPr>
      </w:pPr>
    </w:p>
    <w:p w14:paraId="62F5A5C5" w14:textId="26BB3E4D" w:rsidR="00085EB9" w:rsidRPr="00DA58E1" w:rsidRDefault="00085EB9" w:rsidP="002420B9">
      <w:pPr>
        <w:jc w:val="center"/>
        <w:rPr>
          <w:rFonts w:cs="Arial"/>
          <w:b/>
          <w:bCs/>
          <w:szCs w:val="20"/>
          <w:lang w:val="en-GB"/>
        </w:rPr>
      </w:pPr>
      <w:r w:rsidRPr="00DA58E1">
        <w:rPr>
          <w:rFonts w:cs="Arial"/>
          <w:b/>
          <w:bCs/>
          <w:color w:val="626060"/>
          <w:szCs w:val="20"/>
          <w:shd w:val="clear" w:color="auto" w:fill="FFFFFF"/>
          <w:lang w:val="en-GB"/>
        </w:rPr>
        <w:t>Article 18, paragraph 7</w:t>
      </w:r>
    </w:p>
    <w:p w14:paraId="49EF77D3" w14:textId="02D4A3B0" w:rsidR="00085EB9" w:rsidRPr="00DA58E1" w:rsidRDefault="00085EB9">
      <w:pPr>
        <w:rPr>
          <w:rFonts w:cs="Arial"/>
          <w:szCs w:val="20"/>
          <w:lang w:val="en-GB"/>
        </w:rPr>
      </w:pPr>
    </w:p>
    <w:p w14:paraId="145239E1" w14:textId="00C073B9" w:rsidR="00085EB9" w:rsidRPr="00DA58E1" w:rsidRDefault="00085EB9" w:rsidP="00085EB9">
      <w:pPr>
        <w:pStyle w:val="Odstavek"/>
        <w:ind w:firstLine="0"/>
        <w:rPr>
          <w:sz w:val="20"/>
          <w:szCs w:val="20"/>
          <w:lang w:val="en-GB"/>
        </w:rPr>
      </w:pPr>
      <w:r w:rsidRPr="00DA58E1">
        <w:rPr>
          <w:sz w:val="20"/>
          <w:szCs w:val="20"/>
          <w:lang w:val="en-GB"/>
        </w:rPr>
        <w:t xml:space="preserve">When making a decision on which prison the convicted person is to be sent, the court shall take account of their gender, </w:t>
      </w:r>
      <w:r w:rsidRPr="00DA58E1">
        <w:rPr>
          <w:b/>
          <w:bCs/>
          <w:sz w:val="20"/>
          <w:szCs w:val="20"/>
          <w:lang w:val="en-GB"/>
        </w:rPr>
        <w:t>age,</w:t>
      </w:r>
      <w:r w:rsidRPr="00DA58E1">
        <w:rPr>
          <w:sz w:val="20"/>
          <w:szCs w:val="20"/>
          <w:lang w:val="en-GB"/>
        </w:rPr>
        <w:t xml:space="preserve"> and type and duration of the punishment imposed as well as the measures in the protection programme in case protected persons are involved pursuant to the act governing witness protection.</w:t>
      </w:r>
    </w:p>
    <w:p w14:paraId="72242751" w14:textId="77777777" w:rsidR="00085EB9" w:rsidRPr="00DA58E1" w:rsidRDefault="00085EB9" w:rsidP="00085EB9">
      <w:pPr>
        <w:pStyle w:val="Odstavek"/>
        <w:ind w:firstLine="0"/>
        <w:rPr>
          <w:sz w:val="20"/>
          <w:szCs w:val="20"/>
          <w:lang w:val="en-GB"/>
        </w:rPr>
      </w:pPr>
    </w:p>
    <w:p w14:paraId="2B25B686" w14:textId="47ABC30A" w:rsidR="00085EB9" w:rsidRPr="00DA58E1" w:rsidRDefault="00085EB9" w:rsidP="002420B9">
      <w:pPr>
        <w:jc w:val="center"/>
        <w:rPr>
          <w:rFonts w:cs="Arial"/>
          <w:b/>
          <w:bCs/>
          <w:szCs w:val="20"/>
          <w:lang w:val="en-GB"/>
        </w:rPr>
      </w:pPr>
      <w:r w:rsidRPr="00DA58E1">
        <w:rPr>
          <w:rFonts w:cs="Arial"/>
          <w:b/>
          <w:bCs/>
          <w:szCs w:val="20"/>
          <w:lang w:val="en-GB"/>
        </w:rPr>
        <w:t>Article 60, paragraph 2</w:t>
      </w:r>
    </w:p>
    <w:p w14:paraId="23661FFD" w14:textId="77777777" w:rsidR="002420B9" w:rsidRPr="00DA58E1" w:rsidRDefault="002420B9" w:rsidP="002420B9">
      <w:pPr>
        <w:jc w:val="center"/>
        <w:rPr>
          <w:rFonts w:cs="Arial"/>
          <w:b/>
          <w:bCs/>
          <w:szCs w:val="20"/>
          <w:lang w:val="en-GB"/>
        </w:rPr>
      </w:pPr>
    </w:p>
    <w:p w14:paraId="4E9CB92F" w14:textId="58627569" w:rsidR="00085EB9" w:rsidRPr="00DA58E1" w:rsidRDefault="00085EB9" w:rsidP="00085EB9">
      <w:pPr>
        <w:jc w:val="both"/>
        <w:rPr>
          <w:rFonts w:cs="Arial"/>
          <w:szCs w:val="20"/>
          <w:lang w:val="en-GB"/>
        </w:rPr>
      </w:pPr>
      <w:r w:rsidRPr="00DA58E1">
        <w:rPr>
          <w:rFonts w:cs="Arial"/>
          <w:szCs w:val="20"/>
          <w:lang w:val="en-GB"/>
        </w:rPr>
        <w:t xml:space="preserve">Convicted persons whose </w:t>
      </w:r>
      <w:r w:rsidRPr="00DA58E1">
        <w:rPr>
          <w:rFonts w:cs="Arial"/>
          <w:b/>
          <w:bCs/>
          <w:szCs w:val="20"/>
          <w:lang w:val="en-GB"/>
        </w:rPr>
        <w:t>age</w:t>
      </w:r>
      <w:r w:rsidRPr="00DA58E1">
        <w:rPr>
          <w:rFonts w:cs="Arial"/>
          <w:szCs w:val="20"/>
          <w:lang w:val="en-GB"/>
        </w:rPr>
        <w:t>, illness or disability necessitates additional assistance with the meeting of basic needs in the form of nursing or social care may reside in a modified area or department of one of the prisons.</w:t>
      </w:r>
    </w:p>
    <w:p w14:paraId="543F23DF" w14:textId="154FFCFA" w:rsidR="0070205F" w:rsidRPr="00DA58E1" w:rsidRDefault="0070205F" w:rsidP="00085EB9">
      <w:pPr>
        <w:jc w:val="both"/>
        <w:rPr>
          <w:rFonts w:cs="Arial"/>
          <w:szCs w:val="20"/>
          <w:lang w:val="en-GB"/>
        </w:rPr>
      </w:pPr>
    </w:p>
    <w:p w14:paraId="38A8C9EE" w14:textId="469536A5" w:rsidR="0070205F" w:rsidRPr="00DA58E1" w:rsidRDefault="0070205F" w:rsidP="002420B9">
      <w:pPr>
        <w:jc w:val="center"/>
        <w:rPr>
          <w:rFonts w:cs="Arial"/>
          <w:b/>
          <w:bCs/>
          <w:szCs w:val="20"/>
          <w:lang w:val="en-GB"/>
        </w:rPr>
      </w:pPr>
      <w:r w:rsidRPr="00DA58E1">
        <w:rPr>
          <w:rFonts w:cs="Arial"/>
          <w:b/>
          <w:bCs/>
          <w:szCs w:val="20"/>
          <w:lang w:val="en-GB"/>
        </w:rPr>
        <w:t>Article 239, paragraph 4</w:t>
      </w:r>
    </w:p>
    <w:p w14:paraId="329835BC" w14:textId="1FB80020" w:rsidR="00085EB9" w:rsidRPr="00DA58E1" w:rsidRDefault="00085EB9">
      <w:pPr>
        <w:rPr>
          <w:rFonts w:cs="Arial"/>
          <w:szCs w:val="20"/>
          <w:highlight w:val="yellow"/>
          <w:lang w:val="en-GB"/>
        </w:rPr>
      </w:pPr>
    </w:p>
    <w:p w14:paraId="7BB6642F" w14:textId="2BD5F540" w:rsidR="006A11CF" w:rsidRPr="00DA58E1" w:rsidRDefault="00BA69D1" w:rsidP="0070205F">
      <w:pPr>
        <w:jc w:val="both"/>
        <w:rPr>
          <w:rFonts w:cs="Arial"/>
          <w:szCs w:val="20"/>
          <w:lang w:val="en-GB"/>
        </w:rPr>
      </w:pPr>
      <w:r w:rsidRPr="00DA58E1">
        <w:rPr>
          <w:rFonts w:cs="Arial"/>
          <w:szCs w:val="20"/>
          <w:lang w:val="en-GB"/>
        </w:rPr>
        <w:t xml:space="preserve">Notwithstanding the first and second paragraphs of this Article, a judicial police officer shall not apply coercive means of coercive means against a visibly ill, elderly or disabled person, a visibly severe disabled person, a visibly pregnant woman or a woman who he knows is pregnant, unless he is otherwise able to control </w:t>
      </w:r>
      <w:r w:rsidR="00DA58E1" w:rsidRPr="00DA58E1">
        <w:rPr>
          <w:rFonts w:cs="Arial"/>
          <w:szCs w:val="20"/>
          <w:lang w:val="en-GB"/>
        </w:rPr>
        <w:t>such person</w:t>
      </w:r>
      <w:r w:rsidRPr="00DA58E1">
        <w:rPr>
          <w:rFonts w:cs="Arial"/>
          <w:szCs w:val="20"/>
          <w:lang w:val="en-GB"/>
        </w:rPr>
        <w:t xml:space="preserve"> resistance or assault or if </w:t>
      </w:r>
      <w:r w:rsidR="00DA58E1" w:rsidRPr="00DA58E1">
        <w:rPr>
          <w:rFonts w:cs="Arial"/>
          <w:szCs w:val="20"/>
          <w:lang w:val="en-GB"/>
        </w:rPr>
        <w:t>(s)</w:t>
      </w:r>
      <w:r w:rsidRPr="00DA58E1">
        <w:rPr>
          <w:rFonts w:cs="Arial"/>
          <w:szCs w:val="20"/>
          <w:lang w:val="en-GB"/>
        </w:rPr>
        <w:t>he endangers her</w:t>
      </w:r>
      <w:r w:rsidR="00DA58E1" w:rsidRPr="00DA58E1">
        <w:rPr>
          <w:rFonts w:cs="Arial"/>
          <w:szCs w:val="20"/>
          <w:lang w:val="en-GB"/>
        </w:rPr>
        <w:t>/his</w:t>
      </w:r>
      <w:r w:rsidRPr="00DA58E1">
        <w:rPr>
          <w:rFonts w:cs="Arial"/>
          <w:szCs w:val="20"/>
          <w:lang w:val="en-GB"/>
        </w:rPr>
        <w:t xml:space="preserve"> life or the lives of other people, property or if other circumstances put its life or health at imminent risk.</w:t>
      </w:r>
    </w:p>
    <w:p w14:paraId="7DB1DF71" w14:textId="77777777" w:rsidR="00DA58E1" w:rsidRPr="00DA58E1" w:rsidRDefault="00DA58E1" w:rsidP="0070205F">
      <w:pPr>
        <w:jc w:val="both"/>
        <w:rPr>
          <w:rFonts w:cs="Arial"/>
          <w:szCs w:val="20"/>
          <w:lang w:val="en-GB"/>
        </w:rPr>
      </w:pPr>
    </w:p>
    <w:p w14:paraId="0E066335" w14:textId="3BCBAABA" w:rsidR="006A11CF" w:rsidRPr="00DA58E1" w:rsidRDefault="006A11CF" w:rsidP="006A11CF">
      <w:pPr>
        <w:pStyle w:val="datumtevilka"/>
        <w:rPr>
          <w:rFonts w:cs="Arial"/>
          <w:b/>
          <w:bCs/>
          <w:lang w:val="en-GB"/>
        </w:rPr>
      </w:pPr>
      <w:r w:rsidRPr="00DA58E1">
        <w:rPr>
          <w:rFonts w:cs="Arial"/>
          <w:b/>
          <w:bCs/>
          <w:lang w:val="en-GB"/>
        </w:rPr>
        <w:t xml:space="preserve">LEGAL AID ACT </w:t>
      </w:r>
    </w:p>
    <w:p w14:paraId="2618ABD7" w14:textId="77777777" w:rsidR="006A11CF" w:rsidRPr="00DA58E1" w:rsidRDefault="006A11CF" w:rsidP="002420B9">
      <w:pPr>
        <w:pStyle w:val="len"/>
        <w:rPr>
          <w:sz w:val="20"/>
          <w:szCs w:val="20"/>
          <w:lang w:val="en-GB"/>
        </w:rPr>
      </w:pPr>
      <w:r w:rsidRPr="00DA58E1">
        <w:rPr>
          <w:sz w:val="20"/>
          <w:szCs w:val="20"/>
          <w:lang w:val="en-GB"/>
        </w:rPr>
        <w:t>Article 2, paragraph 2</w:t>
      </w:r>
    </w:p>
    <w:p w14:paraId="1B852ACE" w14:textId="77777777" w:rsidR="006A11CF" w:rsidRPr="00DA58E1" w:rsidRDefault="006A11CF" w:rsidP="006A11CF">
      <w:pPr>
        <w:pStyle w:val="Odstavek"/>
        <w:rPr>
          <w:sz w:val="20"/>
          <w:szCs w:val="20"/>
          <w:lang w:val="en-GB"/>
        </w:rPr>
      </w:pPr>
      <w:r w:rsidRPr="00DA58E1">
        <w:rPr>
          <w:sz w:val="20"/>
          <w:szCs w:val="20"/>
          <w:lang w:val="en-GB"/>
        </w:rPr>
        <w:t xml:space="preserve">Legal aid shall be granted as regular, extraordinary, </w:t>
      </w:r>
      <w:r w:rsidRPr="00DA58E1">
        <w:rPr>
          <w:b/>
          <w:bCs/>
          <w:sz w:val="20"/>
          <w:szCs w:val="20"/>
          <w:lang w:val="en-GB"/>
        </w:rPr>
        <w:t>exceptional</w:t>
      </w:r>
      <w:r w:rsidRPr="00DA58E1">
        <w:rPr>
          <w:sz w:val="20"/>
          <w:szCs w:val="20"/>
          <w:lang w:val="en-GB"/>
        </w:rPr>
        <w:t xml:space="preserve"> or emergency legal aid.</w:t>
      </w:r>
    </w:p>
    <w:p w14:paraId="328AB9D9" w14:textId="15A97B4F" w:rsidR="006A11CF" w:rsidRPr="00DA58E1" w:rsidRDefault="006A11CF" w:rsidP="002420B9">
      <w:pPr>
        <w:pStyle w:val="Odstavek"/>
        <w:ind w:firstLine="0"/>
        <w:jc w:val="center"/>
        <w:rPr>
          <w:i/>
          <w:iCs/>
          <w:sz w:val="20"/>
          <w:szCs w:val="20"/>
          <w:lang w:val="en-GB"/>
        </w:rPr>
      </w:pPr>
      <w:r w:rsidRPr="00DA58E1">
        <w:rPr>
          <w:i/>
          <w:iCs/>
          <w:sz w:val="20"/>
          <w:szCs w:val="20"/>
          <w:lang w:val="en-GB"/>
        </w:rPr>
        <w:t>in conjunction</w:t>
      </w:r>
      <w:r w:rsidR="002420B9" w:rsidRPr="00DA58E1">
        <w:rPr>
          <w:i/>
          <w:iCs/>
          <w:sz w:val="20"/>
          <w:szCs w:val="20"/>
          <w:lang w:val="en-GB"/>
        </w:rPr>
        <w:t xml:space="preserve"> to</w:t>
      </w:r>
    </w:p>
    <w:p w14:paraId="0F088FB4" w14:textId="77777777" w:rsidR="006A11CF" w:rsidRPr="00DA58E1" w:rsidRDefault="006A11CF" w:rsidP="006A11CF">
      <w:pPr>
        <w:pStyle w:val="len"/>
        <w:rPr>
          <w:sz w:val="20"/>
          <w:szCs w:val="20"/>
          <w:lang w:val="en-GB"/>
        </w:rPr>
      </w:pPr>
      <w:r w:rsidRPr="00DA58E1">
        <w:rPr>
          <w:sz w:val="20"/>
          <w:szCs w:val="20"/>
          <w:lang w:val="en-GB"/>
        </w:rPr>
        <w:t>Article 22</w:t>
      </w:r>
    </w:p>
    <w:p w14:paraId="567DA602" w14:textId="77777777" w:rsidR="006A11CF" w:rsidRPr="00DA58E1" w:rsidRDefault="006A11CF" w:rsidP="006A11CF">
      <w:pPr>
        <w:pStyle w:val="Odstavek"/>
        <w:rPr>
          <w:sz w:val="20"/>
          <w:szCs w:val="20"/>
          <w:lang w:val="en-GB"/>
        </w:rPr>
      </w:pPr>
      <w:r w:rsidRPr="00DA58E1">
        <w:rPr>
          <w:sz w:val="20"/>
          <w:szCs w:val="20"/>
          <w:lang w:val="en-GB"/>
        </w:rPr>
        <w:t xml:space="preserve">Notwithstanding the provisions of this Act relating to the financial position of the applicant and the applicant's family, legal aid may also be granted if the applicant fulfils the conditions laid down in Article 24 of this Act and if the personal income of the applicant or the applicant's family does not exceed four times the basic amount of the minimum income laid down in the act governing the social assistance benefits and if the value of the assets of the applicant and the applicant's family does not exceed 60 times the basic amount of the minimum income (exceptional legal aid). </w:t>
      </w:r>
    </w:p>
    <w:p w14:paraId="2D568EB8" w14:textId="77777777" w:rsidR="006A11CF" w:rsidRPr="00DA58E1" w:rsidRDefault="006A11CF" w:rsidP="006A11CF">
      <w:pPr>
        <w:pStyle w:val="Odstavek"/>
        <w:rPr>
          <w:b/>
          <w:bCs/>
          <w:sz w:val="20"/>
          <w:szCs w:val="20"/>
          <w:lang w:val="en-GB"/>
        </w:rPr>
      </w:pPr>
      <w:r w:rsidRPr="00DA58E1">
        <w:rPr>
          <w:b/>
          <w:bCs/>
          <w:sz w:val="20"/>
          <w:szCs w:val="20"/>
          <w:lang w:val="en-GB"/>
        </w:rPr>
        <w:t xml:space="preserve">Exceptional legal aid shall be granted under the conditions referred to in the preceding paragraph: </w:t>
      </w:r>
    </w:p>
    <w:p w14:paraId="6CADE336" w14:textId="77777777" w:rsidR="006A11CF" w:rsidRPr="00DA58E1" w:rsidRDefault="006A11CF" w:rsidP="006A11CF">
      <w:pPr>
        <w:pStyle w:val="Alineazaodstavkom"/>
        <w:rPr>
          <w:sz w:val="20"/>
          <w:szCs w:val="20"/>
          <w:lang w:val="en-GB"/>
        </w:rPr>
      </w:pPr>
      <w:r w:rsidRPr="00DA58E1">
        <w:rPr>
          <w:sz w:val="20"/>
          <w:szCs w:val="20"/>
          <w:lang w:val="en-GB"/>
        </w:rPr>
        <w:t xml:space="preserve">due to the family circumstances of the applicant if the cost of living of the applicant's family is burdened by extraordinary costs of medical treatment of a family member, costs of </w:t>
      </w:r>
      <w:r w:rsidRPr="00DA58E1">
        <w:rPr>
          <w:sz w:val="20"/>
          <w:szCs w:val="20"/>
          <w:lang w:val="en-GB"/>
        </w:rPr>
        <w:lastRenderedPageBreak/>
        <w:t xml:space="preserve">maintenance of a family member with a physical or mental developmental impairment, costs of education and training of children with special needs, and other costs caused by force majeure or other reasons beyond the control of the applicant or the applicant's family; </w:t>
      </w:r>
    </w:p>
    <w:p w14:paraId="65F27B90" w14:textId="77777777" w:rsidR="006A11CF" w:rsidRPr="00DA58E1" w:rsidRDefault="006A11CF" w:rsidP="006A11CF">
      <w:pPr>
        <w:pStyle w:val="Alineazaodstavkom"/>
        <w:rPr>
          <w:sz w:val="20"/>
          <w:szCs w:val="20"/>
          <w:lang w:val="en-GB"/>
        </w:rPr>
      </w:pPr>
      <w:r w:rsidRPr="00DA58E1">
        <w:rPr>
          <w:sz w:val="20"/>
          <w:szCs w:val="20"/>
          <w:lang w:val="en-GB"/>
        </w:rPr>
        <w:t xml:space="preserve">due to the applicant's state of health if the costs relating to the applicant's treatment are burdened by justified costs that are not covered by compulsory health insurance but are necessary due to the applicant's level of disability or other forms of physical or mental impairment; </w:t>
      </w:r>
    </w:p>
    <w:p w14:paraId="227B215A" w14:textId="77777777" w:rsidR="006A11CF" w:rsidRPr="00DA58E1" w:rsidRDefault="006A11CF" w:rsidP="006A11CF">
      <w:pPr>
        <w:pStyle w:val="Alineazaodstavkom"/>
        <w:rPr>
          <w:sz w:val="20"/>
          <w:szCs w:val="20"/>
          <w:lang w:val="en-GB"/>
        </w:rPr>
      </w:pPr>
      <w:r w:rsidRPr="00DA58E1">
        <w:rPr>
          <w:sz w:val="20"/>
          <w:szCs w:val="20"/>
          <w:lang w:val="en-GB"/>
        </w:rPr>
        <w:t xml:space="preserve">due to an extraordinary financial liability if the applicant and the applicant's family become burdened by an extraordinary financial liability of which the applicant could not have been aware or could not have taken into account because it emerged as a consequence of force majeure (e.g. earthquake, flood, etc.); </w:t>
      </w:r>
    </w:p>
    <w:p w14:paraId="68BB2B98" w14:textId="77777777" w:rsidR="006A11CF" w:rsidRPr="00DA58E1" w:rsidRDefault="006A11CF" w:rsidP="006A11CF">
      <w:pPr>
        <w:pStyle w:val="Alineazaodstavkom"/>
        <w:rPr>
          <w:b/>
          <w:bCs/>
          <w:sz w:val="20"/>
          <w:szCs w:val="20"/>
          <w:lang w:val="en-GB"/>
        </w:rPr>
      </w:pPr>
      <w:r w:rsidRPr="00DA58E1">
        <w:rPr>
          <w:b/>
          <w:bCs/>
          <w:sz w:val="20"/>
          <w:szCs w:val="20"/>
          <w:lang w:val="en-GB"/>
        </w:rPr>
        <w:t xml:space="preserve">if the major part of the personal income of the applicant or any of the applicant's family member is intended for the payment of institutional care services (e.g. payment for care in a home for the elderly); </w:t>
      </w:r>
    </w:p>
    <w:p w14:paraId="6F84655F" w14:textId="77777777" w:rsidR="006A11CF" w:rsidRPr="00DA58E1" w:rsidRDefault="006A11CF" w:rsidP="006A11CF">
      <w:pPr>
        <w:pStyle w:val="Alineazaodstavkom"/>
        <w:rPr>
          <w:sz w:val="20"/>
          <w:szCs w:val="20"/>
          <w:lang w:val="en-GB"/>
        </w:rPr>
      </w:pPr>
      <w:r w:rsidRPr="00DA58E1">
        <w:rPr>
          <w:sz w:val="20"/>
          <w:szCs w:val="20"/>
          <w:lang w:val="en-GB"/>
        </w:rPr>
        <w:t xml:space="preserve">in the case of an applicant who as a maintenance creditor wishes to enforce the maintenance determined by a court, or the maintenance agreed upon between the maintenance debtor and creditor in accordance with the act governing marriage and family relations and in the form of an enforceable notarial record, or an agreement concluded with the competent social work centre; </w:t>
      </w:r>
    </w:p>
    <w:p w14:paraId="4531D0B7" w14:textId="77777777" w:rsidR="006A11CF" w:rsidRPr="00DA58E1" w:rsidRDefault="006A11CF" w:rsidP="006A11CF">
      <w:pPr>
        <w:pStyle w:val="Alineazaodstavkom"/>
        <w:rPr>
          <w:sz w:val="20"/>
          <w:szCs w:val="20"/>
          <w:lang w:val="en-GB"/>
        </w:rPr>
      </w:pPr>
      <w:r w:rsidRPr="00DA58E1">
        <w:rPr>
          <w:sz w:val="20"/>
          <w:szCs w:val="20"/>
          <w:lang w:val="en-GB"/>
        </w:rPr>
        <w:t xml:space="preserve">in the case of an applicant to whom a guardian has been assigned to represent a special case in judicial proceedings, or an applicant deprived of legal capacity unless the legal capacity of the applicant has been limited or denied due to the applicant's frequent filing of unreasonable applications in judicial proceedings; </w:t>
      </w:r>
    </w:p>
    <w:p w14:paraId="2320E934" w14:textId="77777777" w:rsidR="006A11CF" w:rsidRPr="00DA58E1" w:rsidRDefault="006A11CF" w:rsidP="006A11CF">
      <w:pPr>
        <w:pStyle w:val="Alineazaodstavkom"/>
        <w:rPr>
          <w:sz w:val="20"/>
          <w:szCs w:val="20"/>
          <w:lang w:val="en-GB"/>
        </w:rPr>
      </w:pPr>
      <w:r w:rsidRPr="00DA58E1">
        <w:rPr>
          <w:sz w:val="20"/>
          <w:szCs w:val="20"/>
          <w:lang w:val="en-GB"/>
        </w:rPr>
        <w:t xml:space="preserve">in other cases due to reasons which the applicant or the applicant's family members could not or cannot have any influence on and due to which their financial position has been put at risk. </w:t>
      </w:r>
    </w:p>
    <w:p w14:paraId="409F38DF" w14:textId="77777777" w:rsidR="006A11CF" w:rsidRPr="00DA58E1" w:rsidRDefault="006A11CF" w:rsidP="006A11CF">
      <w:pPr>
        <w:pStyle w:val="Odstavek"/>
        <w:rPr>
          <w:sz w:val="20"/>
          <w:szCs w:val="20"/>
          <w:lang w:val="en-GB"/>
        </w:rPr>
      </w:pPr>
      <w:r w:rsidRPr="00DA58E1">
        <w:rPr>
          <w:sz w:val="20"/>
          <w:szCs w:val="20"/>
          <w:lang w:val="en-GB"/>
        </w:rPr>
        <w:t>At the request of the legal aid office, an opinion on the facts referred to in the preceding paragraph shall also be given by the responsible social work centre if it is in possession of data on the applicant and the applicant's family.</w:t>
      </w:r>
    </w:p>
    <w:p w14:paraId="518E3297" w14:textId="77777777" w:rsidR="006A11CF" w:rsidRPr="002420B9" w:rsidRDefault="006A11CF" w:rsidP="0070205F">
      <w:pPr>
        <w:jc w:val="both"/>
        <w:rPr>
          <w:rFonts w:cs="Arial"/>
          <w:szCs w:val="20"/>
        </w:rPr>
      </w:pPr>
    </w:p>
    <w:p w14:paraId="143DB0AD" w14:textId="77777777" w:rsidR="0070205F" w:rsidRPr="002420B9" w:rsidRDefault="0070205F">
      <w:pPr>
        <w:rPr>
          <w:rFonts w:cs="Arial"/>
          <w:szCs w:val="20"/>
        </w:rPr>
      </w:pPr>
    </w:p>
    <w:sectPr w:rsidR="0070205F" w:rsidRPr="002420B9" w:rsidSect="00BA7D61">
      <w:headerReference w:type="default" r:id="rId7"/>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3C0D" w14:textId="77777777" w:rsidR="006F33DA" w:rsidRDefault="006F33DA" w:rsidP="006F33DA">
      <w:pPr>
        <w:spacing w:line="240" w:lineRule="auto"/>
      </w:pPr>
      <w:r>
        <w:separator/>
      </w:r>
    </w:p>
  </w:endnote>
  <w:endnote w:type="continuationSeparator" w:id="0">
    <w:p w14:paraId="24D7E8AA" w14:textId="77777777" w:rsidR="006F33DA" w:rsidRDefault="006F33DA" w:rsidP="006F3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132B" w14:textId="77777777" w:rsidR="006C4F4F" w:rsidRDefault="006F33DA">
    <w:pPr>
      <w:pStyle w:val="Footer"/>
      <w:jc w:val="right"/>
    </w:pPr>
    <w:r>
      <w:fldChar w:fldCharType="begin"/>
    </w:r>
    <w:r>
      <w:instrText xml:space="preserve"> PAGE   \* MERGEFORMAT </w:instrText>
    </w:r>
    <w:r>
      <w:fldChar w:fldCharType="separate"/>
    </w:r>
    <w:r>
      <w:rPr>
        <w:noProof/>
      </w:rPr>
      <w:t>3</w:t>
    </w:r>
    <w:r>
      <w:rPr>
        <w:noProof/>
      </w:rPr>
      <w:fldChar w:fldCharType="end"/>
    </w:r>
  </w:p>
  <w:p w14:paraId="5D463275" w14:textId="77777777" w:rsidR="006C4F4F" w:rsidRDefault="002C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A558" w14:textId="77777777" w:rsidR="006F33DA" w:rsidRDefault="006F33DA" w:rsidP="006F33DA">
      <w:pPr>
        <w:spacing w:line="240" w:lineRule="auto"/>
      </w:pPr>
      <w:r>
        <w:separator/>
      </w:r>
    </w:p>
  </w:footnote>
  <w:footnote w:type="continuationSeparator" w:id="0">
    <w:p w14:paraId="43723056" w14:textId="77777777" w:rsidR="006F33DA" w:rsidRDefault="006F33DA" w:rsidP="006F33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C426" w14:textId="77777777" w:rsidR="006C4F4F" w:rsidRPr="00110CBD" w:rsidRDefault="002C6179" w:rsidP="00BA7D61">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C4F4F" w:rsidRPr="008F3500" w14:paraId="1F3A67E8" w14:textId="77777777">
      <w:trPr>
        <w:cantSplit/>
        <w:trHeight w:hRule="exact" w:val="847"/>
      </w:trPr>
      <w:tc>
        <w:tcPr>
          <w:tcW w:w="567" w:type="dxa"/>
        </w:tcPr>
        <w:p w14:paraId="593D4985" w14:textId="77777777" w:rsidR="006C4F4F" w:rsidRPr="008F3500" w:rsidRDefault="006F33DA" w:rsidP="00BA7D61">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588985C" wp14:editId="0449C785">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DDE3C"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30ED084B" w14:textId="77777777" w:rsidR="006C4F4F" w:rsidRDefault="002C6179" w:rsidP="00BA7D61">
    <w:pPr>
      <w:pStyle w:val="Header"/>
      <w:tabs>
        <w:tab w:val="clear" w:pos="4320"/>
        <w:tab w:val="clear" w:pos="8640"/>
        <w:tab w:val="left" w:pos="546"/>
        <w:tab w:val="left" w:pos="5112"/>
      </w:tabs>
      <w:spacing w:line="240" w:lineRule="exact"/>
      <w:rPr>
        <w:rFonts w:cs="Arial"/>
        <w:sz w:val="16"/>
      </w:rPr>
    </w:pPr>
  </w:p>
  <w:p w14:paraId="1063FF3D" w14:textId="77777777" w:rsidR="006C4F4F" w:rsidRDefault="002C6179" w:rsidP="00BA7D61">
    <w:pPr>
      <w:pStyle w:val="Header"/>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22"/>
    <w:rsid w:val="00085EB9"/>
    <w:rsid w:val="00102493"/>
    <w:rsid w:val="002420B9"/>
    <w:rsid w:val="002A0B22"/>
    <w:rsid w:val="002C6179"/>
    <w:rsid w:val="006474BD"/>
    <w:rsid w:val="006A11CF"/>
    <w:rsid w:val="006F33DA"/>
    <w:rsid w:val="0070205F"/>
    <w:rsid w:val="00A65492"/>
    <w:rsid w:val="00BA69D1"/>
    <w:rsid w:val="00C1593E"/>
    <w:rsid w:val="00CC7761"/>
    <w:rsid w:val="00D31367"/>
    <w:rsid w:val="00DA58E1"/>
    <w:rsid w:val="00DE49F3"/>
    <w:rsid w:val="00E936C3"/>
    <w:rsid w:val="00F07088"/>
    <w:rsid w:val="00F252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2E5D"/>
  <w15:chartTrackingRefBased/>
  <w15:docId w15:val="{778A1BEC-F7D3-4967-A0CA-82AB7A9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22"/>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B22"/>
    <w:pPr>
      <w:tabs>
        <w:tab w:val="center" w:pos="4320"/>
        <w:tab w:val="right" w:pos="8640"/>
      </w:tabs>
    </w:pPr>
  </w:style>
  <w:style w:type="character" w:customStyle="1" w:styleId="HeaderChar">
    <w:name w:val="Header Char"/>
    <w:basedOn w:val="DefaultParagraphFont"/>
    <w:link w:val="Header"/>
    <w:rsid w:val="002A0B22"/>
    <w:rPr>
      <w:rFonts w:ascii="Arial" w:eastAsia="Times New Roman" w:hAnsi="Arial" w:cs="Times New Roman"/>
      <w:sz w:val="20"/>
      <w:szCs w:val="24"/>
    </w:rPr>
  </w:style>
  <w:style w:type="paragraph" w:styleId="Footer">
    <w:name w:val="footer"/>
    <w:basedOn w:val="Normal"/>
    <w:link w:val="FooterChar"/>
    <w:rsid w:val="002A0B22"/>
    <w:pPr>
      <w:tabs>
        <w:tab w:val="center" w:pos="4320"/>
        <w:tab w:val="right" w:pos="8640"/>
      </w:tabs>
    </w:pPr>
    <w:rPr>
      <w:lang w:val="en-US"/>
    </w:rPr>
  </w:style>
  <w:style w:type="character" w:customStyle="1" w:styleId="FooterChar">
    <w:name w:val="Footer Char"/>
    <w:basedOn w:val="DefaultParagraphFont"/>
    <w:link w:val="Footer"/>
    <w:rsid w:val="002A0B22"/>
    <w:rPr>
      <w:rFonts w:ascii="Arial" w:eastAsia="Times New Roman" w:hAnsi="Arial" w:cs="Times New Roman"/>
      <w:sz w:val="20"/>
      <w:szCs w:val="24"/>
      <w:lang w:val="en-US"/>
    </w:rPr>
  </w:style>
  <w:style w:type="paragraph" w:customStyle="1" w:styleId="datumtevilka">
    <w:name w:val="datum številka"/>
    <w:basedOn w:val="Normal"/>
    <w:qFormat/>
    <w:rsid w:val="002A0B22"/>
    <w:pPr>
      <w:tabs>
        <w:tab w:val="left" w:pos="1701"/>
      </w:tabs>
    </w:pPr>
    <w:rPr>
      <w:szCs w:val="20"/>
      <w:lang w:eastAsia="sl-SI"/>
    </w:rPr>
  </w:style>
  <w:style w:type="paragraph" w:customStyle="1" w:styleId="ZADEVA">
    <w:name w:val="ZADEVA"/>
    <w:basedOn w:val="Normal"/>
    <w:qFormat/>
    <w:rsid w:val="002A0B22"/>
    <w:pPr>
      <w:tabs>
        <w:tab w:val="left" w:pos="1701"/>
      </w:tabs>
      <w:ind w:left="1701" w:hanging="1701"/>
    </w:pPr>
    <w:rPr>
      <w:b/>
      <w:lang w:val="it-IT"/>
    </w:rPr>
  </w:style>
  <w:style w:type="character" w:styleId="Hyperlink">
    <w:name w:val="Hyperlink"/>
    <w:rsid w:val="002A0B22"/>
    <w:rPr>
      <w:color w:val="0000FF"/>
      <w:u w:val="single"/>
    </w:rPr>
  </w:style>
  <w:style w:type="character" w:customStyle="1" w:styleId="lenZnak">
    <w:name w:val="Člen Znak"/>
    <w:basedOn w:val="DefaultParagraphFont"/>
    <w:link w:val="len"/>
    <w:uiPriority w:val="99"/>
    <w:locked/>
    <w:rsid w:val="002A0B22"/>
    <w:rPr>
      <w:rFonts w:ascii="Arial" w:hAnsi="Arial" w:cs="Arial"/>
      <w:b/>
      <w:bCs/>
      <w:lang w:eastAsia="x-none"/>
    </w:rPr>
  </w:style>
  <w:style w:type="paragraph" w:customStyle="1" w:styleId="len">
    <w:name w:val="Člen"/>
    <w:basedOn w:val="Normal"/>
    <w:link w:val="lenZnak"/>
    <w:uiPriority w:val="99"/>
    <w:rsid w:val="002A0B22"/>
    <w:pPr>
      <w:spacing w:before="480" w:line="240" w:lineRule="auto"/>
      <w:jc w:val="center"/>
    </w:pPr>
    <w:rPr>
      <w:rFonts w:eastAsiaTheme="minorHAnsi" w:cs="Arial"/>
      <w:b/>
      <w:bCs/>
      <w:sz w:val="22"/>
      <w:szCs w:val="22"/>
      <w:lang w:eastAsia="x-none"/>
    </w:rPr>
  </w:style>
  <w:style w:type="character" w:customStyle="1" w:styleId="OdstavekZnak">
    <w:name w:val="Odstavek Znak"/>
    <w:basedOn w:val="DefaultParagraphFont"/>
    <w:link w:val="Odstavek"/>
    <w:uiPriority w:val="99"/>
    <w:locked/>
    <w:rsid w:val="002A0B22"/>
    <w:rPr>
      <w:rFonts w:ascii="Arial" w:hAnsi="Arial" w:cs="Arial"/>
      <w:lang w:eastAsia="x-none"/>
    </w:rPr>
  </w:style>
  <w:style w:type="paragraph" w:customStyle="1" w:styleId="Odstavek">
    <w:name w:val="Odstavek"/>
    <w:basedOn w:val="Normal"/>
    <w:link w:val="OdstavekZnak"/>
    <w:uiPriority w:val="99"/>
    <w:qFormat/>
    <w:rsid w:val="002A0B22"/>
    <w:pPr>
      <w:spacing w:before="240" w:line="240" w:lineRule="auto"/>
      <w:ind w:firstLine="1021"/>
      <w:jc w:val="both"/>
    </w:pPr>
    <w:rPr>
      <w:rFonts w:eastAsiaTheme="minorHAnsi" w:cs="Arial"/>
      <w:sz w:val="22"/>
      <w:szCs w:val="22"/>
      <w:lang w:eastAsia="x-none"/>
    </w:rPr>
  </w:style>
  <w:style w:type="paragraph" w:customStyle="1" w:styleId="h4">
    <w:name w:val="h4"/>
    <w:basedOn w:val="Normal"/>
    <w:rsid w:val="00A65492"/>
    <w:pPr>
      <w:spacing w:before="240" w:after="180" w:line="240" w:lineRule="auto"/>
      <w:ind w:left="12" w:right="12"/>
      <w:jc w:val="center"/>
    </w:pPr>
    <w:rPr>
      <w:rFonts w:cs="Arial"/>
      <w:b/>
      <w:bCs/>
      <w:snapToGrid w:val="0"/>
      <w:color w:val="222222"/>
      <w:sz w:val="22"/>
      <w:szCs w:val="22"/>
    </w:rPr>
  </w:style>
  <w:style w:type="paragraph" w:customStyle="1" w:styleId="p">
    <w:name w:val="p"/>
    <w:basedOn w:val="Normal"/>
    <w:rsid w:val="00A65492"/>
    <w:pPr>
      <w:spacing w:before="48" w:after="12" w:line="240" w:lineRule="auto"/>
      <w:ind w:left="12" w:right="12" w:firstLine="240"/>
      <w:jc w:val="both"/>
    </w:pPr>
    <w:rPr>
      <w:rFonts w:cs="Arial"/>
      <w:snapToGrid w:val="0"/>
      <w:color w:val="222222"/>
      <w:sz w:val="22"/>
      <w:szCs w:val="22"/>
    </w:rPr>
  </w:style>
  <w:style w:type="paragraph" w:customStyle="1" w:styleId="odstavek0">
    <w:name w:val="odstavek"/>
    <w:basedOn w:val="Normal"/>
    <w:rsid w:val="00CC7761"/>
    <w:pPr>
      <w:spacing w:before="100" w:beforeAutospacing="1" w:after="100" w:afterAutospacing="1" w:line="240" w:lineRule="auto"/>
    </w:pPr>
    <w:rPr>
      <w:rFonts w:ascii="Times New Roman" w:hAnsi="Times New Roman"/>
      <w:sz w:val="24"/>
      <w:lang w:eastAsia="sl-SI"/>
    </w:rPr>
  </w:style>
  <w:style w:type="paragraph" w:customStyle="1" w:styleId="Vrstapredpisa">
    <w:name w:val="Vrsta predpisa"/>
    <w:basedOn w:val="Normal"/>
    <w:link w:val="VrstapredpisaZnak"/>
    <w:uiPriority w:val="99"/>
    <w:rsid w:val="006A11CF"/>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character" w:customStyle="1" w:styleId="VrstapredpisaZnak">
    <w:name w:val="Vrsta predpisa Znak"/>
    <w:basedOn w:val="DefaultParagraphFont"/>
    <w:link w:val="Vrstapredpisa"/>
    <w:uiPriority w:val="99"/>
    <w:rsid w:val="006A11CF"/>
    <w:rPr>
      <w:rFonts w:ascii="Arial" w:eastAsia="Times New Roman" w:hAnsi="Arial" w:cs="Arial"/>
      <w:b/>
      <w:bCs/>
      <w:color w:val="000000"/>
      <w:spacing w:val="40"/>
      <w:lang w:eastAsia="sl-SI"/>
    </w:rPr>
  </w:style>
  <w:style w:type="paragraph" w:customStyle="1" w:styleId="Alineazaodstavkom">
    <w:name w:val="Alinea za odstavkom"/>
    <w:basedOn w:val="Normal"/>
    <w:link w:val="AlineazaodstavkomZnak"/>
    <w:uiPriority w:val="99"/>
    <w:rsid w:val="006A11CF"/>
    <w:pPr>
      <w:numPr>
        <w:numId w:val="1"/>
      </w:numPr>
      <w:spacing w:line="240" w:lineRule="auto"/>
      <w:jc w:val="both"/>
    </w:pPr>
    <w:rPr>
      <w:rFonts w:cs="Arial"/>
      <w:sz w:val="22"/>
      <w:szCs w:val="22"/>
      <w:lang w:eastAsia="sl-SI"/>
    </w:rPr>
  </w:style>
  <w:style w:type="character" w:customStyle="1" w:styleId="AlineazaodstavkomZnak">
    <w:name w:val="Alinea za odstavkom Znak"/>
    <w:basedOn w:val="DefaultParagraphFont"/>
    <w:link w:val="Alineazaodstavkom"/>
    <w:uiPriority w:val="99"/>
    <w:rsid w:val="006A11C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9781">
      <w:bodyDiv w:val="1"/>
      <w:marLeft w:val="0"/>
      <w:marRight w:val="0"/>
      <w:marTop w:val="0"/>
      <w:marBottom w:val="0"/>
      <w:divBdr>
        <w:top w:val="none" w:sz="0" w:space="0" w:color="auto"/>
        <w:left w:val="none" w:sz="0" w:space="0" w:color="auto"/>
        <w:bottom w:val="none" w:sz="0" w:space="0" w:color="auto"/>
        <w:right w:val="none" w:sz="0" w:space="0" w:color="auto"/>
      </w:divBdr>
    </w:div>
    <w:div w:id="1375076495">
      <w:bodyDiv w:val="1"/>
      <w:marLeft w:val="0"/>
      <w:marRight w:val="0"/>
      <w:marTop w:val="0"/>
      <w:marBottom w:val="0"/>
      <w:divBdr>
        <w:top w:val="none" w:sz="0" w:space="0" w:color="auto"/>
        <w:left w:val="none" w:sz="0" w:space="0" w:color="auto"/>
        <w:bottom w:val="none" w:sz="0" w:space="0" w:color="auto"/>
        <w:right w:val="none" w:sz="0" w:space="0" w:color="auto"/>
      </w:divBdr>
    </w:div>
    <w:div w:id="20267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39D4BE-BD2C-46C3-9B9F-6D295CF4BECD}"/>
</file>

<file path=customXml/itemProps2.xml><?xml version="1.0" encoding="utf-8"?>
<ds:datastoreItem xmlns:ds="http://schemas.openxmlformats.org/officeDocument/2006/customXml" ds:itemID="{1A068E10-EB48-43C6-B751-A44DE7183B30}"/>
</file>

<file path=customXml/itemProps3.xml><?xml version="1.0" encoding="utf-8"?>
<ds:datastoreItem xmlns:ds="http://schemas.openxmlformats.org/officeDocument/2006/customXml" ds:itemID="{303179AE-7A51-45E2-B9ED-6BFE6772FEA9}"/>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Alja Klopčič</cp:lastModifiedBy>
  <cp:revision>6</cp:revision>
  <dcterms:created xsi:type="dcterms:W3CDTF">2021-12-03T14:08:00Z</dcterms:created>
  <dcterms:modified xsi:type="dcterms:W3CDTF">2021-12-08T13:42:00Z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