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D90" w14:textId="61F41B38" w:rsidR="0017692A" w:rsidRPr="0010299A" w:rsidRDefault="0017692A" w:rsidP="0010299A">
      <w:pPr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b/>
          <w:sz w:val="21"/>
          <w:szCs w:val="21"/>
          <w:lang w:val="ru-RU"/>
        </w:rPr>
        <w:t>Предварительные выводы Специального докладчика по вопросу о поощрении</w:t>
      </w:r>
    </w:p>
    <w:p w14:paraId="725A0907" w14:textId="77777777" w:rsidR="0010299A" w:rsidRPr="0010299A" w:rsidRDefault="0017692A" w:rsidP="0010299A">
      <w:pPr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b/>
          <w:sz w:val="21"/>
          <w:szCs w:val="21"/>
          <w:lang w:val="ru-RU"/>
        </w:rPr>
        <w:t>и защите прав человека и основных свобод в условиях борьбы с терроризмом</w:t>
      </w:r>
      <w:r w:rsidR="00905A27" w:rsidRPr="0010299A">
        <w:rPr>
          <w:rFonts w:ascii="Times New Roman" w:hAnsi="Times New Roman" w:cs="Times New Roman"/>
          <w:b/>
          <w:sz w:val="21"/>
          <w:szCs w:val="21"/>
          <w:lang w:val="ru-RU"/>
        </w:rPr>
        <w:t xml:space="preserve"> </w:t>
      </w:r>
    </w:p>
    <w:p w14:paraId="176C21F7" w14:textId="64141AEE" w:rsidR="003230C1" w:rsidRPr="0010299A" w:rsidRDefault="00905A27" w:rsidP="0010299A">
      <w:pPr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b/>
          <w:sz w:val="21"/>
          <w:szCs w:val="21"/>
          <w:lang w:val="ru-RU"/>
        </w:rPr>
        <w:t>о ее визите в Узбекистан</w:t>
      </w:r>
    </w:p>
    <w:p w14:paraId="5A74FAA6" w14:textId="54C0A2D9" w:rsidR="003230C1" w:rsidRPr="0010299A" w:rsidRDefault="003230C1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566C3BCB" w14:textId="77777777" w:rsidR="003230C1" w:rsidRPr="0010299A" w:rsidRDefault="003230C1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797E1843" w14:textId="56A22032" w:rsidR="00905A27" w:rsidRPr="0010299A" w:rsidRDefault="00905A27" w:rsidP="0010299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докладчик по вопрос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ам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поощрени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я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защит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ы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прав человека и основных свобод в условиях борьбы с терроризмом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Финнула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Ни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Ило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н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совершила официальную поездку в Узбекистан с 2</w:t>
      </w:r>
      <w:r w:rsidR="0010299A" w:rsidRPr="0010299A">
        <w:rPr>
          <w:rFonts w:ascii="Times New Roman" w:hAnsi="Times New Roman" w:cs="Times New Roman"/>
          <w:sz w:val="21"/>
          <w:szCs w:val="21"/>
          <w:lang w:val="ru-RU"/>
        </w:rPr>
        <w:t>9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ноября по 7 декабря 2021 года, чтобы оценить соответствие законов, политики и практики </w:t>
      </w:r>
      <w:r w:rsidR="00C711CA" w:rsidRPr="0010299A">
        <w:rPr>
          <w:rFonts w:ascii="Times New Roman" w:hAnsi="Times New Roman" w:cs="Times New Roman"/>
          <w:sz w:val="21"/>
          <w:szCs w:val="21"/>
          <w:lang w:val="ru-RU"/>
        </w:rPr>
        <w:t>государства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области борьбы с терроризмом е</w:t>
      </w:r>
      <w:r w:rsidR="00C711CA" w:rsidRPr="0010299A">
        <w:rPr>
          <w:rFonts w:ascii="Times New Roman" w:hAnsi="Times New Roman" w:cs="Times New Roman"/>
          <w:sz w:val="21"/>
          <w:szCs w:val="21"/>
          <w:lang w:val="ru-RU"/>
        </w:rPr>
        <w:t>го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международным обязательствам в области прав человека. </w:t>
      </w:r>
    </w:p>
    <w:p w14:paraId="1DE90C10" w14:textId="77777777" w:rsidR="003230C1" w:rsidRPr="0010299A" w:rsidRDefault="003230C1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69B76E77" w14:textId="2DFBEABA" w:rsidR="003C58F3" w:rsidRPr="0010299A" w:rsidRDefault="003C58F3" w:rsidP="0010299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докладчик высоко оценивает конструктивны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подход правительства к организации ее визита, которы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позволил провести откровенны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открыты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диалог по многим вопросам. Она особенно благодарит Министерство иностранных дел и 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Национальный центр по правам человека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за активное соде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ствие выполнению ее мандата. Она особенно высоко оценивает готовность правительства подавать пример и содействовать организации визита в контексте продолжающейся глобальной пандемии. В настоящее время правозащитная деятельность на глобальном уровне необходима как никогда ранее, и она признательна правительству за то, что в своей руководящей позиции в Совете по правам человека Узбекистан демонстрирует пример возможности эффективного, основательного проведения таких визитов во время текущей пандемии </w:t>
      </w:r>
      <w:r w:rsidRPr="0010299A">
        <w:rPr>
          <w:rFonts w:ascii="Times New Roman" w:hAnsi="Times New Roman" w:cs="Times New Roman"/>
          <w:sz w:val="21"/>
          <w:szCs w:val="21"/>
          <w:lang w:val="en-US"/>
        </w:rPr>
        <w:t>COVID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-19. Она также благодарит Региональное отделение Управления Верховного комиссара Организации Объединенных Наци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 правам человека (УВКПЧ) для Центрально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Азии за неоценимую поддержку в ходе визита. </w:t>
      </w:r>
    </w:p>
    <w:p w14:paraId="5BD08CB5" w14:textId="77777777" w:rsidR="003230C1" w:rsidRPr="0010299A" w:rsidRDefault="003230C1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0F33F7F4" w14:textId="4D46D5A1" w:rsidR="003230C1" w:rsidRPr="00174D58" w:rsidRDefault="002873AB" w:rsidP="0028106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Специальны</w:t>
      </w:r>
      <w:r w:rsidR="00415896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й</w:t>
      </w:r>
      <w:r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докладчик провела встречи с Министром иностранных дел, Министром юстиции, Министром внутренних дел, Министром финансов, Министром обороны, Председателем Верховного Суда</w:t>
      </w:r>
      <w:r w:rsidR="004D4EEF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Председателем Конституционного суда, </w:t>
      </w:r>
      <w:r w:rsidR="004D4EEF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Директором 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Национального центра по правам человека,</w:t>
      </w:r>
      <w:r w:rsidR="004D4EEF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B328A0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Уполномоченным</w:t>
      </w:r>
      <w:r w:rsidR="004D4EEF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Республики Узбекистан</w:t>
      </w:r>
      <w:r w:rsidR="00B328A0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по правам человека</w:t>
      </w:r>
      <w:r w:rsidR="004D4EEF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Детским </w:t>
      </w:r>
      <w:proofErr w:type="spellStart"/>
      <w:r w:rsidR="004F5DE2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мбудсманом</w:t>
      </w:r>
      <w:proofErr w:type="spellEnd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 Бизнес-</w:t>
      </w:r>
      <w:proofErr w:type="spellStart"/>
      <w:r w:rsidR="004F5DE2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мбудсманом</w:t>
      </w:r>
      <w:proofErr w:type="spellEnd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Председателем Сената </w:t>
      </w:r>
      <w:proofErr w:type="spellStart"/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322EB8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Спикером Законодательной палаты </w:t>
      </w:r>
      <w:proofErr w:type="spellStart"/>
      <w:r w:rsidR="00322EB8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322EB8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322EB8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1253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Председателем </w:t>
      </w:r>
      <w:proofErr w:type="spellStart"/>
      <w:r w:rsidR="001253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Жокаргы</w:t>
      </w:r>
      <w:proofErr w:type="spellEnd"/>
      <w:r w:rsidR="001253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1253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Кенеса</w:t>
      </w:r>
      <w:proofErr w:type="spellEnd"/>
      <w:r w:rsidR="001253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Республики Каракалпакстан, </w:t>
      </w:r>
      <w:r w:rsidR="000520B5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Председателем </w:t>
      </w:r>
      <w:r w:rsidR="00FC7272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К</w:t>
      </w:r>
      <w:r w:rsidR="000520B5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омитета</w:t>
      </w:r>
      <w:r w:rsidR="00FC7272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0520B5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по </w:t>
      </w:r>
      <w:r w:rsidR="00FC7272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противодей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ствию коррупции и 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судебно-правовым вопросам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Законодательной палаты </w:t>
      </w:r>
      <w:proofErr w:type="spellStart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B328A0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Председателем Комитета по демократическим институтам,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B328A0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неправительственным организациям и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C711CA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орган</w:t>
      </w:r>
      <w:r w:rsidR="00082CF7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ам</w:t>
      </w:r>
      <w:r w:rsidR="00C711CA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самоуправления граждан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Законодательной палаты </w:t>
      </w:r>
      <w:proofErr w:type="spellStart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Председателем Комитета по судебно-правовым вопросам и противодействию коррупции Сената </w:t>
      </w:r>
      <w:proofErr w:type="spellStart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Председателем Комитета по вопросам обороны и безопасности Сената </w:t>
      </w:r>
      <w:proofErr w:type="spellStart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FC7272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Председателем Комитета по вопросам женщин и гендерного равенства</w:t>
      </w:r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Сената </w:t>
      </w:r>
      <w:proofErr w:type="spellStart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Мажлиса</w:t>
      </w:r>
      <w:proofErr w:type="spellEnd"/>
      <w:r w:rsidR="00FC7272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A22155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Генеральным прокурором</w:t>
      </w:r>
      <w:r w:rsidR="003230C1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</w:t>
      </w:r>
      <w:r w:rsidR="00FC7272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Начальником Департамента по борьбе с экономическими преступлениями</w:t>
      </w:r>
      <w:r w:rsidR="00FC7272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Генеральной прокуратуры, 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Начальником </w:t>
      </w:r>
      <w:r w:rsidR="00FC7272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У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правления по борьбе с организованной преступностью и коррупцией,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Начальником отдела защиты прав и свобод граждан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з</w:t>
      </w:r>
      <w:r w:rsidR="00B328A0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аместителем Министра и Начальником следственного департамента Министерства внутренних дел, Начальником Управления юридического обеспечения Министерства внутренних дел,</w:t>
      </w:r>
      <w:r w:rsidR="003230C1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B328A0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Начальником Департамента исполнения наказаний при Министерстве внутренних дел</w:t>
      </w:r>
      <w:r w:rsidR="003230C1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B328A0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Начальником Службы </w:t>
      </w:r>
      <w:r w:rsidR="00322EB8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пробации</w:t>
      </w:r>
      <w:r w:rsidR="00281067" w:rsidRPr="00E63F51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при Министерстве внутренних дел</w:t>
      </w:r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281067" w:rsidRPr="00542A34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Начальником Главного </w:t>
      </w:r>
      <w:r w:rsidR="00281067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Управления по борьбе с терроризмом Службы государственной безопасности</w:t>
      </w:r>
      <w:r w:rsidR="003230C1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643D17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Директором Института проблем законодательства и парламентских исследований при </w:t>
      </w:r>
      <w:proofErr w:type="spellStart"/>
      <w:r w:rsidR="00643D17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Олий</w:t>
      </w:r>
      <w:proofErr w:type="spellEnd"/>
      <w:r w:rsidR="00643D17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="00643D17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Мажлисе</w:t>
      </w:r>
      <w:proofErr w:type="spellEnd"/>
      <w:r w:rsidR="00643D17" w:rsidRPr="00174D5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Республики Узбекистан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r w:rsidR="00B328A0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Директором Центра повышения квалификации юристов</w:t>
      </w:r>
      <w:r w:rsidR="003230C1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proofErr w:type="spellStart"/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и.о</w:t>
      </w:r>
      <w:proofErr w:type="spellEnd"/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. </w:t>
      </w:r>
      <w:r w:rsidR="00B328A0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Р</w:t>
      </w:r>
      <w:r w:rsidR="000520B5" w:rsidRP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ектора Ташкентского государственного юридического университета</w:t>
      </w:r>
      <w:r w:rsidR="001253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.</w:t>
      </w:r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</w:p>
    <w:p w14:paraId="72957110" w14:textId="77777777" w:rsidR="003230C1" w:rsidRPr="00512BC8" w:rsidRDefault="003230C1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54A1869" w14:textId="15AB50D4" w:rsidR="00082CF7" w:rsidRPr="0010299A" w:rsidRDefault="00082CF7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ходе своей поездки, помимо г. Ташкент, столицы Республики Узбекистан, Специальный докладчик посетила г. Нукус в Республике Каракалпакстан, а также и Наманганскую и </w:t>
      </w:r>
      <w:r w:rsidRPr="005A6EE8">
        <w:rPr>
          <w:rFonts w:ascii="Times New Roman" w:hAnsi="Times New Roman" w:cs="Times New Roman"/>
          <w:sz w:val="21"/>
          <w:szCs w:val="21"/>
          <w:lang w:val="ru-RU"/>
        </w:rPr>
        <w:t>Кашкадарьинскую</w:t>
      </w:r>
      <w:r w:rsidRPr="005A6EE8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области</w:t>
      </w:r>
      <w:r w:rsidRPr="00480236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. 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Она посетила женскую тюрьму в </w:t>
      </w:r>
      <w:proofErr w:type="spellStart"/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Зангиатинском</w:t>
      </w:r>
      <w:proofErr w:type="spellEnd"/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районе (Ташкентская область), а также тюрьмы в Намангане</w:t>
      </w:r>
      <w:r w:rsidR="00281067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(Наманганская область)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Шайхали</w:t>
      </w:r>
      <w:proofErr w:type="spellEnd"/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и Касане (Кашкадарьинская область).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Она благодарит правительство за предоставление доступа к санаторию «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Умид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Гулшани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», который был преобразован в реабилитационный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 xml:space="preserve">центр для лиц, репатриированных из зон конфликта. В данном санатории ей представилась уникальная возможность встретиться с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возвращенцами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из зон конфликта в Сирии и Ираке, а также с должностными лицами и сотрудниками, управляющими центром. Специальный докладчик также</w:t>
      </w:r>
      <w:r w:rsidR="005A6EE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провела встречи с участием широкого круга организаций гражданского общества, активистами, исследователями, адвокатами, экспертами в области прав человека,</w:t>
      </w:r>
      <w:r w:rsidR="00281067">
        <w:rPr>
          <w:rFonts w:ascii="Times New Roman" w:hAnsi="Times New Roman" w:cs="Times New Roman"/>
          <w:sz w:val="21"/>
          <w:szCs w:val="21"/>
          <w:lang w:val="ru-RU"/>
        </w:rPr>
        <w:t xml:space="preserve"> представителями религиозных конфессий,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а также со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страновой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группой Организации Объединенных Наций. </w:t>
      </w:r>
    </w:p>
    <w:p w14:paraId="7E6600D8" w14:textId="77777777" w:rsidR="003230C1" w:rsidRPr="0010299A" w:rsidRDefault="003230C1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1CEC46F" w14:textId="68489E71" w:rsidR="003230C1" w:rsidRPr="0010299A" w:rsidRDefault="00CD3BA4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Узбекистан является</w:t>
      </w:r>
      <w:r w:rsidR="00F1087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участником основных международных документов по правам человека, в том числе Конвенци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F1087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против пыток и других жестоких, бесчеловечных или унижающих достоинство видов обращения и наказания (КПП), Международного пакта о гражданских и политических правах (МПГПП)</w:t>
      </w:r>
      <w:r w:rsidR="00C937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F1087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Конвенцию о ликвидации всех форм дискриминации в отношении женщин </w:t>
      </w:r>
      <w:r w:rsidR="00C937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F10879" w:rsidRPr="0010299A">
        <w:rPr>
          <w:rFonts w:ascii="Times New Roman" w:hAnsi="Times New Roman" w:cs="Times New Roman"/>
          <w:sz w:val="21"/>
          <w:szCs w:val="21"/>
          <w:lang w:val="ru-RU"/>
        </w:rPr>
        <w:t>КЛДЖ</w:t>
      </w:r>
      <w:r w:rsidR="00C937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), </w:t>
      </w:r>
      <w:r w:rsidR="00F10879" w:rsidRPr="0010299A">
        <w:rPr>
          <w:rFonts w:ascii="Times New Roman" w:hAnsi="Times New Roman" w:cs="Times New Roman"/>
          <w:sz w:val="21"/>
          <w:szCs w:val="21"/>
          <w:lang w:val="ru-RU"/>
        </w:rPr>
        <w:t>Международной конвенции о ликвидации всех форм расовой дискриминации (КЛРД)</w:t>
      </w:r>
      <w:r w:rsidR="00C937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F10879" w:rsidRPr="0010299A">
        <w:rPr>
          <w:rFonts w:ascii="Times New Roman" w:hAnsi="Times New Roman" w:cs="Times New Roman"/>
          <w:sz w:val="21"/>
          <w:szCs w:val="21"/>
          <w:lang w:val="ru-RU"/>
        </w:rPr>
        <w:t>Международного пакта об экономических, социальных и культурных правах (МПЭСКП)</w:t>
      </w:r>
      <w:r w:rsidR="00C937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Конвенции о правах ребенка (КПР)</w:t>
      </w:r>
      <w:r w:rsidR="00C937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 двух факультативных протоколов к ней, </w:t>
      </w:r>
      <w:r w:rsidR="00281067">
        <w:rPr>
          <w:rFonts w:ascii="Times New Roman" w:hAnsi="Times New Roman" w:cs="Times New Roman"/>
          <w:sz w:val="21"/>
          <w:szCs w:val="21"/>
          <w:lang w:val="ru-RU"/>
        </w:rPr>
        <w:t>Конвенции о правах инвалидов</w:t>
      </w:r>
      <w:r w:rsidR="00B06884">
        <w:rPr>
          <w:rFonts w:ascii="Times New Roman" w:hAnsi="Times New Roman" w:cs="Times New Roman"/>
          <w:sz w:val="21"/>
          <w:szCs w:val="21"/>
          <w:lang w:val="ru-RU"/>
        </w:rPr>
        <w:t xml:space="preserve"> (КПИ)</w:t>
      </w:r>
      <w:r w:rsidR="00281067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а также других международных и региональных соглашений.</w:t>
      </w:r>
    </w:p>
    <w:p w14:paraId="4452A29A" w14:textId="77777777" w:rsidR="003230C1" w:rsidRPr="0010299A" w:rsidRDefault="003230C1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0DB2574" w14:textId="4FA10E65" w:rsidR="003230C1" w:rsidRPr="0010299A" w:rsidRDefault="00CD3BA4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Риск терроризма в </w:t>
      </w:r>
      <w:r w:rsidR="007D332D" w:rsidRPr="0010299A">
        <w:rPr>
          <w:rFonts w:ascii="Times New Roman" w:hAnsi="Times New Roman" w:cs="Times New Roman"/>
          <w:sz w:val="21"/>
          <w:szCs w:val="21"/>
          <w:lang w:val="ru-RU"/>
        </w:rPr>
        <w:t>Узбекистане в целом оценивается как низкий.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7D332D" w:rsidRPr="0010299A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Глобальном индексе терроризма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(2020)</w:t>
      </w:r>
      <w:r w:rsidR="00C81E71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7D332D" w:rsidRPr="0010299A">
        <w:rPr>
          <w:rFonts w:ascii="Times New Roman" w:hAnsi="Times New Roman" w:cs="Times New Roman"/>
          <w:sz w:val="21"/>
          <w:szCs w:val="21"/>
          <w:lang w:val="ru-RU"/>
        </w:rPr>
        <w:t>Узбекистан занимает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13</w:t>
      </w:r>
      <w:r w:rsidR="007D332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4-е место и относится к категории стран с незначительным уровнем глобальной террористической угрозы и высоким уровнем безопасности и стабильности. Недавние события в регионе, в частности, смена власти в Афганистане,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усилили обеспокоенность по поводу региональной безопасности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отмечает прагматичный подход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сотрудников служб безопасности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отношении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учета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>контекста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региональной безопасности и взаимодействия с 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 xml:space="preserve">фактическими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властями Афганистан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Была отмечена обеспокоенность по поводу запрещенных организаций,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том числе из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перечней террористических организаций ООН, включая 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>текущ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оценк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у</w:t>
      </w:r>
      <w:r w:rsidR="002639F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угроз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со стороны Аль-Каиды и </w:t>
      </w:r>
      <w:proofErr w:type="spellStart"/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Вилаят</w:t>
      </w:r>
      <w:proofErr w:type="spellEnd"/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Хорасан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>докладчик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с удовлетворением отмечает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>работу правительства по смягчению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острого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>гуманитарного кризиса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Афганистане путем предоставления электроэнергии и гуманитарной помощи. Специальный докладчик отмечает, что Узбекистан и другие государства в регионе СНГ играют ключевую стабилизирующую роль и должны получать должную поддержку международного сообщества для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сохранения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расширения своей способности предотвратить надвигающуюся гуманитарную катастрофу в Афганистане. Сотрудничество с гуманитарными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подразделениями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ООН будет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жизненно 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>необходимо. Без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совместных целенаправленных</w:t>
      </w:r>
      <w:r w:rsidR="00C81E7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глобальных усилий</w:t>
      </w:r>
      <w:r w:rsidR="008956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нацеленных на поддержание региона в целом, гуманитарный кризис в Афганистане </w:t>
      </w:r>
      <w:r w:rsidR="00F1242B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повлечет за собой катастрофические последствия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для</w:t>
      </w:r>
      <w:r w:rsidR="00F1242B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прав человека в стране и подорвет региональные и глобальные усилия в области безопасности.</w:t>
      </w:r>
    </w:p>
    <w:p w14:paraId="59FCDF12" w14:textId="0CB13586" w:rsidR="00F1242B" w:rsidRPr="00542A34" w:rsidRDefault="00F1242B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14:paraId="09E0A61F" w14:textId="4D7147A1" w:rsidR="00E72203" w:rsidRPr="0010299A" w:rsidRDefault="00F1242B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Правительство </w:t>
      </w:r>
      <w:r w:rsidR="0083728C" w:rsidRPr="0010299A">
        <w:rPr>
          <w:rFonts w:ascii="Times New Roman" w:hAnsi="Times New Roman" w:cs="Times New Roman"/>
          <w:sz w:val="21"/>
          <w:szCs w:val="21"/>
          <w:lang w:val="ru-RU"/>
        </w:rPr>
        <w:t>указывает на сохраняющиеся внутренние угрозы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«</w:t>
      </w:r>
      <w:r w:rsidR="0083728C" w:rsidRPr="0010299A">
        <w:rPr>
          <w:rFonts w:ascii="Times New Roman" w:hAnsi="Times New Roman" w:cs="Times New Roman"/>
          <w:sz w:val="21"/>
          <w:szCs w:val="21"/>
          <w:lang w:val="ru-RU"/>
        </w:rPr>
        <w:t>экстремизм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»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, особенно относящиеся к религиозному экстремизму</w:t>
      </w:r>
      <w:r w:rsidR="0083728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К тому же б</w:t>
      </w:r>
      <w:r w:rsidR="0083728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ыл запрещен ряд 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транснациональных групп</w:t>
      </w:r>
      <w:r w:rsidR="0083728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обозначенных как связанные</w:t>
      </w:r>
      <w:r w:rsidR="0083728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 насильственным экстремизмом</w:t>
      </w:r>
      <w:r w:rsidR="00C81E71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Была разработана Национальная Стратегия Республики Узбекистан по противодействию экстремизму и терроризму 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 xml:space="preserve">на 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2021-2026</w:t>
      </w:r>
      <w:r w:rsidR="00415896">
        <w:rPr>
          <w:rFonts w:ascii="Times New Roman" w:hAnsi="Times New Roman" w:cs="Times New Roman"/>
          <w:sz w:val="21"/>
          <w:szCs w:val="21"/>
          <w:lang w:val="ru-RU"/>
        </w:rPr>
        <w:t xml:space="preserve"> годы</w:t>
      </w:r>
      <w:r w:rsidR="0014224C" w:rsidRPr="0010299A">
        <w:rPr>
          <w:rFonts w:ascii="Times New Roman" w:hAnsi="Times New Roman" w:cs="Times New Roman"/>
          <w:sz w:val="21"/>
          <w:szCs w:val="21"/>
          <w:lang w:val="ru-RU"/>
        </w:rPr>
        <w:t>. Узбекистан является одной из стран-основательниц Шанхайской организации сотрудничества.</w:t>
      </w:r>
      <w:r w:rsidR="004F22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З</w:t>
      </w:r>
      <w:r w:rsidR="00161AF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а последние пять лет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Узбекистане произошли значительные политические изменения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, сопровождавшиеся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переходом от крайне репрессивной политической системы к периоду политических преобразований</w:t>
      </w:r>
      <w:r w:rsidR="0047638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стабильности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14:paraId="12D7E334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5DAEB80E" w14:textId="0FD6655B" w:rsidR="00E72203" w:rsidRPr="0010299A" w:rsidRDefault="00DA0646" w:rsidP="0010299A">
      <w:p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Репатриация и </w:t>
      </w:r>
      <w:proofErr w:type="spellStart"/>
      <w:r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>реинтеграция</w:t>
      </w:r>
      <w:proofErr w:type="spellEnd"/>
    </w:p>
    <w:p w14:paraId="0A51B44E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04EC692" w14:textId="1DB78218" w:rsidR="00E72203" w:rsidRPr="0010299A" w:rsidRDefault="00E72203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 xml:space="preserve">В ходе пяти операций с мая 2019 года в Узбекистан был возвращен 531 человек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(528</w:t>
      </w:r>
      <w:r w:rsidR="00161AF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женщин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 xml:space="preserve"> и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детей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, а также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трое</w:t>
      </w:r>
      <w:r w:rsidR="00161AF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мужчин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)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из зон конфликта в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северо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-восточной Сирии, Ираке (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Мехр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</w:rPr>
        <w:t>I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Pr="0010299A">
        <w:rPr>
          <w:rFonts w:ascii="Times New Roman" w:hAnsi="Times New Roman" w:cs="Times New Roman"/>
          <w:sz w:val="21"/>
          <w:szCs w:val="21"/>
        </w:rPr>
        <w:t>II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Pr="0010299A">
        <w:rPr>
          <w:rFonts w:ascii="Times New Roman" w:hAnsi="Times New Roman" w:cs="Times New Roman"/>
          <w:sz w:val="21"/>
          <w:szCs w:val="21"/>
        </w:rPr>
        <w:t>III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</w:t>
      </w:r>
      <w:r w:rsidRPr="0010299A">
        <w:rPr>
          <w:rFonts w:ascii="Times New Roman" w:hAnsi="Times New Roman" w:cs="Times New Roman"/>
          <w:sz w:val="21"/>
          <w:szCs w:val="21"/>
        </w:rPr>
        <w:t>V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) и Афганистане (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Мехр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</w:rPr>
        <w:t>IV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).  Операция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Мехр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(Милосердие) официально началась в 2019 году, при этом возвращение 156 женщин и детей по-прежнему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 xml:space="preserve"> находится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процессе.  </w:t>
      </w:r>
    </w:p>
    <w:p w14:paraId="282319BF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78010C1D" w14:textId="102802C1" w:rsidR="00982682" w:rsidRPr="0010299A" w:rsidRDefault="00E72203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провела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многочисленные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встреч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 высоком уровне с министрами и департаментами правительства и </w:t>
      </w:r>
      <w:r w:rsidR="005F613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отметила положительную коллективную приверженность репатриации и положительной реинтеграции 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 высших уровней правительства. </w:t>
      </w:r>
      <w:r w:rsidR="00CF1608" w:rsidRPr="0010299A">
        <w:rPr>
          <w:rFonts w:ascii="Times New Roman" w:hAnsi="Times New Roman" w:cs="Times New Roman"/>
          <w:sz w:val="21"/>
          <w:szCs w:val="21"/>
          <w:lang w:val="ru-RU"/>
        </w:rPr>
        <w:t>Она отметила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подход, предусматривающий вовлечение всего правительства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 xml:space="preserve"> в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меры политического реагирования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 данн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проблему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а также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практическ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готовность предоставить ресурсы, </w:t>
      </w:r>
      <w:r w:rsidR="00082CF7" w:rsidRPr="0010299A">
        <w:rPr>
          <w:rFonts w:ascii="Times New Roman" w:hAnsi="Times New Roman" w:cs="Times New Roman"/>
          <w:sz w:val="21"/>
          <w:szCs w:val="21"/>
          <w:lang w:val="ru-RU"/>
        </w:rPr>
        <w:t>подготовку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политическую волю для обеспечения успешной репатриации. Специальный докладчик была особенно восхищена действиями государства для создания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благоприятной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>, положительной среды для репатриации и реинтеграции, готовностью работать с обществом, использованием дискурса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, исключающего стигматизацию</w:t>
      </w:r>
      <w:r w:rsidR="0098268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практическим исполнением обязательств, выраженных в политической риторике. Она считает модель репатриации, созданной в Узбекистане и основанной на семье и сообществе, примером для </w:t>
      </w:r>
      <w:r w:rsidR="00591C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подражания для других государств и рекомендует ее государствам, чьи граждане по-прежнему произвольно задержаны в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северо</w:t>
      </w:r>
      <w:r w:rsidR="00591C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-восточной Сирии и прочих зонах конфликта. Она также поддерживает и поощряет продолжение сотрудничества между правительством Узбекистана и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Организацией Объединенных Наций, в частности </w:t>
      </w:r>
      <w:r w:rsidR="00591CC0" w:rsidRPr="0010299A">
        <w:rPr>
          <w:rFonts w:ascii="Times New Roman" w:hAnsi="Times New Roman" w:cs="Times New Roman"/>
          <w:sz w:val="21"/>
          <w:szCs w:val="21"/>
          <w:lang w:val="ru-RU"/>
        </w:rPr>
        <w:t>ЮНИСЕФ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591C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данной работе. Такие положительные партнерские отношения, ориентированные на работу с детьми, являются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передовой</w:t>
      </w:r>
      <w:r w:rsidR="00591C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практикой и примером для других государств в контексте репатриации детей из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северо</w:t>
      </w:r>
      <w:r w:rsidR="00591CC0" w:rsidRPr="0010299A">
        <w:rPr>
          <w:rFonts w:ascii="Times New Roman" w:hAnsi="Times New Roman" w:cs="Times New Roman"/>
          <w:sz w:val="21"/>
          <w:szCs w:val="21"/>
          <w:lang w:val="ru-RU"/>
        </w:rPr>
        <w:t>-восточной Сирии и прочих зон конфликта.</w:t>
      </w:r>
    </w:p>
    <w:p w14:paraId="08A984C8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50E7593B" w14:textId="52F88D97" w:rsidR="00DF27D4" w:rsidRPr="0010299A" w:rsidRDefault="00591CC0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посетила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центр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«</w:t>
      </w:r>
      <w:proofErr w:type="spellStart"/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Умид</w:t>
      </w:r>
      <w:proofErr w:type="spellEnd"/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Гулшани</w:t>
      </w:r>
      <w:proofErr w:type="spellEnd"/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»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который работает в качестве первичного центра для приема и реабилитации женщин и детей, возвращающихся из зон конфликта. Она встретилась с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представителями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все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х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ключевы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х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государственны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х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орган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ов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лицами, которые организовали программную работу и управляли ей в течение всех пяти операций по возвращению. Она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отмечает</w:t>
      </w:r>
      <w:r w:rsidR="00D0206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что планируются дальнейшие операции по возвращению лиц из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северо</w:t>
      </w:r>
      <w:r w:rsidR="00D0206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-восточной Сирии и приветствует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неизменную приверженность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0206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правительства Узбекистана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к делу </w:t>
      </w:r>
      <w:r w:rsidR="00D02060" w:rsidRPr="0010299A">
        <w:rPr>
          <w:rFonts w:ascii="Times New Roman" w:hAnsi="Times New Roman" w:cs="Times New Roman"/>
          <w:sz w:val="21"/>
          <w:szCs w:val="21"/>
          <w:lang w:val="ru-RU"/>
        </w:rPr>
        <w:t>возвращени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я</w:t>
      </w:r>
      <w:r w:rsidR="00D0206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своих граждан. Она высоко</w:t>
      </w:r>
      <w:r w:rsidR="00F12B5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оценивает планирование, масштаб и качество деятельности правительства в данной сфере. Она отмечает,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что </w:t>
      </w:r>
      <w:r w:rsidR="00F12B5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рамках процесса репатриации и реинтеграции очевидно тщательное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 xml:space="preserve">межведомственное </w:t>
      </w:r>
      <w:r w:rsidR="00F12B5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планирование и сотрудничество. Планирование проходит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неразрывно</w:t>
      </w:r>
      <w:r w:rsidR="00F12B5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 момента идентификации и физического возвращения граждан и до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незамедлительного</w:t>
      </w:r>
      <w:r w:rsidR="00161AF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12B5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приема с определением </w:t>
      </w:r>
      <w:r w:rsidR="00DF27D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медицинских, продовольственных и материальных </w:t>
      </w:r>
      <w:r w:rsidR="00F12B51" w:rsidRPr="0010299A">
        <w:rPr>
          <w:rFonts w:ascii="Times New Roman" w:hAnsi="Times New Roman" w:cs="Times New Roman"/>
          <w:sz w:val="21"/>
          <w:szCs w:val="21"/>
          <w:lang w:val="ru-RU"/>
        </w:rPr>
        <w:t>потребностей</w:t>
      </w:r>
      <w:r w:rsidR="00DF27D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; в краткосрочной перспективе предоставляется медицинская и психологическая помощь для сложных потребностей в области ментального здоровья и психосоциальных вопросов,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продовольственная поддержка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DF27D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специализированная поддержка, связанная с новорожденными/младенцами,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недостатком образования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DF27D4" w:rsidRPr="0010299A">
        <w:rPr>
          <w:rFonts w:ascii="Times New Roman" w:hAnsi="Times New Roman" w:cs="Times New Roman"/>
          <w:sz w:val="21"/>
          <w:szCs w:val="21"/>
          <w:lang w:val="ru-RU"/>
        </w:rPr>
        <w:t>травмами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консультированием по вопросам религии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DF27D4" w:rsidRPr="0010299A">
        <w:rPr>
          <w:rFonts w:ascii="Times New Roman" w:hAnsi="Times New Roman" w:cs="Times New Roman"/>
          <w:sz w:val="21"/>
          <w:szCs w:val="21"/>
          <w:lang w:val="ru-RU"/>
        </w:rPr>
        <w:t>связью с семьей в стране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; </w:t>
      </w:r>
      <w:r w:rsidR="00DF27D4" w:rsidRPr="0010299A">
        <w:rPr>
          <w:rFonts w:ascii="Times New Roman" w:hAnsi="Times New Roman" w:cs="Times New Roman"/>
          <w:sz w:val="21"/>
          <w:szCs w:val="21"/>
          <w:lang w:val="ru-RU"/>
        </w:rPr>
        <w:t>в среднесрочной перспективе – помощь со здравоохранением, образованием, и интеграцией в семью, экономику и общество; в долгосрочной перспективе – возвращение в семьи и общины по всей стране. Она особенно приветствует модель «одного окна», созданную для незамедлительного приема возвращенцев</w:t>
      </w:r>
      <w:r w:rsidR="00367C3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ориентированную на объединение разнопланового опыта и услуг для их поддержки. Она отметила расширение опыта и обмена знаниями в результате партнерских отношений правительства и ЮНИСЕФ.</w:t>
      </w:r>
    </w:p>
    <w:p w14:paraId="3E53ADC6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2B3E62BE" w14:textId="0DD3797C" w:rsidR="00E72203" w:rsidRPr="0010299A" w:rsidRDefault="00367C3D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</w:t>
      </w:r>
      <w:r w:rsidRPr="0010299A"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удовлетворением отмечает человечность и глубокую приверженность благополучию возвращенцев со стороны вовлеченного в ежедневную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реинтеграционную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работу преподавательского, медицинского и административного персонала, с которым она встретилась. Ее поразили формулировки и дискурс, используемые </w:t>
      </w:r>
      <w:r w:rsidR="00237F6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отношении вернувшихся лиц на высочайших уровнях правительства и на всех уровнях до лиц, работающих с </w:t>
      </w:r>
      <w:proofErr w:type="spellStart"/>
      <w:r w:rsidR="00237F66" w:rsidRPr="0010299A">
        <w:rPr>
          <w:rFonts w:ascii="Times New Roman" w:hAnsi="Times New Roman" w:cs="Times New Roman"/>
          <w:sz w:val="21"/>
          <w:szCs w:val="21"/>
          <w:lang w:val="ru-RU"/>
        </w:rPr>
        <w:t>возвращенцами</w:t>
      </w:r>
      <w:proofErr w:type="spellEnd"/>
      <w:r w:rsidR="00237F6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напрямую. В таком дискурсе признавался статус и права детей,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признание статуса жертвы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237F66" w:rsidRPr="0010299A">
        <w:rPr>
          <w:rFonts w:ascii="Times New Roman" w:hAnsi="Times New Roman" w:cs="Times New Roman"/>
          <w:sz w:val="21"/>
          <w:szCs w:val="21"/>
          <w:lang w:val="ru-RU"/>
        </w:rPr>
        <w:t>ориентация на милосердие, прощение и принятие, и глубокая человечность в поддержании реинтеграции.</w:t>
      </w:r>
    </w:p>
    <w:p w14:paraId="135ED663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66D38B14" w14:textId="2044696C" w:rsidR="00237F66" w:rsidRPr="0010299A" w:rsidRDefault="00237F66" w:rsidP="009F3E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Специальный докладчик осведомилась о практических аспектах среднесрочной репатриации и имела возможность увиде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>ть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их воплощение. 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Она отмечает 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надлежащую</w:t>
      </w:r>
      <w:r w:rsidR="00161AF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>практик</w:t>
      </w:r>
      <w:r w:rsidR="00161AF2">
        <w:rPr>
          <w:rFonts w:ascii="Times New Roman" w:hAnsi="Times New Roman" w:cs="Times New Roman"/>
          <w:sz w:val="21"/>
          <w:szCs w:val="21"/>
          <w:lang w:val="ru-RU"/>
        </w:rPr>
        <w:t>у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отношении предоставления официальных документов и свидетельств о рождении для детей; </w:t>
      </w:r>
      <w:r w:rsidR="009F3EBD" w:rsidRPr="009F3EBD">
        <w:rPr>
          <w:rFonts w:ascii="Times New Roman" w:hAnsi="Times New Roman" w:cs="Times New Roman"/>
          <w:sz w:val="21"/>
          <w:szCs w:val="21"/>
          <w:lang w:val="ru-RU"/>
        </w:rPr>
        <w:t>надлежащую практику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отношении возможностей для образования и обучения через местные общин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ные административные единицы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proofErr w:type="spellStart"/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м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>ахалл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proofErr w:type="spellEnd"/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) и региональное взаимодействие; </w:t>
      </w:r>
      <w:r w:rsidR="009F3EBD" w:rsidRPr="009F3EBD">
        <w:rPr>
          <w:rFonts w:ascii="Times New Roman" w:hAnsi="Times New Roman" w:cs="Times New Roman"/>
          <w:sz w:val="21"/>
          <w:szCs w:val="21"/>
          <w:lang w:val="ru-RU"/>
        </w:rPr>
        <w:t>надлежащую практику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стремлении поддержать экономическую независимость и предпринимательство среди женщин; предоставление должной жилищной и материальной поддержки; непрекращающуюся психологическую помощь и приоритетную роль благополучия детей. </w:t>
      </w:r>
      <w:r w:rsidR="00D8717D" w:rsidRPr="0010299A">
        <w:rPr>
          <w:rFonts w:ascii="Times New Roman" w:hAnsi="Times New Roman" w:cs="Times New Roman"/>
          <w:sz w:val="21"/>
          <w:szCs w:val="21"/>
          <w:lang w:val="ru-RU"/>
        </w:rPr>
        <w:t>Она отмечает</w:t>
      </w:r>
      <w:r w:rsidR="003E205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очевидную приверженность единству семьи и признание </w:t>
      </w:r>
      <w:r w:rsidR="00D8717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того, что дети, возвращающиеся из зон конфликта, будут 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 xml:space="preserve">находиться </w:t>
      </w:r>
      <w:r w:rsidR="00D8717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наиболее </w:t>
      </w:r>
      <w:r w:rsidR="009F3EBD" w:rsidRPr="0010299A">
        <w:rPr>
          <w:rFonts w:ascii="Times New Roman" w:hAnsi="Times New Roman" w:cs="Times New Roman"/>
          <w:sz w:val="21"/>
          <w:szCs w:val="21"/>
          <w:lang w:val="ru-RU"/>
        </w:rPr>
        <w:t>благоп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риятных</w:t>
      </w:r>
      <w:r w:rsidR="009F3EB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8717D" w:rsidRPr="0010299A">
        <w:rPr>
          <w:rFonts w:ascii="Times New Roman" w:hAnsi="Times New Roman" w:cs="Times New Roman"/>
          <w:sz w:val="21"/>
          <w:szCs w:val="21"/>
          <w:lang w:val="ru-RU"/>
        </w:rPr>
        <w:t>условиях со своими матерями и в поддерживающей семейной среде.</w:t>
      </w:r>
    </w:p>
    <w:p w14:paraId="6F9A9831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EF2A742" w14:textId="7DE87822" w:rsidR="00C249DE" w:rsidRPr="0010299A" w:rsidRDefault="00D8717D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Несмотря на то, что оценка долгосрочного успеха интеграции представляется сложной, создается впечатление, что в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данном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процессе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имеются убедительные доказательства успеха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Успех будет измеряться долгосрочной, сохраняющейся адаптацией, постоянной поддержкой общин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>, ориентированной на права человека,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вовлечением правительства.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Доказательства, собранные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D58E1"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Специальным докладчиком,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указыва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т на то, что воспитание детей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семьях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дало положительные результаты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а женщины и подростки, получающие </w:t>
      </w:r>
      <w:r w:rsidR="00C249D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помощь по уходу за детьми и экономическую и моральную поддержку, живут благополучно. Эксперты подтвердили, что дети, которых приняли родственники, по-видимому, становятся увереннее и демонстрируют признаки адаптации к жизни дома. По-прежнему очевидно, что сохраняются сложности у </w:t>
      </w:r>
      <w:r w:rsidR="00E975ED" w:rsidRPr="0010299A">
        <w:rPr>
          <w:rFonts w:ascii="Times New Roman" w:hAnsi="Times New Roman" w:cs="Times New Roman"/>
          <w:sz w:val="21"/>
          <w:szCs w:val="21"/>
          <w:lang w:val="ru-RU"/>
        </w:rPr>
        <w:t>несопровождаемых и разлученных детей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C249D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что подтверждает более широкое убеждение Специального докладчика в том, что оптимальным решением в контексте репатриации является сценарий, когда дети остаются в своей семье. Продолжающийся правозащитный мониторинг и оценка при поддержке международного сообщества предоставит Узбекистану и международному сообществу возможность и эмпирические знания для </w:t>
      </w:r>
      <w:r w:rsidR="0070253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сохранения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динамики</w:t>
      </w:r>
      <w:r w:rsidR="0070253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результатов, достигнутых при конструктивном обмене знаниями с другими государствами. Специальный докладчик рекомендует как можно скорее внедрить эффективный правозащитный мониторинг и оценку. </w:t>
      </w:r>
    </w:p>
    <w:p w14:paraId="1FC4376D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58F21AC" w14:textId="3B02C12B" w:rsidR="00E72203" w:rsidRPr="0010299A" w:rsidRDefault="00702530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У Специального докладчика была непосредственная возможность встретиться с вернувшимися женщинами, которые в разговоре с ней подтвердили на личном опыте, что подход к реинтеграции ориентирован на детей, семью и права. Она подтверждает, что женщины, с которыми она встретилась,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пережили психологические и физические травмы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860B6" w:rsidRPr="0010299A">
        <w:rPr>
          <w:rFonts w:ascii="Times New Roman" w:hAnsi="Times New Roman" w:cs="Times New Roman"/>
          <w:sz w:val="21"/>
          <w:szCs w:val="21"/>
          <w:lang w:val="ru-RU"/>
        </w:rPr>
        <w:t>в зонах конфликта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860B6" w:rsidRPr="0010299A">
        <w:rPr>
          <w:rFonts w:ascii="Times New Roman" w:hAnsi="Times New Roman" w:cs="Times New Roman"/>
          <w:sz w:val="21"/>
          <w:szCs w:val="21"/>
          <w:lang w:val="ru-RU"/>
        </w:rPr>
        <w:t>и были глубоко благодарны за возможность быть дома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намереваясь </w:t>
      </w:r>
      <w:r w:rsidR="00A860B6" w:rsidRPr="0010299A">
        <w:rPr>
          <w:rFonts w:ascii="Times New Roman" w:hAnsi="Times New Roman" w:cs="Times New Roman"/>
          <w:sz w:val="21"/>
          <w:szCs w:val="21"/>
          <w:lang w:val="ru-RU"/>
        </w:rPr>
        <w:t>наладить свою жизнь и жизнь своих детей при поддержке семей, общин и правительства.</w:t>
      </w:r>
    </w:p>
    <w:p w14:paraId="1F0B8B7E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8F3299B" w14:textId="2C3519A2" w:rsidR="00E72203" w:rsidRPr="0010299A" w:rsidRDefault="00A860B6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рекомендует поддерживать текущие партнерские отношения с ЮНИСЕФ,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уделяя основное внимание защите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извлекая уроки из опыта репатриации и реинтеграции и обеспечивая учет данного опыта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при работе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 другими уязвимыми группами населения. В этой связи она видит возможность расширить опыт социальной работы (в том числе подготовку и назначение большего количества социальных работников), специалистов по работе с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травматичным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опытом, и психологической поддержки для данного населения, но с пользой и для более широкого круга уязвимых лиц. Она подчеркивает необходимость долгосрочной, непрерывной поддержки данной группы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 учетом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длительных последствий постконфликтных травм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 долгосрочной природы </w:t>
      </w:r>
      <w:proofErr w:type="spellStart"/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>реинтеграционных</w:t>
      </w:r>
      <w:proofErr w:type="spellEnd"/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потребностей.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Она также рекомендует углубить партнерские отношения, ориентированные на права человека, с Управлением Верховного комиссара по правам человека и структурой «ООН-Женщины» для совершенствования долгосрочной защиты прав возвращенцев. 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Она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подчеркивает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необходимость непрерывной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специализированной поддержк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детей-сирот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, находящихся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в учреждениях по уходу</w:t>
      </w:r>
      <w:r w:rsidR="00402C17" w:rsidRPr="0010299A">
        <w:rPr>
          <w:rFonts w:ascii="Times New Roman" w:hAnsi="Times New Roman" w:cs="Times New Roman"/>
          <w:sz w:val="21"/>
          <w:szCs w:val="21"/>
          <w:lang w:val="ru-RU"/>
        </w:rPr>
        <w:t>, которых не удалось разместить в семьях.</w:t>
      </w:r>
    </w:p>
    <w:p w14:paraId="438FE810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02C695F8" w14:textId="5E05B937" w:rsidR="00E72203" w:rsidRPr="0010299A" w:rsidRDefault="00402C17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призывает правительство Узбекистана репатриировать из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еверо-восточной Сирии всех оставшихся там граждан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 xml:space="preserve"> страны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. Она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 удовлетворением узнала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что уделяется непосредственное внимание и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ведется поиск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раз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решения ситуации, в которой оказались взрослые граждане Узбекистана мужского пола, задержанные в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импровизированных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тюрьмах и местах содержания под стражей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еверо-восточной Сирии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Она призывает к транспарентности в данном процессе, в том числе в отношении фильтрационных критериев, используемых для принятия решения о том, какие лица могут быть и будут репатриированы.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Говоря о ситуации в целом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она по-прежнему гл</w:t>
      </w:r>
      <w:r w:rsidR="005E72E8" w:rsidRPr="0010299A">
        <w:rPr>
          <w:rFonts w:ascii="Times New Roman" w:hAnsi="Times New Roman" w:cs="Times New Roman"/>
          <w:sz w:val="21"/>
          <w:szCs w:val="21"/>
          <w:lang w:val="ru-RU"/>
        </w:rPr>
        <w:t>у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боко обеспокоена тем фактом, что большое количество мужчин</w:t>
      </w:r>
      <w:r w:rsidR="005E72E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мальчиков произвольно задержаны в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северо</w:t>
      </w:r>
      <w:r w:rsidR="005E72E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-восточной Сирии 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 xml:space="preserve">и содержатся </w:t>
      </w:r>
      <w:r w:rsidR="005E72E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>бесчеловечных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условиях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E72E8" w:rsidRPr="0010299A">
        <w:rPr>
          <w:rFonts w:ascii="Times New Roman" w:hAnsi="Times New Roman" w:cs="Times New Roman"/>
          <w:sz w:val="21"/>
          <w:szCs w:val="21"/>
          <w:lang w:val="ru-RU"/>
        </w:rPr>
        <w:t>без какого-либо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судебного контроля или разрешения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5E72E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отмечает, что все лица младше 18 лет должны в первую очередь рассматриваться как жертвы серьезных нарушений международного права прав человека и гуманитарного права, и что их содержание под стражей и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судебное преследование строго ограничено международным правом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</w:p>
    <w:p w14:paraId="1773EAA4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2AD066D0" w14:textId="1E0DA267" w:rsidR="00E72203" w:rsidRPr="0010299A" w:rsidRDefault="005E72E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привержена вопросу привлечения к ответственности за серьезные нарушения международного права, совершенные в Ираке и Сирии. Правительство намеренно не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принимало карательные меры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в отношении возвращающихся женщин и детей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Таким образом, уголовное преследование за преступления, связанные с терроризмом, имело место только в небольшом количестве случаев, с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возвращенцами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-мужчинами. Она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отмечает для международного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донорского сообщества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что модель, ориентированная на защиту и основанная на поощрении прав успешно работает в Узбекистане, и 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>предостерегает против других моделей, в который наслаивается в первую очередь карательн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ая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ограниченная</w:t>
      </w:r>
      <w:r w:rsidR="00CF228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обвинительная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направленность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>, ориентированная на наказание,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без должной оценки потенциальных отрицательных последствий. Она полагает, что существует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надлежащая роль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>для сотрудничества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между Генеральной прокуратурой и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Международны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м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беспристрастны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м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независимы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м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механизм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ом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ООН для Сирии</w:t>
      </w:r>
      <w:r w:rsidR="00E72203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3"/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определенных</w:t>
      </w:r>
      <w:r w:rsidR="009F3EB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случаях, когда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конкретным образом выявляются 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обвинения в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тяжких</w:t>
      </w:r>
      <w:r w:rsidR="0038703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преступлениях, совершенных</w:t>
      </w:r>
      <w:r w:rsidR="008C79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в нарушение международного права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C79C0" w:rsidRPr="0010299A">
        <w:rPr>
          <w:rFonts w:ascii="Times New Roman" w:hAnsi="Times New Roman" w:cs="Times New Roman"/>
          <w:sz w:val="21"/>
          <w:szCs w:val="21"/>
          <w:lang w:val="ru-RU"/>
        </w:rPr>
        <w:t>в зонах конфликта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8C79C0" w:rsidRPr="0010299A">
        <w:rPr>
          <w:rFonts w:ascii="Times New Roman" w:hAnsi="Times New Roman" w:cs="Times New Roman"/>
          <w:sz w:val="21"/>
          <w:szCs w:val="21"/>
          <w:lang w:val="ru-RU"/>
        </w:rPr>
        <w:t>В подходящих случаях международный подход к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уголовному правосудию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C79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наиболее вероятно обеспечит средства правовой защиты с соблюдением принципов прав человека и верховенства права, в соответствии с обязательствами государства в рамках международного права и позволит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ликвидировать безнаказанность за международные преступления. Она рекомендует углубить взаимодействие с гражданским обществом в продолжающихся операциях по репатриации для поддержания и укрепления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передовых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практик, наблюдаемых в подходе правительства. </w:t>
      </w:r>
      <w:r w:rsidR="008C79C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Рекомендуется дальнейшее поддержание сотрудничества с </w:t>
      </w:r>
      <w:r w:rsidR="006E497C" w:rsidRPr="0010299A">
        <w:rPr>
          <w:rFonts w:ascii="Times New Roman" w:hAnsi="Times New Roman" w:cs="Times New Roman"/>
          <w:sz w:val="21"/>
          <w:szCs w:val="21"/>
          <w:lang w:val="ru-RU"/>
        </w:rPr>
        <w:t>правозащитными органами ООН</w:t>
      </w:r>
      <w:r w:rsidR="008C79C0" w:rsidRPr="0010299A">
        <w:rPr>
          <w:rFonts w:ascii="Times New Roman" w:hAnsi="Times New Roman" w:cs="Times New Roman"/>
          <w:sz w:val="21"/>
          <w:szCs w:val="21"/>
          <w:lang w:val="ru-RU"/>
        </w:rPr>
        <w:t>, которые способны поделиться релевантным опытом.</w:t>
      </w:r>
    </w:p>
    <w:p w14:paraId="1805162D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630834F" w14:textId="5C63F914" w:rsidR="00E72203" w:rsidRPr="0010299A" w:rsidRDefault="006E3386" w:rsidP="0010299A">
      <w:pPr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>Государственная</w:t>
      </w:r>
      <w:r w:rsidR="007F6411"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правовая база для противодействия терроризму и насильственному экстремизму</w:t>
      </w:r>
    </w:p>
    <w:p w14:paraId="5E2A21B3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04B197A8" w14:textId="11044095" w:rsidR="00CF1608" w:rsidRPr="0010299A" w:rsidRDefault="007F6411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внимательно изучила ряд положений, содержащихся в Уголовном кодексе Узбекистана в отношении таких преступлений, как терроризм, религиозный экстремизм, сепаратизм, хранение и распределение экстремистских материалов и попытки подрыва конституционного строя</w:t>
      </w:r>
      <w:r w:rsidR="00F450A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Она считает, что несмотря на недавние конструктивные поправки в сфере противодействия терроризму и экстремизму, значительная часть внутреннего законодательства относительно преступлений, связанных с терроризмом,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сформулирована </w:t>
      </w:r>
      <w:r w:rsidR="00F450A0" w:rsidRPr="0010299A">
        <w:rPr>
          <w:rFonts w:ascii="Times New Roman" w:hAnsi="Times New Roman" w:cs="Times New Roman"/>
          <w:sz w:val="21"/>
          <w:szCs w:val="21"/>
          <w:lang w:val="ru-RU"/>
        </w:rPr>
        <w:t>расплывчато и неоднозначно</w:t>
      </w:r>
      <w:r w:rsidR="00CF1608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4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450A0"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отмечает, что ненасильственная критика государственной политики и субъектов государства</w:t>
      </w:r>
      <w:r w:rsidR="008D58E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ни 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>при каких обстоятельствах не должн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рассматриваться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как уголовное преступление, так как мирное осуществление свободы мысли и выражения мнений необходимо для </w:t>
      </w:r>
      <w:r w:rsidR="004F2248" w:rsidRPr="0010299A">
        <w:rPr>
          <w:rFonts w:ascii="Times New Roman" w:hAnsi="Times New Roman" w:cs="Times New Roman"/>
          <w:sz w:val="21"/>
          <w:szCs w:val="21"/>
          <w:lang w:val="ru-RU"/>
        </w:rPr>
        <w:t>общества, которое руководствуется принципом верховенства права и соответству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ет</w:t>
      </w:r>
      <w:r w:rsidR="004F22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принципам и обязательствам в области прав человека</w:t>
      </w:r>
      <w:r w:rsidR="00CF1608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5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14:paraId="2C13BE95" w14:textId="77777777" w:rsidR="00CF1608" w:rsidRPr="0010299A" w:rsidRDefault="00CF1608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2828166E" w14:textId="40F1643B" w:rsidR="00806488" w:rsidRPr="0010299A" w:rsidRDefault="004F2248" w:rsidP="0010299A">
      <w:pPr>
        <w:pStyle w:val="ListParagraph"/>
        <w:numPr>
          <w:ilvl w:val="0"/>
          <w:numId w:val="9"/>
        </w:numPr>
        <w:ind w:left="64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выражает серьезную обеспокоенность использованием термина «экстремизм» в государственном законодательстве и на практике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6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Отмечается, что международной практике рассматриваются вызовы «насильственного экстремизма» и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«насильственного экстремизма, способствующего терроризму», а также они недвусмысленно признаны в Плане действий Генерального секретаря по борьбе с насильственным экстремизмом 2016 г</w:t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ода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7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Договорные органы по правам человека решительно высказывали свою обеспокоенность использованием термина «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>экстремистская</w:t>
      </w:r>
      <w:r w:rsidR="004C64C6" w:rsidRPr="0010299A">
        <w:rPr>
          <w:rFonts w:ascii="Times New Roman" w:hAnsi="Times New Roman" w:cs="Times New Roman"/>
          <w:sz w:val="21"/>
          <w:szCs w:val="21"/>
          <w:lang w:val="ru-RU"/>
        </w:rPr>
        <w:t>»</w:t>
      </w:r>
      <w:r w:rsidR="00C82CA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деятельность</w:t>
      </w:r>
      <w:r w:rsidR="004C64C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широких, общих выражениях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8"/>
      </w:r>
      <w:r w:rsidR="00C04BBA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C64C6" w:rsidRPr="0010299A">
        <w:rPr>
          <w:rFonts w:ascii="Times New Roman" w:hAnsi="Times New Roman" w:cs="Times New Roman"/>
          <w:sz w:val="21"/>
          <w:szCs w:val="21"/>
          <w:lang w:val="ru-RU"/>
        </w:rPr>
        <w:t>и мандат Специального докладчика разделяет эту обеспокоенность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4C64C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 ее мнению, термин «экстремизм» не имеет ничего общего с обязательными для исполнения международно-правовыми нормами, причем, будучи использован в качестве уголовно-правовой категории, он противоречит принципу правовой определенности, пропорциональности и необходимости и как таковой несовместим с осуществлением некоторых основных прав человека. Она полагает, что гибкость данного понятия и легкость злоупотребления им лучше всего проявляется в том, что в результате изменения государственного подхода за последние четыре года из перечней правоохранительных органов были исключены 20 000 номеров лиц, считавшихся приверженцами радикальных религиозных движений и 1 500 заключенных были отпущены на свободу из тюрем. </w:t>
      </w:r>
      <w:r w:rsidR="00806488" w:rsidRPr="0010299A">
        <w:rPr>
          <w:rFonts w:ascii="Times New Roman" w:hAnsi="Times New Roman" w:cs="Times New Roman"/>
          <w:sz w:val="21"/>
          <w:szCs w:val="21"/>
          <w:lang w:val="ru-RU"/>
        </w:rPr>
        <w:t>Ее мандат ранее заявлял о своей обеспокоенности по поводу того, что термин «экстремизм» используется не как часть стратегии противодействия насильственному экстремизму, а как преступление само по себе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9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06488" w:rsidRPr="0010299A">
        <w:rPr>
          <w:rFonts w:ascii="Times New Roman" w:hAnsi="Times New Roman" w:cs="Times New Roman"/>
          <w:sz w:val="21"/>
          <w:szCs w:val="21"/>
          <w:lang w:val="ru-RU"/>
        </w:rPr>
        <w:t>Она подчеркивает необходимость правового определения уголовных и административных преступлений в соответствии с международным правом прав человека и недопущения неоправданного ограничения свободы выражения мнений, свободы религии и убеждений и свободы собраний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0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06488"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особенно обеспокоена применением Статьи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244(1-2) </w:t>
      </w:r>
      <w:r w:rsidR="00806488" w:rsidRPr="0010299A">
        <w:rPr>
          <w:rFonts w:ascii="Times New Roman" w:hAnsi="Times New Roman" w:cs="Times New Roman"/>
          <w:sz w:val="21"/>
          <w:szCs w:val="21"/>
          <w:lang w:val="ru-RU"/>
        </w:rPr>
        <w:t>Уголовного кодекса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806488" w:rsidRPr="0010299A">
        <w:rPr>
          <w:rFonts w:ascii="Times New Roman" w:hAnsi="Times New Roman" w:cs="Times New Roman"/>
          <w:sz w:val="21"/>
          <w:szCs w:val="21"/>
          <w:lang w:val="ru-RU"/>
        </w:rPr>
        <w:t>Данная статья предусматривает уголовную ответственность за «</w:t>
      </w:r>
      <w:r w:rsidR="003C09D3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80648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зготовление или хранение с целью распространения материалов, содержащих идеи религиозного экстремизма, сепаратизма и фундаментализма». Она отмечает, что в данном контексте цель легко может быть неверно истолкована, и что де-факто данная статья предусматривает уголовную ответственность исключительно за хранение материалов, считающихся радикальными, что является ущемлением основных прав на неприкосновенность частной жизни и свободу мысли. Такое положение особенно опасно в настоящее время, учитывая скорость, с которой </w:t>
      </w:r>
      <w:r w:rsidR="006C4B54" w:rsidRPr="0010299A">
        <w:rPr>
          <w:rFonts w:ascii="Times New Roman" w:hAnsi="Times New Roman" w:cs="Times New Roman"/>
          <w:sz w:val="21"/>
          <w:szCs w:val="21"/>
          <w:lang w:val="ru-RU"/>
        </w:rPr>
        <w:t>огромное количество информации проходит через технические устройства</w:t>
      </w:r>
      <w:r w:rsidR="00902321" w:rsidRPr="0010299A">
        <w:rPr>
          <w:rFonts w:ascii="Times New Roman" w:hAnsi="Times New Roman" w:cs="Times New Roman"/>
          <w:sz w:val="21"/>
          <w:szCs w:val="21"/>
          <w:lang w:val="ru-RU"/>
        </w:rPr>
        <w:t>. Специальный докладчик полностью поддерживает мнение Комитета по правам человека, что широкая формулировка понятия «экстремизм» может быть использована для неправомерного ограничения свободы религии, выражения мнений, собраний и ассоциаций. Специальный докладчик предлагает свою техническую поддержку и помощь для внесения изменений в Уголовный кодекс с целью прояснить определения экстремизма и связанных с ним уголовных преступлений.</w:t>
      </w:r>
    </w:p>
    <w:p w14:paraId="1C06B577" w14:textId="77777777" w:rsidR="00CF1608" w:rsidRPr="0010299A" w:rsidRDefault="00CF1608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86C4D74" w14:textId="0C1C054A" w:rsidR="00CF1608" w:rsidRPr="0010299A" w:rsidRDefault="00902321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Государства обязаны </w:t>
      </w:r>
      <w:r w:rsidR="00E603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применять 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>внутренние</w:t>
      </w:r>
      <w:r w:rsidR="00E603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законы в области противодействия терроризму исключительно 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>для</w:t>
      </w:r>
      <w:r w:rsidR="00E603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борьбы с</w:t>
      </w:r>
      <w:r w:rsidR="00E603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терроризм</w:t>
      </w:r>
      <w:r w:rsidR="006E3386" w:rsidRPr="0010299A">
        <w:rPr>
          <w:rFonts w:ascii="Times New Roman" w:hAnsi="Times New Roman" w:cs="Times New Roman"/>
          <w:sz w:val="21"/>
          <w:szCs w:val="21"/>
          <w:lang w:val="ru-RU"/>
        </w:rPr>
        <w:t>ом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соответствии с точным определением, содержащимся в положениях международных антитеррористических документов и строго руководствоваться</w:t>
      </w:r>
      <w:r w:rsidR="00E603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принципами законности, необходимости и пропорциональности. Определение терроризма во внутренних законах должно руководствоваться обязательным определением, содержащимся в Резолюции </w:t>
      </w:r>
      <w:r w:rsidR="00CF160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1566 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Совета Безопасности </w:t>
      </w:r>
      <w:r w:rsidR="00CF1608" w:rsidRPr="0010299A">
        <w:rPr>
          <w:rFonts w:ascii="Times New Roman" w:hAnsi="Times New Roman" w:cs="Times New Roman"/>
          <w:sz w:val="21"/>
          <w:szCs w:val="21"/>
          <w:lang w:val="ru-RU"/>
        </w:rPr>
        <w:t>(2004)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>, дополненной</w:t>
      </w:r>
      <w:r w:rsidR="00CF160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>Декларацией о мерах по ликвидации международного терроризма и Декларацией, дополняющей Декларацию о мерах по ликвидации международного терроризма 1994 года, принят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>ой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Генеральной Ассамблеей</w:t>
      </w:r>
      <w:r w:rsidR="009F3EBD">
        <w:rPr>
          <w:rFonts w:ascii="Times New Roman" w:hAnsi="Times New Roman" w:cs="Times New Roman"/>
          <w:sz w:val="21"/>
          <w:szCs w:val="21"/>
          <w:lang w:val="ru-RU"/>
        </w:rPr>
        <w:t xml:space="preserve"> в 1997 году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>. Она также предлагает Модель определения терроризма, предоставленную мандатом Специального докладчика для вовлечения в конструктивный диалог о государственных уголовных определениях терроризма. Специальный докладчик полагает, что определение терроризма, содержащееся в Статье</w:t>
      </w:r>
      <w:r w:rsidR="00CF160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155 </w:t>
      </w:r>
      <w:r w:rsidR="00A51C00" w:rsidRPr="0010299A">
        <w:rPr>
          <w:rFonts w:ascii="Times New Roman" w:hAnsi="Times New Roman" w:cs="Times New Roman"/>
          <w:sz w:val="21"/>
          <w:szCs w:val="21"/>
          <w:lang w:val="ru-RU"/>
        </w:rPr>
        <w:t>Уголовного кодекса слишком широкое, чтобы соответствовать вышеупомянутым международным стандартам.</w:t>
      </w:r>
    </w:p>
    <w:p w14:paraId="04E6B772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22183AE7" w14:textId="5679950B" w:rsidR="00E72203" w:rsidRPr="0010299A" w:rsidRDefault="007525A8" w:rsidP="0010299A">
      <w:pPr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>Система правосудия, суды и</w:t>
      </w:r>
      <w:r w:rsidR="00E72203"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i/>
          <w:iCs/>
          <w:sz w:val="21"/>
          <w:szCs w:val="21"/>
          <w:lang w:val="ru-RU"/>
        </w:rPr>
        <w:t>надлежащая правовая процедура</w:t>
      </w:r>
    </w:p>
    <w:p w14:paraId="5525A0CA" w14:textId="77777777" w:rsidR="00DA0646" w:rsidRPr="0010299A" w:rsidRDefault="00DA0646" w:rsidP="0010299A">
      <w:pPr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</w:p>
    <w:p w14:paraId="565C9E75" w14:textId="271C2118" w:rsidR="00DA0646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признает и приветствует твердую приверженность правовым реформам, озвученную в ходе всех встреч с государственными должностными лицами. Практическое осуществление и реализация данных обязательств станет вызовом для правительства Узбекистана. Министерство юстиции дало развернутое описание своей будущей повестки, среди прочего ка</w:t>
      </w:r>
      <w:r w:rsidR="003C09D3" w:rsidRPr="0010299A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ающейся пересмотра многих ключевых правовых инструментов, актуальных для мандата Специального докладчика. Особое внимание, уделяемое Министерством обеспечени</w:t>
      </w:r>
      <w:r w:rsidR="00661B0D" w:rsidRPr="0010299A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доступа к правосудию и реформ</w:t>
      </w:r>
      <w:r w:rsidR="00661B0D" w:rsidRPr="0010299A">
        <w:rPr>
          <w:rFonts w:ascii="Times New Roman" w:hAnsi="Times New Roman" w:cs="Times New Roman"/>
          <w:sz w:val="21"/>
          <w:szCs w:val="21"/>
          <w:lang w:val="ru-RU"/>
        </w:rPr>
        <w:t>ам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включает в себя создание «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Мадад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>»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 xml:space="preserve"> (организация</w:t>
      </w:r>
      <w:r w:rsidR="00881FF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>правовой</w:t>
      </w:r>
      <w:r w:rsidR="00881FF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поддержки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>)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котор</w:t>
      </w:r>
      <w:r w:rsidR="00661B0D" w:rsidRPr="0010299A">
        <w:rPr>
          <w:rFonts w:ascii="Times New Roman" w:hAnsi="Times New Roman" w:cs="Times New Roman"/>
          <w:sz w:val="21"/>
          <w:szCs w:val="21"/>
          <w:lang w:val="ru-RU"/>
        </w:rPr>
        <w:t>ая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>при условии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 xml:space="preserve">полной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реализ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>ации ее потенциала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 предоставлением достаточных кадровых и финансовых ресурсов, станет ценным дополнением к правовой системе. Специальный докладчик приветствует значительное внимание судебной системы к использованию технологий. Обеспечение легкости доступа к правовой информации, цифровая публикация всех правовых решений, распространение применения таких </w:t>
      </w:r>
      <w:r w:rsidR="00C771E7" w:rsidRPr="0010299A">
        <w:rPr>
          <w:rFonts w:ascii="Times New Roman" w:hAnsi="Times New Roman" w:cs="Times New Roman"/>
          <w:sz w:val="21"/>
          <w:szCs w:val="21"/>
          <w:lang w:val="ru-RU"/>
        </w:rPr>
        <w:t>технологий</w:t>
      </w:r>
      <w:r w:rsidR="00C771E7">
        <w:rPr>
          <w:rFonts w:ascii="Times New Roman" w:hAnsi="Times New Roman" w:cs="Times New Roman"/>
          <w:sz w:val="21"/>
          <w:szCs w:val="21"/>
          <w:lang w:val="ru-RU"/>
        </w:rPr>
        <w:t xml:space="preserve"> как</w:t>
      </w:r>
      <w:r w:rsidR="00C771E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видеоконференции в правовом процессе, а также размещение в сети административной информации – способ добиться прогресса в предоставлении достаточного доступа всех граждан к правосудию. Инициативы доступа к правосудию приветствуются Специальным докладчиком. Сохранение правового процесса и доступа к судам в ходе глобальной пандемии можно считать достижением правовой системы Узбекистана.</w:t>
      </w:r>
    </w:p>
    <w:p w14:paraId="58B26109" w14:textId="77777777" w:rsidR="00BB5978" w:rsidRPr="0010299A" w:rsidRDefault="00BB5978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0C7A6233" w14:textId="67C73C11" w:rsidR="00DA0646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осознает, что разбирательства в сфере государственной безопасности, терроризма и (насильственного) экстремизма ранее характеризовались недостатком открытости и транспарентности. Несмотря на то, что Конституция предписывает открытость, судебные разбирательства согласно Статьям 155, 158, 159, 161, 244.1 и 244.2 Уголовного кодекса могут проходить в закрытом режиме, частично или полностью запрещающем доступ для публики и наблюдателей</w:t>
      </w:r>
      <w:r w:rsidR="00903D75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1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Специальный докладчик обеспокоена тем, что это исключение на деле становится нормой при разбирательстве по этим статьям. Специальный докладчик крайне обеспокоена такой практикой. Даже в разбирательствах, касающихся государственной безопасности, необходим открытый процесс. Это требование неоднократно подчеркивалось Комитетом по правам человека</w:t>
      </w:r>
      <w:r w:rsidR="00B91948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2"/>
      </w:r>
      <w:r w:rsidR="00B9194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особо отмечается Специальным докладчиком. Учитывая большое число разбирательств по данным статьям, необходимо обеспечить и расширить открытый доступ к суду. Также обеспокоенность Специального докладчика дополняется тем, что судебные решения после закрытых заседаний обычно не публикуются в открытом доступе. Она рекомендует полностью пересмотреть практику проведения закрытых разбирательств. Она также обозначает обеспокоенность фактом назначения военных судей на разбирательства, касающиеся государственной безопасности, в рамках которых гражданских лиц преследуют по уголовным статьям.</w:t>
      </w:r>
    </w:p>
    <w:p w14:paraId="6F290345" w14:textId="77777777" w:rsidR="00BB5978" w:rsidRPr="0010299A" w:rsidRDefault="00BB5978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2104428" w14:textId="669D3465" w:rsidR="008419EB" w:rsidRPr="0010299A" w:rsidRDefault="00025416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Доступ к адвокатам и независимость адвокатов необходимы для справедливых судебных разбирательств,</w:t>
      </w:r>
      <w:r w:rsidR="00C04BB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в частности для дел, касающихся государственной безопасности</w:t>
      </w:r>
      <w:r w:rsidR="00DA0646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3"/>
      </w:r>
      <w:r w:rsid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Как подчеркнул Комитет против пыток, доступ к адвокатам необходим для предотвращения пыток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</w:t>
      </w:r>
      <w:proofErr w:type="gram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бесчеловечного</w:t>
      </w:r>
      <w:proofErr w:type="gram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унижающего достоинство обращения</w:t>
      </w:r>
      <w:r w:rsidR="00DA0646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4"/>
      </w:r>
      <w:r w:rsid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771E7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считает, что доступ к независимым адвокатам в делах, связанных с национальной безопасностью, по-прежнему ограничен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или неэффективен</w:t>
      </w:r>
      <w:r w:rsidR="00DA0646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5"/>
      </w:r>
      <w:r w:rsid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 данны</w:t>
      </w:r>
      <w:r w:rsidR="00C771E7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момент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>в формально</w:t>
      </w:r>
      <w:r w:rsidR="00C771E7">
        <w:rPr>
          <w:rFonts w:ascii="Times New Roman" w:hAnsi="Times New Roman" w:cs="Times New Roman"/>
          <w:sz w:val="21"/>
          <w:szCs w:val="21"/>
          <w:lang w:val="ru-RU"/>
        </w:rPr>
        <w:t>м смысле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все подзащитные, в том числе обвиняемые в экстремизме, терроризме или преступлениях 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>в сфере</w:t>
      </w:r>
      <w:r w:rsidR="00881FF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45EA1" w:rsidRPr="0010299A">
        <w:rPr>
          <w:rFonts w:ascii="Times New Roman" w:hAnsi="Times New Roman" w:cs="Times New Roman"/>
          <w:sz w:val="21"/>
          <w:szCs w:val="21"/>
          <w:lang w:val="ru-RU"/>
        </w:rPr>
        <w:t>государственной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безопасности</w:t>
      </w:r>
      <w:r w:rsidR="00C771E7"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имеют право на юридическое представительство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427D4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Однако Специальный докладчик </w:t>
      </w:r>
      <w:r w:rsidR="004E4B3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по-прежнему обеспокоена качеством и </w:t>
      </w:r>
      <w:r w:rsidR="004E4B32"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 xml:space="preserve">надежностью </w:t>
      </w:r>
      <w:r w:rsidR="00C771E7">
        <w:rPr>
          <w:rFonts w:ascii="Times New Roman" w:hAnsi="Times New Roman" w:cs="Times New Roman"/>
          <w:sz w:val="21"/>
          <w:szCs w:val="21"/>
          <w:lang w:val="ru-RU"/>
        </w:rPr>
        <w:t xml:space="preserve">правовой защиты </w:t>
      </w:r>
      <w:r w:rsidR="004E4B3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таких разбирательствах. Предоставление адвокатам полноценного доступа ко всем соответствующим материалам по делам, связанным с преступлениями 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>в сфере</w:t>
      </w:r>
      <w:r w:rsidR="00881FF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45EA1" w:rsidRPr="0010299A">
        <w:rPr>
          <w:rFonts w:ascii="Times New Roman" w:hAnsi="Times New Roman" w:cs="Times New Roman"/>
          <w:sz w:val="21"/>
          <w:szCs w:val="21"/>
          <w:lang w:val="ru-RU"/>
        </w:rPr>
        <w:t>государственной</w:t>
      </w:r>
      <w:r w:rsidR="004E4B3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безопасности необходимо для обеспечения справедливого судопроизводства, равенства состязательных возможностей и предотвращения судебных ошибок.</w:t>
      </w:r>
    </w:p>
    <w:p w14:paraId="05139777" w14:textId="77777777" w:rsidR="008419EB" w:rsidRPr="0010299A" w:rsidRDefault="008419EB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761ADE15" w14:textId="2AC92AAA" w:rsidR="00DA0646" w:rsidRPr="0010299A" w:rsidRDefault="004E4B32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Параллельно с этим она обнаруживает доказательства </w:t>
      </w:r>
      <w:r w:rsidR="00073FCA" w:rsidRPr="00073FCA">
        <w:rPr>
          <w:rFonts w:ascii="Times New Roman" w:hAnsi="Times New Roman" w:cs="Times New Roman"/>
          <w:sz w:val="21"/>
          <w:szCs w:val="21"/>
          <w:lang w:val="ru-RU"/>
        </w:rPr>
        <w:t>длительной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</w:t>
      </w:r>
      <w:r w:rsidR="00073FCA">
        <w:rPr>
          <w:rFonts w:ascii="Times New Roman" w:hAnsi="Times New Roman" w:cs="Times New Roman"/>
          <w:sz w:val="21"/>
          <w:szCs w:val="21"/>
          <w:lang w:val="ru-RU"/>
        </w:rPr>
        <w:t>укоренившейся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практики пыток, бесчеловечного и унижающего достоинство обращения до 2016</w:t>
      </w:r>
      <w:r w:rsidR="00881FF5">
        <w:rPr>
          <w:rFonts w:ascii="Times New Roman" w:hAnsi="Times New Roman" w:cs="Times New Roman"/>
          <w:sz w:val="21"/>
          <w:szCs w:val="21"/>
          <w:lang w:val="ru-RU"/>
        </w:rPr>
        <w:t xml:space="preserve"> года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во время допросов, предварительного заключения и длительного содержания под стражей</w:t>
      </w:r>
      <w:r w:rsidR="00DA0646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6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Ее обнадеживает приоритетное внимание, уделяемое предотвращению пыток в текущей практике задержания и ведения допросов, в том числе роль Уполномоченного по правам человека, но 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 xml:space="preserve">она 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>считает, что текущ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>ей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систем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требует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>ся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 xml:space="preserve">укрепление независимости и 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>дальнейше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="0059515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усилени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>е. Важным шагом в данном направлении видится ратификация Факультативного протокола к КПП.</w:t>
      </w:r>
      <w:r w:rsidR="00440AF4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94A53" w:rsidRPr="00903D75">
        <w:rPr>
          <w:rFonts w:ascii="Times New Roman" w:hAnsi="Times New Roman" w:cs="Times New Roman"/>
          <w:sz w:val="21"/>
          <w:szCs w:val="21"/>
          <w:lang w:val="ru-RU"/>
        </w:rPr>
        <w:t>Президент Узбекистана</w:t>
      </w:r>
      <w:r w:rsidR="00903D75" w:rsidRPr="00903D75">
        <w:rPr>
          <w:rFonts w:ascii="Times New Roman" w:hAnsi="Times New Roman" w:cs="Times New Roman"/>
          <w:sz w:val="21"/>
          <w:szCs w:val="21"/>
          <w:lang w:val="ru-RU"/>
        </w:rPr>
        <w:t xml:space="preserve"> выражает</w:t>
      </w:r>
      <w:r w:rsidR="00903D75" w:rsidRPr="0074192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03D75">
        <w:rPr>
          <w:rFonts w:ascii="Times New Roman" w:hAnsi="Times New Roman" w:cs="Times New Roman"/>
          <w:sz w:val="21"/>
          <w:szCs w:val="21"/>
          <w:lang w:val="ru-RU"/>
        </w:rPr>
        <w:t>твердую</w:t>
      </w:r>
      <w:r w:rsidR="00903D75" w:rsidRPr="0074192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03D75" w:rsidRPr="00903D75">
        <w:rPr>
          <w:rFonts w:ascii="Times New Roman" w:hAnsi="Times New Roman" w:cs="Times New Roman"/>
          <w:sz w:val="21"/>
          <w:szCs w:val="21"/>
          <w:lang w:val="ru-RU"/>
        </w:rPr>
        <w:t>приверженность в отношении его ратификации</w:t>
      </w:r>
      <w:r w:rsidR="00894A53" w:rsidRPr="00903D75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Она считает, что эффективности и легитимности судебной системы в целом способствовало бы полноценное разрешение вопроса с привлечением к ответственности за пытки, применяемые до 2016 года. 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>Т</w:t>
      </w:r>
      <w:r w:rsidR="00BC60F9" w:rsidRPr="0010299A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894A5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кой шаг 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 xml:space="preserve">к тому же </w:t>
      </w:r>
      <w:r w:rsidR="00BC60F9" w:rsidRPr="0010299A">
        <w:rPr>
          <w:rFonts w:ascii="Times New Roman" w:hAnsi="Times New Roman" w:cs="Times New Roman"/>
          <w:sz w:val="21"/>
          <w:szCs w:val="21"/>
          <w:lang w:val="ru-RU"/>
        </w:rPr>
        <w:t>отразил бы подлинную приверженность вопросу предотвращения пыток и привлечения к ответственности. Она обеспокоен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="00BC60F9" w:rsidRPr="0010299A">
        <w:rPr>
          <w:rFonts w:ascii="Times New Roman" w:hAnsi="Times New Roman" w:cs="Times New Roman"/>
          <w:sz w:val="21"/>
          <w:szCs w:val="21"/>
          <w:lang w:val="ru-RU"/>
        </w:rPr>
        <w:t>, что значительное число лиц</w:t>
      </w:r>
      <w:r w:rsidR="00445EA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осужденных за преступления </w:t>
      </w:r>
      <w:r w:rsidR="00440AF4" w:rsidRPr="0010299A">
        <w:rPr>
          <w:rFonts w:ascii="Times New Roman" w:hAnsi="Times New Roman" w:cs="Times New Roman"/>
          <w:sz w:val="21"/>
          <w:szCs w:val="21"/>
          <w:lang w:val="ru-RU"/>
        </w:rPr>
        <w:t>против государственной безопасности</w:t>
      </w:r>
      <w:r w:rsidR="002C173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</w:t>
      </w:r>
      <w:r w:rsidR="00BC60F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45EA1" w:rsidRPr="0010299A">
        <w:rPr>
          <w:rFonts w:ascii="Times New Roman" w:hAnsi="Times New Roman" w:cs="Times New Roman"/>
          <w:sz w:val="21"/>
          <w:szCs w:val="21"/>
          <w:lang w:val="ru-RU"/>
        </w:rPr>
        <w:t>по-прежнему находя</w:t>
      </w:r>
      <w:r w:rsidR="002C1735" w:rsidRPr="0010299A">
        <w:rPr>
          <w:rFonts w:ascii="Times New Roman" w:hAnsi="Times New Roman" w:cs="Times New Roman"/>
          <w:sz w:val="21"/>
          <w:szCs w:val="21"/>
          <w:lang w:val="ru-RU"/>
        </w:rPr>
        <w:t>щихся</w:t>
      </w:r>
      <w:r w:rsidR="00445EA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под стражей</w:t>
      </w:r>
      <w:r w:rsidR="002C1735" w:rsidRPr="0010299A"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445EA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40AF4" w:rsidRPr="0010299A">
        <w:rPr>
          <w:rFonts w:ascii="Times New Roman" w:hAnsi="Times New Roman" w:cs="Times New Roman"/>
          <w:sz w:val="21"/>
          <w:szCs w:val="21"/>
          <w:lang w:val="ru-RU"/>
        </w:rPr>
        <w:t>испытали пытки</w:t>
      </w:r>
      <w:r w:rsidR="00C61A4F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или бесчеловечное и унижающее достоинство обращение в ходе задержания, допросов, содержани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>я</w:t>
      </w:r>
      <w:r w:rsidR="00C61A4F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под стражей и/или тюремного заключения</w:t>
      </w:r>
      <w:r w:rsidR="00DA0646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7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61A4F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Она призывает к созданию систематической и независимой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E9637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процедуры </w:t>
      </w:r>
      <w:r w:rsidR="00E6252E" w:rsidRPr="0010299A">
        <w:rPr>
          <w:rFonts w:ascii="Times New Roman" w:hAnsi="Times New Roman" w:cs="Times New Roman"/>
          <w:sz w:val="21"/>
          <w:szCs w:val="21"/>
          <w:lang w:val="ru-RU"/>
        </w:rPr>
        <w:t>пересмотра</w:t>
      </w:r>
      <w:r w:rsidR="00E9637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в том числе для дел, возбужденных по статьям Уголовного кодекса 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155, 158, 159, 161, 244.1 </w:t>
      </w:r>
      <w:r w:rsidR="00E96373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244.3 </w:t>
      </w:r>
      <w:r w:rsidR="00E96373" w:rsidRPr="0010299A">
        <w:rPr>
          <w:rFonts w:ascii="Times New Roman" w:hAnsi="Times New Roman" w:cs="Times New Roman"/>
          <w:sz w:val="21"/>
          <w:szCs w:val="21"/>
          <w:lang w:val="ru-RU"/>
        </w:rPr>
        <w:t>до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2016</w:t>
      </w:r>
      <w:r w:rsidR="00E9637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года</w:t>
      </w:r>
      <w:r w:rsidR="00E6252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 целью привлечения к ответственности виновных и предоставления средств правовой защиты и компенсации жертвам</w:t>
      </w:r>
      <w:r w:rsidR="00DA0646" w:rsidRPr="0010299A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14:paraId="7FC6C4EF" w14:textId="77777777" w:rsidR="00DA0646" w:rsidRPr="0010299A" w:rsidRDefault="00DA0646" w:rsidP="0010299A">
      <w:pPr>
        <w:pStyle w:val="ListParagraph"/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</w:p>
    <w:p w14:paraId="58B6E24F" w14:textId="0A5CFDDF" w:rsidR="00E72203" w:rsidRPr="0010299A" w:rsidRDefault="00E6252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Роль </w:t>
      </w:r>
      <w:r w:rsidR="00405B5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экспертного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заключен</w:t>
      </w:r>
      <w:r w:rsidR="00405B59" w:rsidRPr="0010299A">
        <w:rPr>
          <w:rFonts w:ascii="Times New Roman" w:hAnsi="Times New Roman" w:cs="Times New Roman"/>
          <w:sz w:val="21"/>
          <w:szCs w:val="21"/>
          <w:lang w:val="ru-RU"/>
        </w:rPr>
        <w:t>ия в уголовных делах, связанных с религиозным экстремизмом и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>ли</w:t>
      </w:r>
      <w:r w:rsidR="00405B5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производством, распространением или хранением религиозных материалов вызывает обеспокоенность у Специального докладчика. Комитет по религиозным вопросам при Кабинете министров играет ключевую роль в определении </w:t>
      </w:r>
      <w:r w:rsidR="00310E86">
        <w:rPr>
          <w:rFonts w:ascii="Times New Roman" w:hAnsi="Times New Roman" w:cs="Times New Roman"/>
          <w:sz w:val="21"/>
          <w:szCs w:val="21"/>
          <w:lang w:val="ru-RU"/>
        </w:rPr>
        <w:t xml:space="preserve">критерия </w:t>
      </w:r>
      <w:r w:rsidR="00ED0796" w:rsidRPr="0010299A">
        <w:rPr>
          <w:rFonts w:ascii="Times New Roman" w:hAnsi="Times New Roman" w:cs="Times New Roman"/>
          <w:sz w:val="21"/>
          <w:szCs w:val="21"/>
          <w:lang w:val="ru-RU"/>
        </w:rPr>
        <w:t>существ</w:t>
      </w:r>
      <w:r w:rsidR="00310E86">
        <w:rPr>
          <w:rFonts w:ascii="Times New Roman" w:hAnsi="Times New Roman" w:cs="Times New Roman"/>
          <w:sz w:val="21"/>
          <w:szCs w:val="21"/>
          <w:lang w:val="ru-RU"/>
        </w:rPr>
        <w:t xml:space="preserve">енности </w:t>
      </w:r>
      <w:r w:rsidR="00ED079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таких доказательств. Все эксперты, задействованные в проведении экспертизы, на практике назначены государством и прошли проверки структур государственной безопасности. Она обеспокоена тем, что использование такой экспертизы может не соответствовать принципу разделения полномочий в уголовных разбирательствах, нарушать требования справедливого судебного разбирательства и </w:t>
      </w:r>
      <w:r w:rsidR="002C173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подрывать принцип </w:t>
      </w:r>
      <w:r w:rsidR="004F0E9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равенства состязательных возможностей в делах, связанных с экстремизмом. Это представляет собой особую проблему в тех случаях, когда экспертиза де-факто является основным источником внешних доказательств в уголовных разбирательствах. Она отмечает, насколько </w:t>
      </w:r>
      <w:r w:rsidR="00F8704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сложно </w:t>
      </w:r>
      <w:r w:rsidR="004F0E9D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на практике </w:t>
      </w:r>
      <w:r w:rsidR="00F87049" w:rsidRPr="0010299A">
        <w:rPr>
          <w:rFonts w:ascii="Times New Roman" w:hAnsi="Times New Roman" w:cs="Times New Roman"/>
          <w:sz w:val="21"/>
          <w:szCs w:val="21"/>
          <w:lang w:val="ru-RU"/>
        </w:rPr>
        <w:t>подзащитному, особенно малоимущему, оспорить заключение о том, что документ, заявление или группа содержит экстремистские элементы или имеет экстремистски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="00F8704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характер.</w:t>
      </w:r>
    </w:p>
    <w:p w14:paraId="7B14D71F" w14:textId="77777777" w:rsidR="00E72203" w:rsidRPr="0010299A" w:rsidRDefault="00E72203" w:rsidP="0010299A">
      <w:pPr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</w:p>
    <w:p w14:paraId="7D41ED99" w14:textId="77777777" w:rsidR="00BB5978" w:rsidRPr="0010299A" w:rsidRDefault="00BB5978" w:rsidP="0010299A">
      <w:pPr>
        <w:jc w:val="both"/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sz w:val="21"/>
          <w:szCs w:val="21"/>
          <w:lang w:val="ru-RU"/>
        </w:rPr>
        <w:t>Борьба с финансированием терроризма и права человека</w:t>
      </w:r>
    </w:p>
    <w:p w14:paraId="0DA9621B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51DF1731" w14:textId="1A992043" w:rsidR="00E72203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подчеркивает значительный уровень угрозы, связанной с финансированием терроризма. При выполнении своего мандата она неоднократно отмечала необходимость эффективных мер противодействия финансированию терроризма, которые бы проводились в соответствии с принципами прав человека и верховенства права, и ранее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уже обращалась к правительствам с призывом не допустить того, чтобы борьба с финансированием терроризма становилась оправданием для нарушений прав человека. Она уделяет особое внимание негативному влиянию законодательных мер в сфере борьбы с финансированием терроризма на гражданское обществ</w:t>
      </w:r>
      <w:r w:rsidR="0074192A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а также на функционирование и развитие гражданского пространства.</w:t>
      </w:r>
    </w:p>
    <w:p w14:paraId="61AC29B0" w14:textId="77777777" w:rsidR="00BB5978" w:rsidRPr="0010299A" w:rsidRDefault="00BB5978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5113F3BB" w14:textId="1452C3A7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Существующая в Узбекистане правовая база по борьбе с отмыванием денег и финансированием терроризма проистекает из криминализации экономических преступлений и финансирования терроризма согласно Уголовному кодексу Республики Узбекистан от 2001 года и принятому в 2004 году Закону №660-</w:t>
      </w:r>
      <w:r w:rsidRPr="0010299A">
        <w:rPr>
          <w:rFonts w:ascii="Times New Roman" w:hAnsi="Times New Roman" w:cs="Times New Roman"/>
          <w:sz w:val="21"/>
          <w:szCs w:val="21"/>
        </w:rPr>
        <w:t>II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«О противодействии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уничтожения» (вступил в силу в 2006 году и периодически дополняется). В сентябре 2018 года Президент Узбекистана постановил создать Межведомственную комиссию по противодействию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уничтожения, которая, по всей видимости, помогает повысить эффективность межведомственного реагирования на вызовы, исходящие от отмывания денег и финансирования терроризма. Актуальная законодательная база включает в себя Постановление № 854 от 2018 года «Об утверждении положения о порядке взаимодействия органов юстиции с другими органами государственного управления, органами государственной власти на местах, правоохранительными органами по выявлению негосударственных некоммерческих организаций, нарушающих законодательство», создающую систему межведомственной коммуникации при мониторинге нарушений, связанных непосредственно с НПО, в том числе получения денег из незаконных источников. Дополнением к этому служит Постановление № 402 от 2021 года «О дополнительных мерах по реализации Закона Республики Узбекистан </w:t>
      </w:r>
      <w:r w:rsidR="0074192A" w:rsidRPr="0074192A">
        <w:rPr>
          <w:rFonts w:ascii="Times New Roman" w:hAnsi="Times New Roman" w:cs="Times New Roman"/>
          <w:sz w:val="21"/>
          <w:szCs w:val="21"/>
          <w:lang w:val="ru-RU"/>
        </w:rPr>
        <w:t>“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О противодействии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</w:t>
      </w:r>
      <w:r w:rsidR="0074192A" w:rsidRPr="0074192A">
        <w:rPr>
          <w:rFonts w:ascii="Times New Roman" w:hAnsi="Times New Roman" w:cs="Times New Roman"/>
          <w:sz w:val="21"/>
          <w:szCs w:val="21"/>
          <w:lang w:val="ru-RU"/>
        </w:rPr>
        <w:t>”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». Специальный докладчик не обнаружила доказательств действительного обеспечения учета правозащитной проблематики в государственной стратегии борьбы с отмыванием денег и финансированием терроризма, а также в соответствующей правовой базе, при этом создалось впечатление, что должностные лица не осведомлены о действующих международных стандартах в этой сфере.</w:t>
      </w:r>
    </w:p>
    <w:p w14:paraId="3DC34259" w14:textId="77777777" w:rsidR="00BB5978" w:rsidRPr="0010299A" w:rsidRDefault="00BB5978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4F688371" w14:textId="77777777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В дополнение к этому, в Статье 7 Закона «О борьбе с экстремизмом» от 2018 года содержатся положения о финансировании терроризма. В этой связи Специальный докладчик с обеспокоенностью отмечает, что понятие «финансирование терроризма» носит достаточно общий характер и что конфискация имущества или же прекращение финансовых операций юридических лиц может повлечь за собой нарушение значимых прав, в том числе права на неприкосновенность частной жизни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8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надлежащие правовые процедуры, а также процессуальные права.</w:t>
      </w:r>
    </w:p>
    <w:p w14:paraId="77877145" w14:textId="77777777" w:rsidR="00BB5978" w:rsidRPr="0010299A" w:rsidRDefault="00BB5978" w:rsidP="0010299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</w:pPr>
    </w:p>
    <w:p w14:paraId="2BF20B43" w14:textId="77777777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  <w:t xml:space="preserve">Положительным моментом является то, что 3 марта 2021 года Президент Узбекистана издал Постановление «О дополнительных мерах по государственной поддержке негосударственных некоммерческих организаций (ННО), обеспечению свободы их деятельности, защиты прав и законных интересов», что потребует, среди прочего, увеличение годовых лимитов иностранного финансирования ННО; также отмечается сотрудничество между Министерством юстиции, Верховным судом и Генеральной прокуратурой в вопросе разработки законопроекта, предусматривающего административную ответственность в случае вмешательства органов государственной власти и прочих должностных лиц в работу ННО. Также, 4 марта 2021 года Президент Узбекистана издал Указ «Об утверждении концепции гражданского общества в 2021-2025 годах» и дорожную карту по выполнению данной концепции, предполагающую улучшение правовой базы функционирования гражданского общества, сотрудничество между организациями гражданского общества и правительством, и, среди прочего, 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ru-RU"/>
        </w:rPr>
        <w:lastRenderedPageBreak/>
        <w:t>государственную поддержку деятельности организаций гражданского общества. Подобные усилия приветствуются. Однако их влияние на позитивное укрепление и обеспечение независимости гражданского общества – в особенности в сфере борьбы с терроризмом и финансированием терроризма, в целом более подверженных чрезмерному государственному контролю и скрытным действиям – все еще не доказано, рекомендуется непрерывно выполнять данные обязательства.</w:t>
      </w:r>
    </w:p>
    <w:p w14:paraId="3F2FBB5A" w14:textId="77777777" w:rsidR="00BB5978" w:rsidRPr="0010299A" w:rsidRDefault="00BB5978" w:rsidP="0010299A">
      <w:pPr>
        <w:ind w:left="360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69D453A8" w14:textId="68A18EDB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Узбекистан присоединился к Евразийской группе по противодействию легализации преступных доходов и финансированию терроризма (ЕАГ) в 2005 году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19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В настоящее время проводится взаимная оценка, которую предполагается завершить в мае 2022 года. В 2019 году Узбекистан провел национальную оценку угроз, связанных с финансированием терроризма, при участии экспертов из профильных международных организаций. Специальному докладчику сообщили, что оценка угроз, связанных </w:t>
      </w:r>
      <w:r w:rsidR="00AA352C" w:rsidRPr="0010299A">
        <w:rPr>
          <w:rFonts w:ascii="Times New Roman" w:hAnsi="Times New Roman" w:cs="Times New Roman"/>
          <w:sz w:val="21"/>
          <w:szCs w:val="21"/>
          <w:lang w:val="ru-RU"/>
        </w:rPr>
        <w:t>с неправительственными организациями,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определила этот сектор в зону «повышенного риска» по сравнению с прочими секторами финансирования терроризма, также обозначив реагирование на угрозу финансирования терроризма со стороны сектора НПО как приоритетное направление работы правительства. Сравнительные мировые оценки в целом показали, что сектор НПО не находится в категории </w:t>
      </w:r>
      <w:r w:rsidR="00264FD1">
        <w:rPr>
          <w:rFonts w:ascii="Times New Roman" w:hAnsi="Times New Roman" w:cs="Times New Roman"/>
          <w:sz w:val="21"/>
          <w:szCs w:val="21"/>
          <w:lang w:val="ru-RU"/>
        </w:rPr>
        <w:t>повышенного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риска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0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и подобные оценки на государственном уровне вызывают обеспокоенность Специального докладчика, если учитывать низкие оценки уровня угрозы терроризма и насильственного экстремизма. Она подчеркивает важность проведения </w:t>
      </w:r>
      <w:r w:rsidR="00264FD1">
        <w:rPr>
          <w:rFonts w:ascii="Times New Roman" w:hAnsi="Times New Roman" w:cs="Times New Roman"/>
          <w:sz w:val="21"/>
          <w:szCs w:val="21"/>
          <w:lang w:val="ru-RU"/>
        </w:rPr>
        <w:t>профессиональных</w:t>
      </w:r>
      <w:r w:rsidR="00264FD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оценок угроз </w:t>
      </w:r>
      <w:r w:rsidR="00264FD1">
        <w:rPr>
          <w:rFonts w:ascii="Times New Roman" w:hAnsi="Times New Roman" w:cs="Times New Roman"/>
          <w:sz w:val="21"/>
          <w:szCs w:val="21"/>
          <w:lang w:val="ru-RU"/>
        </w:rPr>
        <w:t>с опорой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 доказательства, в том числе и посредством прямых консультаций с разными НПО, включая организации общинного уровня, скорее всего располагающими более полной информацией и лучшим пониманием того, какие угрозы действительно связаны с этим многокомпонентным и неоднородным сектором. Она выражает обеспокоенность, что кажущиеся слишком обобщающими оценки всех НПО и религиозных организаций как находящихся в зоне «</w:t>
      </w:r>
      <w:r w:rsidR="00264FD1">
        <w:rPr>
          <w:rFonts w:ascii="Times New Roman" w:hAnsi="Times New Roman" w:cs="Times New Roman"/>
          <w:sz w:val="21"/>
          <w:szCs w:val="21"/>
          <w:lang w:val="ru-RU"/>
        </w:rPr>
        <w:t xml:space="preserve">повышенного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риска» не </w:t>
      </w:r>
      <w:r w:rsidR="00264FD1" w:rsidRPr="0010299A">
        <w:rPr>
          <w:rFonts w:ascii="Times New Roman" w:hAnsi="Times New Roman" w:cs="Times New Roman"/>
          <w:sz w:val="21"/>
          <w:szCs w:val="21"/>
          <w:lang w:val="ru-RU"/>
        </w:rPr>
        <w:t>соотнос</w:t>
      </w:r>
      <w:r w:rsidR="00264FD1">
        <w:rPr>
          <w:rFonts w:ascii="Times New Roman" w:hAnsi="Times New Roman" w:cs="Times New Roman"/>
          <w:sz w:val="21"/>
          <w:szCs w:val="21"/>
          <w:lang w:val="ru-RU"/>
        </w:rPr>
        <w:t>я</w:t>
      </w:r>
      <w:r w:rsidR="00264FD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тся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с Рекомендацией 8 ФАТФ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1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В более широком смысле такое отношение к НПО/НКО становится поводом для обеспокоенности относительно ограничений гражданского пространства, иррациональных препятствий для регламентации деятельности НПО/НКО, а также негативного влияния мер по борьбе с терроризмом на гражданское общество. Как уточняется в пояснительной записке к Рекомендации 8 ФАТФ, страны должны сперва определить, какой тип НПО подпадает под определение НКО как его дает ФАТФ, только после этого переходя к «основанным на рисках», «целевым», «пропорциональным» и «эффективным» мерам борьбы с финансированием терроризма, учитывая разнообразные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суб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>-секторные риски, выявленные эмпирическим путем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2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. В этой связи она отмечает, что ФАТФ недавно пришел к выводу, что «большинство стран все еще не проводят достаточную оценку рисков в секторе НКО в своих странах, и еще меньшее их число проводят работу и мониторинг, основанные на оценке рисков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3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14:paraId="65EC7281" w14:textId="77777777" w:rsidR="00BB5978" w:rsidRPr="0010299A" w:rsidRDefault="00BB5978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9AA2E1B" w14:textId="79E48A25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придерживается мнения, что в государственную стратегию в области борьбы с отмыванием денег и финансированием терроризма следует внести изменения, чтобы она отражала более персонализированный подход, совпадающий с эмпирическими реалиями сектора и обязательства</w:t>
      </w:r>
      <w:r w:rsidR="00264FD1">
        <w:rPr>
          <w:rFonts w:ascii="Times New Roman" w:hAnsi="Times New Roman" w:cs="Times New Roman"/>
          <w:sz w:val="21"/>
          <w:szCs w:val="21"/>
          <w:lang w:val="ru-RU"/>
        </w:rPr>
        <w:t>ми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Узбекистана в отношении международного права и прав человека, в особенности о гражданском пространстве и религиозных меньшинствах. Она подчеркивает, что в Международной конвенции о борьбе с финансированием терроризма, резолюции 2462 Совета безопасности ООН и в пояснительной записке к Рекомендации 8 подчеркивается, что любые меры по борьбе с финансированием терроризма должны проводиться в соответствии с международным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правом, в том числе международным правом прав человека и гуманитарным правом. Она обеспокоена наличием лишь небольшого числа существующих гарантий защиты законной деятельности НПО, а также некоторых категорий людей, в том числе религиозных меньшинств, от неоправданного подавления права на свободу самовыражения или от дискриминации при ведении борьбы против финансирования терроризма – всех прав, провозглашенных в Статьях 2, 18, 19, 21, 22 Международного пакта о гражданских и политических правах и в других договорах. Она подчеркивает необходимость привести в соответствие недавние положительные исполнительные меры, призванные защитить права и основные свободы НКО, национальную стратегию по борьбе с отмыванием денег и финансированием терроризма и любые меры по борьбе с финансированием терроризма, затрагивающие НКО.</w:t>
      </w:r>
    </w:p>
    <w:p w14:paraId="0B460A3C" w14:textId="77777777" w:rsidR="00BB5978" w:rsidRPr="0010299A" w:rsidRDefault="00BB5978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6A67119D" w14:textId="77777777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Что касается более общей национальной оценки рисков борьбы с финансированием терроризма, Специальный докладчик отмечает, что итоги национальной оценки рисков говорят в пользу предоставления контролируемого доступа органов государственной власти и частного сектора к ведомственным базам данных. Она хотела бы подчеркнуть значительный риск нарушения права на неприкосновенность частной жизни согласно Статье 17 Международного пакта о гражданских и политических правах. В соответствии с другими рекомендациями в сфере конфиденциальности данных, Специальный докладчик рекомендует усиление существующих и введение новых мер защиты данных при проведении государственных мер по борьбе с финансированием терроризма и при любых обменах информацией с частным сектором. </w:t>
      </w:r>
    </w:p>
    <w:p w14:paraId="0F1BAC73" w14:textId="77777777" w:rsidR="00BB5978" w:rsidRPr="0010299A" w:rsidRDefault="00BB5978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31170529" w14:textId="6B0CF02E" w:rsidR="00BB5978" w:rsidRPr="0010299A" w:rsidRDefault="00BB5978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отмечает, что на борьбу с финансированием терроризма были затрачены значительные усилия по наращиванию потенциала, такие как передача аналитических знаний, основные и дополнительные расследования, нарушение финансовых потоков и санкции Совета безопасности ООН. Не до конца понятно, насколько обязательства и практика в сфере прав человека учитывались в этих сферах. Она рекомендует значительно увеличить объемы технической поддержки Межведомственной комиссии по борьбе с легализацией доходов от преступной деятельности, финансированием терроризма и финансированием распространения оружия массового уничтожения в том, что касается обязательств в сфере прав человека и сектора НКО при борьбе с финансированием терроризма, в том числе путем сотрудничества с ЕАГ, Министерством юстиции, многосторонними организациями, местным субъектами гражданского общества и Управлением верховного комиссара по правам человека. В этой связи она также предлагает сотрудничество со стороны своей команды. Специальный докладчик подчеркивает насущную необходимость разработки конкретных критериев оценки ситуации с правами человека в рамках государственной стратегии по борьбе с отмыванием денег и финансированием терроризма, с конкретными отсылками к международному праву прав человека и остальным применимым международно-правовым обязательствам.</w:t>
      </w:r>
    </w:p>
    <w:p w14:paraId="61A2635F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</w:p>
    <w:p w14:paraId="2DCB245B" w14:textId="539729B8" w:rsidR="00E72203" w:rsidRPr="0010299A" w:rsidRDefault="00DA0646" w:rsidP="0010299A">
      <w:pPr>
        <w:jc w:val="both"/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ru-RU"/>
        </w:rPr>
        <w:t xml:space="preserve">Ответственность за нарушения прав человека </w:t>
      </w:r>
      <w:r w:rsidR="00EC211D" w:rsidRPr="0010299A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ru-RU"/>
        </w:rPr>
        <w:t>в контексте противодействия терроризму и насильственному экстремизму</w:t>
      </w:r>
    </w:p>
    <w:p w14:paraId="653E7FAA" w14:textId="77777777" w:rsidR="00E72203" w:rsidRPr="0010299A" w:rsidRDefault="00E72203" w:rsidP="0010299A">
      <w:pPr>
        <w:jc w:val="both"/>
        <w:rPr>
          <w:rFonts w:ascii="Times New Roman" w:hAnsi="Times New Roman" w:cs="Times New Roman"/>
          <w:i/>
          <w:iCs/>
          <w:sz w:val="21"/>
          <w:szCs w:val="21"/>
          <w:lang w:val="ru-RU"/>
        </w:rPr>
      </w:pPr>
    </w:p>
    <w:p w14:paraId="29B476F9" w14:textId="1A77A0A6" w:rsidR="00E72203" w:rsidRPr="0010299A" w:rsidRDefault="00EC211D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</w:t>
      </w:r>
      <w:r w:rsidR="007525A8" w:rsidRPr="0010299A">
        <w:rPr>
          <w:rFonts w:ascii="Times New Roman" w:hAnsi="Times New Roman" w:cs="Times New Roman"/>
          <w:sz w:val="21"/>
          <w:szCs w:val="21"/>
          <w:lang w:val="ru-RU"/>
        </w:rPr>
        <w:t>неизменно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указывала на потребность в последовательн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ой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транспарентн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ой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тщательн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ой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работе для привлечения к ответственности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за нарушения прав человека в контексте противодействия терроризму и (насильственному) экстремизму.</w:t>
      </w:r>
    </w:p>
    <w:p w14:paraId="709BB174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2143EEB9" w14:textId="2424F0CD" w:rsidR="004A7C52" w:rsidRPr="0010299A" w:rsidRDefault="00EC211D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Ей представилась возможность посетить Наманган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>ск</w:t>
      </w:r>
      <w:r w:rsidR="00A9714A" w:rsidRPr="00A9714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Андижан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>ск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Ферганск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>области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встретиться с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должностными лицами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судьями</w:t>
      </w:r>
      <w:r w:rsidR="00D00DD9" w:rsidRPr="0010299A">
        <w:rPr>
          <w:rFonts w:ascii="Times New Roman" w:hAnsi="Times New Roman" w:cs="Times New Roman"/>
          <w:sz w:val="21"/>
          <w:szCs w:val="21"/>
          <w:lang w:val="ru-RU"/>
        </w:rPr>
        <w:t>, следователями, адвокатами и организациями гражданского общества.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00DD9" w:rsidRPr="0010299A">
        <w:rPr>
          <w:rFonts w:ascii="Times New Roman" w:hAnsi="Times New Roman" w:cs="Times New Roman"/>
          <w:sz w:val="21"/>
          <w:szCs w:val="21"/>
          <w:lang w:val="ru-RU"/>
        </w:rPr>
        <w:t>Были обсуждены события, произошедшие в Андижане в период с 12 по 14 мая 2005 г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ода</w:t>
      </w:r>
      <w:r w:rsidR="00D00DD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Должностные лица</w:t>
      </w:r>
      <w:r w:rsidR="00D00DD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сослались на </w:t>
      </w:r>
      <w:r w:rsidR="00D00DD9" w:rsidRPr="0010299A">
        <w:rPr>
          <w:rFonts w:ascii="Times New Roman" w:hAnsi="Times New Roman" w:cs="Times New Roman"/>
          <w:sz w:val="21"/>
          <w:szCs w:val="21"/>
          <w:lang w:val="ru-RU"/>
        </w:rPr>
        <w:t>контртеррористическую и экстремистскую природу данных событий и указали на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>надзор, осуществленный до настоящего момента,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00DD9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включая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>уголовные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разбирательства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парламент</w:t>
      </w:r>
      <w:r w:rsidR="0057162A">
        <w:rPr>
          <w:rFonts w:ascii="Times New Roman" w:hAnsi="Times New Roman" w:cs="Times New Roman"/>
          <w:sz w:val="21"/>
          <w:szCs w:val="21"/>
          <w:lang w:val="ru-RU"/>
        </w:rPr>
        <w:t>ские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>слушания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Гражданское общество </w:t>
      </w:r>
      <w:r w:rsidR="0057162A">
        <w:rPr>
          <w:rFonts w:ascii="Times New Roman" w:hAnsi="Times New Roman" w:cs="Times New Roman"/>
          <w:sz w:val="21"/>
          <w:szCs w:val="21"/>
          <w:lang w:val="ru-RU"/>
        </w:rPr>
        <w:t>отметило</w:t>
      </w:r>
      <w:r w:rsidR="0057162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>сохраняющиеся пробелы в области прав человека и привлечения к ответственности.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>Специальн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ого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>докладчик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а обнадеживают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заявления со стороны 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заместителя Генерального прокурора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>относительно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правосудия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>транспарентности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рассмотрения вопросов ответственности в контексте трагических прошедших событий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при серьезных нарушениях прав человека. Она вспоминает заключительные рекомендации </w:t>
      </w:r>
      <w:r w:rsidR="00D450FE" w:rsidRPr="0010299A">
        <w:rPr>
          <w:rFonts w:ascii="Times New Roman" w:hAnsi="Times New Roman" w:cs="Times New Roman"/>
          <w:sz w:val="21"/>
          <w:szCs w:val="21"/>
          <w:lang w:val="ru-RU"/>
        </w:rPr>
        <w:t>Комитета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 правам человека в рамках периодического обзора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 xml:space="preserve">Узбекистана в </w:t>
      </w:r>
      <w:r w:rsidR="00DB517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2020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году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>и заключительн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ую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рекомендаци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ю</w:t>
      </w:r>
      <w:r w:rsidR="004A7C5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Комитета против пыток, где оба Комитета указали на необходимость полноценного, независимого и эффективного расследования массовых убийств и ранений, совершенных военными силами и службами безопасности во время данных событий</w:t>
      </w:r>
      <w:r w:rsidR="00E72203"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4"/>
      </w:r>
      <w:r w:rsidR="00C04BBA" w:rsidRPr="00C04BBA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14:paraId="0C569EE1" w14:textId="77777777" w:rsidR="002C344A" w:rsidRPr="0010299A" w:rsidRDefault="002C344A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2F3CC702" w14:textId="3148F70A" w:rsidR="00E72203" w:rsidRPr="0010299A" w:rsidRDefault="004A7C52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полагает, что показательные дела, связанные с обвинениями в серьезных нарушениях прав человека, имеют долгосрочные последствия для </w:t>
      </w:r>
      <w:r w:rsidR="00F81941" w:rsidRPr="0010299A">
        <w:rPr>
          <w:rFonts w:ascii="Times New Roman" w:hAnsi="Times New Roman" w:cs="Times New Roman"/>
          <w:sz w:val="21"/>
          <w:szCs w:val="21"/>
          <w:lang w:val="ru-RU"/>
        </w:rPr>
        <w:t>надежности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государственных систем </w:t>
      </w:r>
      <w:r w:rsidR="00F8194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правосудия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>и доверия к ним.</w:t>
      </w:r>
      <w:r w:rsidR="00F81941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Показательные дела, связанные с противодействием терроризму особенно важно </w:t>
      </w:r>
      <w:r w:rsidR="00323220" w:rsidRPr="0010299A">
        <w:rPr>
          <w:rFonts w:ascii="Times New Roman" w:hAnsi="Times New Roman" w:cs="Times New Roman"/>
          <w:sz w:val="21"/>
          <w:szCs w:val="21"/>
          <w:lang w:val="ru-RU"/>
        </w:rPr>
        <w:t>урегулировать</w:t>
      </w:r>
      <w:r w:rsidR="00A7779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именно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из-за ведущей роли служб безопасности, </w:t>
      </w:r>
      <w:r w:rsidR="00853EE3" w:rsidRPr="0010299A">
        <w:rPr>
          <w:rFonts w:ascii="Times New Roman" w:hAnsi="Times New Roman" w:cs="Times New Roman"/>
          <w:sz w:val="21"/>
          <w:szCs w:val="21"/>
          <w:lang w:val="ru-RU"/>
        </w:rPr>
        <w:t>военных и полицейских органов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>Обязательств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F631B8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не допустить повторного нарушения прав человека </w:t>
      </w:r>
      <w:r w:rsidR="00553EBE" w:rsidRPr="00EB21AA">
        <w:rPr>
          <w:rFonts w:ascii="Times New Roman" w:hAnsi="Times New Roman" w:cs="Times New Roman"/>
          <w:sz w:val="21"/>
          <w:szCs w:val="21"/>
          <w:lang w:val="ru-RU"/>
        </w:rPr>
        <w:t>соблюдается только когда с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о</w:t>
      </w:r>
      <w:r w:rsidR="00553EBE" w:rsidRPr="00EB21AA">
        <w:rPr>
          <w:rFonts w:ascii="Times New Roman" w:hAnsi="Times New Roman" w:cs="Times New Roman"/>
          <w:sz w:val="21"/>
          <w:szCs w:val="21"/>
          <w:lang w:val="ru-RU"/>
        </w:rPr>
        <w:t xml:space="preserve">вершается правосудие и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>когда</w:t>
      </w:r>
      <w:r w:rsidR="00553EBE" w:rsidRPr="00EB21A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 xml:space="preserve">о таком совершении осведомлены </w:t>
      </w:r>
      <w:r w:rsidR="00553EBE" w:rsidRPr="00EB21AA">
        <w:rPr>
          <w:rFonts w:ascii="Times New Roman" w:hAnsi="Times New Roman" w:cs="Times New Roman"/>
          <w:sz w:val="21"/>
          <w:szCs w:val="21"/>
          <w:lang w:val="ru-RU"/>
        </w:rPr>
        <w:t>особенно пострадавшие группы населения. Ее мандат поддерживает рекомендацию Комитета по правам человека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провести независимое, беспристрастное, тщательное и эффективное расследование обстоятельств событий</w:t>
      </w:r>
      <w:r w:rsidR="0057162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7162A" w:rsidRPr="0010299A">
        <w:rPr>
          <w:rFonts w:ascii="Times New Roman" w:hAnsi="Times New Roman" w:cs="Times New Roman"/>
          <w:sz w:val="21"/>
          <w:szCs w:val="21"/>
          <w:lang w:val="ru-RU"/>
        </w:rPr>
        <w:t>2005 года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Андижане, ориентированное на привлечение к ответственности и </w:t>
      </w:r>
      <w:r w:rsidR="00A9714A">
        <w:rPr>
          <w:rFonts w:ascii="Times New Roman" w:hAnsi="Times New Roman" w:cs="Times New Roman"/>
          <w:sz w:val="21"/>
          <w:szCs w:val="21"/>
          <w:lang w:val="ru-RU"/>
        </w:rPr>
        <w:t xml:space="preserve">на 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>потребности жертв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Она придерживается мнения, что независимое расследование 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духе большей открытости и взаимодействия с прошлым 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>усили</w:t>
      </w:r>
      <w:r w:rsidR="002C344A" w:rsidRPr="0010299A">
        <w:rPr>
          <w:rFonts w:ascii="Times New Roman" w:hAnsi="Times New Roman" w:cs="Times New Roman"/>
          <w:sz w:val="21"/>
          <w:szCs w:val="21"/>
          <w:lang w:val="ru-RU"/>
        </w:rPr>
        <w:t>ло бы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правовую систему государства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>, что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соответств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>овало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бы </w:t>
      </w:r>
      <w:r w:rsidR="00553EBE" w:rsidRPr="0010299A">
        <w:rPr>
          <w:rFonts w:ascii="Times New Roman" w:hAnsi="Times New Roman" w:cs="Times New Roman"/>
          <w:sz w:val="21"/>
          <w:szCs w:val="21"/>
          <w:lang w:val="ru-RU"/>
        </w:rPr>
        <w:t>требованиям международного права в отношении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гарантий </w:t>
      </w:r>
      <w:proofErr w:type="spellStart"/>
      <w:r w:rsidR="0054323A" w:rsidRPr="0010299A">
        <w:rPr>
          <w:rFonts w:ascii="Times New Roman" w:hAnsi="Times New Roman" w:cs="Times New Roman"/>
          <w:sz w:val="21"/>
          <w:szCs w:val="21"/>
          <w:lang w:val="ru-RU"/>
        </w:rPr>
        <w:t>неповторения</w:t>
      </w:r>
      <w:proofErr w:type="spellEnd"/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</w:p>
    <w:p w14:paraId="49AB56AB" w14:textId="77777777" w:rsidR="00E72203" w:rsidRPr="0010299A" w:rsidRDefault="00E72203" w:rsidP="0010299A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</w:p>
    <w:p w14:paraId="16567B85" w14:textId="3BED97CE" w:rsidR="00A2390E" w:rsidRPr="0010299A" w:rsidRDefault="00A2390E" w:rsidP="0010299A">
      <w:pPr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10299A">
        <w:rPr>
          <w:rFonts w:ascii="Times New Roman" w:hAnsi="Times New Roman" w:cs="Times New Roman"/>
          <w:i/>
          <w:sz w:val="21"/>
          <w:szCs w:val="21"/>
        </w:rPr>
        <w:t>Тюрьмы</w:t>
      </w:r>
      <w:proofErr w:type="spellEnd"/>
      <w:r w:rsidRPr="0010299A">
        <w:rPr>
          <w:rFonts w:ascii="Times New Roman" w:hAnsi="Times New Roman" w:cs="Times New Roman"/>
          <w:i/>
          <w:sz w:val="21"/>
          <w:szCs w:val="21"/>
        </w:rPr>
        <w:t xml:space="preserve"> и </w:t>
      </w:r>
      <w:proofErr w:type="spellStart"/>
      <w:r w:rsidRPr="0010299A">
        <w:rPr>
          <w:rFonts w:ascii="Times New Roman" w:hAnsi="Times New Roman" w:cs="Times New Roman"/>
          <w:i/>
          <w:sz w:val="21"/>
          <w:szCs w:val="21"/>
        </w:rPr>
        <w:t>следственные</w:t>
      </w:r>
      <w:proofErr w:type="spellEnd"/>
      <w:r w:rsidRPr="0010299A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10299A">
        <w:rPr>
          <w:rFonts w:ascii="Times New Roman" w:hAnsi="Times New Roman" w:cs="Times New Roman"/>
          <w:i/>
          <w:sz w:val="21"/>
          <w:szCs w:val="21"/>
        </w:rPr>
        <w:t>изоляторы</w:t>
      </w:r>
      <w:proofErr w:type="spellEnd"/>
    </w:p>
    <w:p w14:paraId="1FBB54C2" w14:textId="70AF59D6" w:rsidR="00A2390E" w:rsidRPr="0010299A" w:rsidRDefault="00A2390E" w:rsidP="0010299A">
      <w:pPr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BB18707" w14:textId="6A0239B2" w:rsidR="00A2390E" w:rsidRPr="0010299A" w:rsidRDefault="00A2390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посетила четыре места отбывания наказания и один следственный изолятор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5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. Она положительно отмечает обсуждения и атмосферу сотрудничества, благодаря которым в итоге удалось организовать эти посещения. В прошлом условия в тюрьмах Узбекистана характеризовались нарушениями прав заключенных, плохим состоянием инфраструктуры</w:t>
      </w:r>
      <w:r w:rsidR="0057162A">
        <w:rPr>
          <w:rFonts w:ascii="Times New Roman" w:hAnsi="Times New Roman" w:cs="Times New Roman"/>
          <w:sz w:val="21"/>
          <w:szCs w:val="21"/>
          <w:lang w:val="ru-RU"/>
        </w:rPr>
        <w:t xml:space="preserve"> и анти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санитари</w:t>
      </w:r>
      <w:r w:rsidR="0057162A">
        <w:rPr>
          <w:rFonts w:ascii="Times New Roman" w:hAnsi="Times New Roman" w:cs="Times New Roman"/>
          <w:sz w:val="21"/>
          <w:szCs w:val="21"/>
          <w:lang w:val="ru-RU"/>
        </w:rPr>
        <w:t>ей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также сообщалось о распространенности пыток, бесчеловечном и унижающем достоинство человека отношении, распространении поддающихся профилактике заболеваний</w:t>
      </w:r>
      <w:r w:rsidR="000D4441" w:rsidRPr="0010299A">
        <w:rPr>
          <w:rFonts w:ascii="Times New Roman" w:hAnsi="Times New Roman" w:cs="Times New Roman"/>
          <w:sz w:val="21"/>
          <w:szCs w:val="21"/>
          <w:lang w:val="ru-RU"/>
        </w:rPr>
        <w:t>, таких как туберкулез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; выражал</w:t>
      </w:r>
      <w:r w:rsidR="005F5C02" w:rsidRPr="005F5C02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сь обеспокоенност</w:t>
      </w:r>
      <w:r w:rsidR="005F5C02">
        <w:rPr>
          <w:rFonts w:ascii="Times New Roman" w:hAnsi="Times New Roman" w:cs="Times New Roman"/>
          <w:sz w:val="21"/>
          <w:szCs w:val="21"/>
          <w:lang w:val="ru-RU"/>
        </w:rPr>
        <w:t>ь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 поводу качества питания и воды; сообщалось о психических 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 xml:space="preserve">и физических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страданиях заключенных. Специальный докладчик заявляет, что в местах отбывания наказания, посещенных ей, общие условия содержания были удовлетворительными, что подтверждает стремление правительства улучшить состояние данных тюрем для приведения в соответствие с международными стандартами. Обнаружились подтверждения надлежащей практики обеспечения встреч с семьями (в том числе посещений тюрем семьями и супругами), оказания медицинских услуг, помощи дантистов и психологов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, заключенные имели возможность работать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; также правительство оказалось осведомлено о праве заключенных подавать жалобу о наносимом им вреде или плохом обращении, используя ящики для жалоб в ведении Омбудсмена. </w:t>
      </w:r>
      <w:r w:rsidR="00CA1DC8" w:rsidRPr="001372FD">
        <w:rPr>
          <w:rFonts w:ascii="Times New Roman" w:hAnsi="Times New Roman" w:cs="Times New Roman"/>
          <w:sz w:val="21"/>
          <w:szCs w:val="21"/>
          <w:lang w:val="ru-RU"/>
        </w:rPr>
        <w:t>Представляется, что условия содержания в тюрьмах, которые посетила Специальный докладчик, улучшаются</w:t>
      </w:r>
      <w:r w:rsidRPr="001372FD">
        <w:rPr>
          <w:rFonts w:ascii="Times New Roman" w:hAnsi="Times New Roman" w:cs="Times New Roman"/>
          <w:sz w:val="21"/>
          <w:szCs w:val="21"/>
          <w:lang w:val="ru-RU"/>
        </w:rPr>
        <w:t>. Это представляет собой положительное явление в сфере поощрения прав человека</w:t>
      </w:r>
      <w:r w:rsidR="00274870" w:rsidRPr="001372FD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1372FD" w:rsidRPr="001372F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A1DC8" w:rsidRPr="001372FD">
        <w:rPr>
          <w:rFonts w:ascii="Times New Roman" w:hAnsi="Times New Roman" w:cs="Times New Roman"/>
          <w:sz w:val="21"/>
          <w:szCs w:val="21"/>
          <w:lang w:val="ru-RU"/>
        </w:rPr>
        <w:t>Эту тенденцию</w:t>
      </w:r>
      <w:r w:rsidRPr="001372F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CA1DC8" w:rsidRPr="001372FD">
        <w:rPr>
          <w:rFonts w:ascii="Times New Roman" w:hAnsi="Times New Roman" w:cs="Times New Roman"/>
          <w:sz w:val="21"/>
          <w:szCs w:val="21"/>
          <w:lang w:val="ru-RU"/>
        </w:rPr>
        <w:t>необходимо</w:t>
      </w:r>
      <w:r w:rsidRPr="001372FD">
        <w:rPr>
          <w:rFonts w:ascii="Times New Roman" w:hAnsi="Times New Roman" w:cs="Times New Roman"/>
          <w:sz w:val="21"/>
          <w:szCs w:val="21"/>
          <w:lang w:val="ru-RU"/>
        </w:rPr>
        <w:t xml:space="preserve"> поддерживать; Специальный докладчик приветствует этот прогресс.</w:t>
      </w:r>
    </w:p>
    <w:p w14:paraId="1FA55AA6" w14:textId="77777777" w:rsidR="00A2390E" w:rsidRPr="0010299A" w:rsidRDefault="00A2390E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3BBB409" w14:textId="726C56A0" w:rsidR="00A2390E" w:rsidRPr="0010299A" w:rsidRDefault="00A2390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При этом пенитенциарную систему можно улучшить для обеспечения ее полного </w:t>
      </w:r>
      <w:r w:rsidR="00274870" w:rsidRPr="0010299A">
        <w:rPr>
          <w:rFonts w:ascii="Times New Roman" w:hAnsi="Times New Roman" w:cs="Times New Roman"/>
          <w:sz w:val="21"/>
          <w:szCs w:val="21"/>
          <w:lang w:val="ru-RU"/>
        </w:rPr>
        <w:t>соответствия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международным стандартам прав человека и Правилами Нельсона </w:t>
      </w:r>
      <w:proofErr w:type="spell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Манделы</w:t>
      </w:r>
      <w:proofErr w:type="spellEnd"/>
      <w:r w:rsidRPr="0010299A">
        <w:rPr>
          <w:rFonts w:ascii="Times New Roman" w:hAnsi="Times New Roman" w:cs="Times New Roman"/>
          <w:sz w:val="21"/>
          <w:szCs w:val="21"/>
          <w:lang w:val="ru-RU"/>
        </w:rPr>
        <w:t>. От собеседников Специальный докладчик получила достоверную информацию о нарушениях прав человека в том, что касается тюремных условий и</w:t>
      </w:r>
      <w:r w:rsidR="007D301F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обращения с заключенными</w:t>
      </w:r>
      <w:r w:rsidR="007D301F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таких как неудовлетворительная инфраструктура, 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антисанитария</w:t>
      </w:r>
      <w:r w:rsidR="004A6FAF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, 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 xml:space="preserve">низкое </w:t>
      </w:r>
      <w:r w:rsidR="004A6FAF"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>качество продовольствия, жестокое обращение и эндемические проблемы со здоровьем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Непрерывные выделения бюджетных средств для модернизации </w:t>
      </w:r>
      <w:r w:rsidR="0057162A">
        <w:rPr>
          <w:rFonts w:ascii="Times New Roman" w:hAnsi="Times New Roman" w:cs="Times New Roman"/>
          <w:sz w:val="21"/>
          <w:szCs w:val="21"/>
          <w:lang w:val="ru-RU"/>
        </w:rPr>
        <w:t>ветшающих</w:t>
      </w:r>
      <w:r w:rsidR="0057162A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тюремных учреждений помогут улучить тюремную инфраструктуру, в особенности для предотвращения переполненности и обеспечения достаточного пространства для каждого заключенного в спальных зонах, в том числе и места, где будет физически возможно молиться. Рекомендуется проводить постоянную подготовку 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 xml:space="preserve">всех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сотрудников тюрем в сфере прав человека. В дополнение к этому необходимо обеспечить приемлемые санитарные условия, в особенности наличие во всех тюрьмах туалетов, увеличить комнаты для семейных посещений, чтобы они могли вмещать большие семьи, обеспечить отбывание всеми заключенными наказания ближе к своим семьям. В соответствии с международным правом прав человека она рекомендует послабление ограничений на ношение личных молитвенников и религиозных материалов для верующих заключенных, принятие большей свободы религиозного самовыражения в местах лишения свободы, а также более эффективный административный процесс обеспечения семейных посещений в тюрьмы. Для более действенного предотвращения пыток в тюрьмах медицинский персонал должен проходить подготовку в сфере прав человека и придерживаться этических стандартов. Рекомендуется, чтобы медицинский персонал в местах лишения свободы отвечал исключительно перед Министерством здравоохранения. Следственные изоляторы отмечались различными собеседниками как источник обеспокоенности насчет доступа </w:t>
      </w:r>
      <w:r w:rsidR="00B127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адвокатов и членов семей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к арестантам, в особенности в случае закрытых разбирательств.</w:t>
      </w:r>
    </w:p>
    <w:p w14:paraId="4CBBF047" w14:textId="77777777" w:rsidR="00A2390E" w:rsidRPr="0010299A" w:rsidRDefault="00A2390E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3C0CA795" w14:textId="2CA4AB66" w:rsidR="00542A34" w:rsidRPr="00542A34" w:rsidRDefault="00A2390E" w:rsidP="00542A3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542A34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отмечает серьезную обеспокоенность в связи с дли</w:t>
      </w:r>
      <w:r w:rsidR="0057162A" w:rsidRPr="00542A34">
        <w:rPr>
          <w:rFonts w:ascii="Times New Roman" w:hAnsi="Times New Roman" w:cs="Times New Roman"/>
          <w:sz w:val="21"/>
          <w:szCs w:val="21"/>
          <w:lang w:val="ru-RU"/>
        </w:rPr>
        <w:t>тельными</w:t>
      </w:r>
      <w:r w:rsidRPr="00542A34">
        <w:rPr>
          <w:rFonts w:ascii="Times New Roman" w:hAnsi="Times New Roman" w:cs="Times New Roman"/>
          <w:sz w:val="21"/>
          <w:szCs w:val="21"/>
          <w:lang w:val="ru-RU"/>
        </w:rPr>
        <w:t xml:space="preserve"> сроками</w:t>
      </w:r>
      <w:r w:rsidR="0057162A" w:rsidRPr="00542A34">
        <w:rPr>
          <w:rFonts w:ascii="Times New Roman" w:hAnsi="Times New Roman" w:cs="Times New Roman"/>
          <w:sz w:val="21"/>
          <w:szCs w:val="21"/>
          <w:lang w:val="ru-RU"/>
        </w:rPr>
        <w:t xml:space="preserve"> заключения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6"/>
      </w:r>
      <w:r w:rsidRPr="00542A34">
        <w:rPr>
          <w:rFonts w:ascii="Times New Roman" w:hAnsi="Times New Roman" w:cs="Times New Roman"/>
          <w:sz w:val="21"/>
          <w:szCs w:val="21"/>
          <w:lang w:val="ru-RU"/>
        </w:rPr>
        <w:t>, продлением приговоров по уголовным делам, в особенности для подмандатных заключенных, в результате совершения ими нарушений в тюрьмах (экстремизм).</w:t>
      </w:r>
      <w:r w:rsidR="00FA3664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542A34">
        <w:rPr>
          <w:rFonts w:ascii="Times New Roman" w:hAnsi="Times New Roman" w:cs="Times New Roman"/>
          <w:sz w:val="21"/>
          <w:szCs w:val="21"/>
          <w:lang w:val="ru-RU"/>
        </w:rPr>
        <w:t xml:space="preserve">Она </w:t>
      </w:r>
      <w:r w:rsidR="00FA3664" w:rsidRPr="00FA3664">
        <w:rPr>
          <w:rFonts w:ascii="Times New Roman" w:hAnsi="Times New Roman" w:cs="Times New Roman"/>
          <w:sz w:val="21"/>
          <w:szCs w:val="21"/>
          <w:lang w:val="ru-RU"/>
        </w:rPr>
        <w:t>счита</w:t>
      </w:r>
      <w:r w:rsidR="00FA3664">
        <w:rPr>
          <w:rFonts w:ascii="Times New Roman" w:hAnsi="Times New Roman" w:cs="Times New Roman"/>
          <w:sz w:val="21"/>
          <w:szCs w:val="21"/>
          <w:lang w:val="ru-RU"/>
        </w:rPr>
        <w:t>ет, что</w:t>
      </w:r>
      <w:r w:rsidR="004F5DE2" w:rsidRPr="00542A34">
        <w:rPr>
          <w:rFonts w:ascii="Times New Roman" w:hAnsi="Times New Roman" w:cs="Times New Roman"/>
          <w:sz w:val="21"/>
          <w:szCs w:val="21"/>
          <w:lang w:val="ru-RU"/>
        </w:rPr>
        <w:t xml:space="preserve"> подобные дополнительные наказания </w:t>
      </w:r>
      <w:r w:rsidR="00FA3664">
        <w:rPr>
          <w:rFonts w:ascii="Times New Roman" w:hAnsi="Times New Roman" w:cs="Times New Roman"/>
          <w:sz w:val="21"/>
          <w:szCs w:val="21"/>
          <w:lang w:val="ru-RU"/>
        </w:rPr>
        <w:t>недопустимы с точки зрения</w:t>
      </w:r>
      <w:r w:rsidR="004F5DE2" w:rsidRPr="00542A34">
        <w:rPr>
          <w:rFonts w:ascii="Times New Roman" w:hAnsi="Times New Roman" w:cs="Times New Roman"/>
          <w:sz w:val="21"/>
          <w:szCs w:val="21"/>
          <w:lang w:val="ru-RU"/>
        </w:rPr>
        <w:t xml:space="preserve"> международн</w:t>
      </w:r>
      <w:r w:rsidR="00FA3664">
        <w:rPr>
          <w:rFonts w:ascii="Times New Roman" w:hAnsi="Times New Roman" w:cs="Times New Roman"/>
          <w:sz w:val="21"/>
          <w:szCs w:val="21"/>
          <w:lang w:val="ru-RU"/>
        </w:rPr>
        <w:t>ым</w:t>
      </w:r>
      <w:r w:rsidR="004F5DE2" w:rsidRPr="00542A34">
        <w:rPr>
          <w:rFonts w:ascii="Times New Roman" w:hAnsi="Times New Roman" w:cs="Times New Roman"/>
          <w:sz w:val="21"/>
          <w:szCs w:val="21"/>
          <w:lang w:val="ru-RU"/>
        </w:rPr>
        <w:t xml:space="preserve"> праву.</w:t>
      </w:r>
    </w:p>
    <w:p w14:paraId="65B3C154" w14:textId="77777777" w:rsidR="00542A34" w:rsidRPr="00542A34" w:rsidRDefault="00542A34" w:rsidP="00542A34">
      <w:pPr>
        <w:jc w:val="both"/>
        <w:rPr>
          <w:rFonts w:ascii="Times New Roman" w:hAnsi="Times New Roman" w:cs="Times New Roman"/>
          <w:i/>
          <w:sz w:val="21"/>
          <w:szCs w:val="21"/>
          <w:lang w:val="ru-RU"/>
        </w:rPr>
      </w:pPr>
    </w:p>
    <w:p w14:paraId="5A203186" w14:textId="5F15A922" w:rsidR="0086346A" w:rsidRPr="0010299A" w:rsidRDefault="0086346A" w:rsidP="0010299A">
      <w:pPr>
        <w:jc w:val="both"/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sz w:val="21"/>
          <w:szCs w:val="21"/>
          <w:lang w:val="ru-RU"/>
        </w:rPr>
        <w:t xml:space="preserve">Вопросы, связанные с </w:t>
      </w:r>
      <w:proofErr w:type="spellStart"/>
      <w:r w:rsidRPr="0010299A">
        <w:rPr>
          <w:rFonts w:ascii="Times New Roman" w:hAnsi="Times New Roman" w:cs="Times New Roman"/>
          <w:i/>
          <w:sz w:val="21"/>
          <w:szCs w:val="21"/>
          <w:lang w:val="ru-RU"/>
        </w:rPr>
        <w:t>невыдворением</w:t>
      </w:r>
      <w:proofErr w:type="spellEnd"/>
      <w:r w:rsidRPr="0010299A">
        <w:rPr>
          <w:rFonts w:ascii="Times New Roman" w:hAnsi="Times New Roman" w:cs="Times New Roman"/>
          <w:i/>
          <w:sz w:val="21"/>
          <w:szCs w:val="21"/>
          <w:lang w:val="ru-RU"/>
        </w:rPr>
        <w:t>, статусом беженца или другим статусом</w:t>
      </w:r>
    </w:p>
    <w:p w14:paraId="2BB945FA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7DBE42A3" w14:textId="15B31B88" w:rsidR="00E72203" w:rsidRPr="0010299A" w:rsidRDefault="0086346A" w:rsidP="0010299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Во время поездки внимание Специального докладчика было обращено на риски, с которыми сталкиваются этнические афганцы, которые бежали с территории Узбекистана или оказались на его территории. Она отмечает, что примерно 13 019 граждан Афганистана приехали в Узбекистан с января 2021 по действительным краткосрочным визам. Она </w:t>
      </w:r>
      <w:r w:rsidR="0059177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согласна с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мнение</w:t>
      </w:r>
      <w:r w:rsidR="0059177E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м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CA1DC8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УВКБ</w:t>
      </w:r>
      <w:r w:rsidR="00865226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ООН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, что данная группа нужда</w:t>
      </w:r>
      <w:r w:rsidR="00B127F7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ет</w:t>
      </w:r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ся в международной защите и что </w:t>
      </w:r>
      <w:r w:rsidR="00865226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обоснованные опасения относительно</w:t>
      </w:r>
      <w:r w:rsidR="00E72203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невыдворения</w:t>
      </w:r>
      <w:proofErr w:type="spellEnd"/>
      <w:r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поднимаются в контексте ситуации с безопасностью в Афганистане. Специальный докладчик</w:t>
      </w:r>
      <w:r w:rsidR="00E72203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865226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приветствует заявления</w:t>
      </w:r>
      <w:r w:rsidR="00E72203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865226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правительства Узбекистана, что </w:t>
      </w:r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данные лица не будут возвращены в Афганистан</w:t>
      </w:r>
      <w:r w:rsidR="00E72203" w:rsidRPr="0010299A">
        <w:rPr>
          <w:rStyle w:val="FootnoteReference"/>
          <w:rFonts w:ascii="Times New Roman" w:hAnsi="Times New Roman" w:cs="Times New Roman"/>
          <w:color w:val="000000" w:themeColor="text1"/>
          <w:sz w:val="21"/>
          <w:szCs w:val="21"/>
        </w:rPr>
        <w:footnoteReference w:id="27"/>
      </w:r>
      <w:r w:rsidR="00C04BBA" w:rsidRPr="00C04BB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.</w:t>
      </w:r>
      <w:r w:rsidR="00E72203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Она подчеркивает необходимость последовательно соблюдать принцип </w:t>
      </w:r>
      <w:proofErr w:type="spellStart"/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невыдворения</w:t>
      </w:r>
      <w:proofErr w:type="spellEnd"/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и предоставлять </w:t>
      </w:r>
      <w:r w:rsidR="0054323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конструктивно доступные </w:t>
      </w:r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соглашения о временном пребывании гражданам Афганистана, находящимся в Узбекистане и не имеющим возможности вернуться в Афганистан пока ситуация в их стране не изменится </w:t>
      </w:r>
      <w:r w:rsidR="0054323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настолько, чтобы они могли</w:t>
      </w:r>
      <w:r w:rsidR="00E72203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</w:t>
      </w:r>
      <w:r w:rsidR="006E3CEA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добровольно вернуться в условиях безопасности и достоинства</w:t>
      </w:r>
      <w:r w:rsidR="00476384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или быть переведены с должной международной поддержкой в третьи страны</w:t>
      </w:r>
      <w:r w:rsidR="00E72203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.</w:t>
      </w:r>
      <w:r w:rsidR="00476384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 Она подтверждает необходимость четких и конкретных национальных стандартов и мер для легализации ситуации данной уязвимой </w:t>
      </w:r>
      <w:r w:rsidR="00335D88" w:rsidRPr="0010299A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>группы.</w:t>
      </w:r>
    </w:p>
    <w:p w14:paraId="070F579C" w14:textId="77777777" w:rsidR="00E72203" w:rsidRPr="0010299A" w:rsidRDefault="00E72203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72A0C0D4" w14:textId="22CD9F8B" w:rsidR="00E72203" w:rsidRPr="0010299A" w:rsidRDefault="006E3CEA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Узбекистан остается единственной страной в Содружестве независимых государств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СНГ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>)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, не подписавшей Конвенцию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 статусе беженцев </w:t>
      </w:r>
      <w:r w:rsidR="0059177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1951 года 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>(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Конвенцию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1951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года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)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Протокол к ней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1967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года.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D0803" w:rsidRPr="0010299A">
        <w:rPr>
          <w:rFonts w:ascii="Times New Roman" w:hAnsi="Times New Roman" w:cs="Times New Roman"/>
          <w:sz w:val="21"/>
          <w:szCs w:val="21"/>
          <w:lang w:val="ru-RU"/>
        </w:rPr>
        <w:t>Узбекистан не присоединился к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Конвенции о статусе апатридов </w:t>
      </w:r>
      <w:r w:rsidR="0059177E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1954 года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и к Конвенции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 сокращении </w:t>
      </w:r>
      <w:proofErr w:type="spellStart"/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безгражданства</w:t>
      </w:r>
      <w:proofErr w:type="spellEnd"/>
      <w:r w:rsidR="0059177E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9177E" w:rsidRPr="0010299A">
        <w:rPr>
          <w:rFonts w:ascii="Times New Roman" w:hAnsi="Times New Roman" w:cs="Times New Roman"/>
          <w:sz w:val="21"/>
          <w:szCs w:val="21"/>
          <w:lang w:val="ru-RU"/>
        </w:rPr>
        <w:t>1961 года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 w:rsidR="003D0803"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отмечает, что Узбекистан поддержал рекомендацию ратифицировать Конвенцию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E722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1951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года и Протокол к ней 1967 года</w:t>
      </w:r>
      <w:r w:rsidR="003D08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, а также две вышеупомянутые </w:t>
      </w:r>
      <w:r w:rsidR="001652DC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Конвенции о статусе апатридов, </w:t>
      </w:r>
      <w:r w:rsidR="001652DC" w:rsidRPr="0010299A">
        <w:rPr>
          <w:rFonts w:ascii="Times New Roman" w:hAnsi="Times New Roman" w:cs="Times New Roman"/>
          <w:bCs/>
          <w:sz w:val="21"/>
          <w:szCs w:val="21"/>
          <w:lang w:val="ru-RU"/>
        </w:rPr>
        <w:lastRenderedPageBreak/>
        <w:t xml:space="preserve">вынесенную </w:t>
      </w:r>
      <w:r w:rsidR="003D08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>во время третьего цикла Универсального периодического обзора в</w:t>
      </w:r>
      <w:r w:rsidR="00E722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2018</w:t>
      </w:r>
      <w:r w:rsidR="003D08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г</w:t>
      </w:r>
      <w:r w:rsidR="00C04BBA">
        <w:rPr>
          <w:rFonts w:ascii="Times New Roman" w:hAnsi="Times New Roman" w:cs="Times New Roman"/>
          <w:bCs/>
          <w:sz w:val="21"/>
          <w:szCs w:val="21"/>
          <w:lang w:val="ru-RU"/>
        </w:rPr>
        <w:t>оду</w:t>
      </w:r>
      <w:r w:rsidR="00E72203" w:rsidRPr="0010299A">
        <w:rPr>
          <w:rStyle w:val="FootnoteReference"/>
          <w:rFonts w:ascii="Times New Roman" w:hAnsi="Times New Roman" w:cs="Times New Roman"/>
          <w:bCs/>
          <w:sz w:val="21"/>
          <w:szCs w:val="21"/>
        </w:rPr>
        <w:footnoteReference w:id="28"/>
      </w:r>
      <w:r w:rsidR="00C04BBA" w:rsidRPr="00C04BBA">
        <w:rPr>
          <w:rFonts w:ascii="Times New Roman" w:hAnsi="Times New Roman" w:cs="Times New Roman"/>
          <w:bCs/>
          <w:sz w:val="21"/>
          <w:szCs w:val="21"/>
          <w:lang w:val="ru-RU"/>
        </w:rPr>
        <w:t>.</w:t>
      </w:r>
      <w:r w:rsidR="00E722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3D0803" w:rsidRPr="0010299A">
        <w:rPr>
          <w:rFonts w:ascii="Times New Roman" w:hAnsi="Times New Roman" w:cs="Times New Roman"/>
          <w:bCs/>
          <w:sz w:val="21"/>
          <w:szCs w:val="21"/>
          <w:lang w:val="ru-RU"/>
        </w:rPr>
        <w:t>Специальный докладчик рекомендует правительству присоединиться к</w:t>
      </w:r>
      <w:r w:rsidR="001652DC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Конвенции 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1951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года о беженцах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 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 xml:space="preserve">к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Протокол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у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к ней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1967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года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D08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 учредить государственные процедуры предоставления убежища в соответствии с международными стандартами.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Одновременно с этим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D08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специальный докладчик рекомендует правительству присоединиться к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Конвенции 1954 года о статусе апатридов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и к Конвенции 1961 года о сокращении </w:t>
      </w:r>
      <w:proofErr w:type="spellStart"/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безгражданства</w:t>
      </w:r>
      <w:proofErr w:type="spellEnd"/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D0803" w:rsidRPr="0010299A">
        <w:rPr>
          <w:rFonts w:ascii="Times New Roman" w:hAnsi="Times New Roman" w:cs="Times New Roman"/>
          <w:sz w:val="21"/>
          <w:szCs w:val="21"/>
          <w:lang w:val="ru-RU"/>
        </w:rPr>
        <w:t>и привести национальное законодательство и практики в соответствие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 xml:space="preserve"> с</w:t>
      </w:r>
      <w:r w:rsidR="003D08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>данным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международным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стандартам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В контексте противодействия терроризму и обеспечения защиты жертв терроризма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необходимо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>применение данных международных стандартов. Специальн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ый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докладчи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к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приветствует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56B25" w:rsidRPr="0010299A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установление более тесных связей с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УВКБ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ООН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2018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года и поощряет конструктивное сотрудничество с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УВКБ</w:t>
      </w:r>
      <w:r w:rsidR="00865226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ООН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по вопросам, связанным с предоставлением убежища. Она подчеркивает, что 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>Верховн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ый</w:t>
      </w:r>
      <w:r w:rsidR="001652DC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комиссар Организации Объединенных Наций по правам человека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>призвала государства создавать безопасные пути для беженцев и мигрантов из Афганистана и незамедлительно остановить депортацию граждан Афганистана, просящих о помощи.</w:t>
      </w:r>
      <w:r w:rsidR="00E72203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>В этой связи, Специальный докладчик напоминает, что при поступлении запроса о высылке, возвращении или выдаче лица другому государству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,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где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налич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ествуют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серьезны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е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основани</w:t>
      </w:r>
      <w:r w:rsidR="0059177E">
        <w:rPr>
          <w:rFonts w:ascii="Times New Roman" w:hAnsi="Times New Roman" w:cs="Times New Roman"/>
          <w:sz w:val="21"/>
          <w:szCs w:val="21"/>
          <w:lang w:val="ru-RU"/>
        </w:rPr>
        <w:t>я</w:t>
      </w:r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полагать, что ему может угрожать применение пыток, должен в полной мере соблюдаться принцип </w:t>
      </w:r>
      <w:proofErr w:type="spellStart"/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>невысылки</w:t>
      </w:r>
      <w:proofErr w:type="spellEnd"/>
      <w:r w:rsidR="00956B25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в качестве абсолютного принципа международного и обычного права.</w:t>
      </w:r>
    </w:p>
    <w:p w14:paraId="1C1277F5" w14:textId="464D74E1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534F71B2" w14:textId="2CF00098" w:rsidR="00A2390E" w:rsidRPr="0010299A" w:rsidRDefault="00A2390E" w:rsidP="0010299A">
      <w:pPr>
        <w:jc w:val="both"/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sz w:val="21"/>
          <w:szCs w:val="21"/>
          <w:lang w:val="ru-RU"/>
        </w:rPr>
        <w:t>Использование технологий в борьбе с терроризмом и экстремизмом</w:t>
      </w:r>
    </w:p>
    <w:p w14:paraId="2489BE1F" w14:textId="77777777" w:rsidR="00A2390E" w:rsidRPr="0010299A" w:rsidRDefault="00A2390E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41B7E75" w14:textId="4D67020C" w:rsidR="00A2390E" w:rsidRPr="0010299A" w:rsidRDefault="00A2390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>Специальный докладчик отмечает более широкое применение технологий в обеспечении борьбы с терроризмом и экстремизмом, а именно баз данных, интерфейсов прикладного программирования (</w:t>
      </w:r>
      <w:r w:rsidRPr="0010299A">
        <w:rPr>
          <w:rFonts w:ascii="Times New Roman" w:hAnsi="Times New Roman" w:cs="Times New Roman"/>
          <w:sz w:val="21"/>
          <w:szCs w:val="21"/>
          <w:lang w:val="en-US"/>
        </w:rPr>
        <w:t>API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)/системы регистрирования личных данных авиапассажиров (</w:t>
      </w:r>
      <w:r w:rsidRPr="0010299A">
        <w:rPr>
          <w:rFonts w:ascii="Times New Roman" w:hAnsi="Times New Roman" w:cs="Times New Roman"/>
          <w:sz w:val="21"/>
          <w:szCs w:val="21"/>
          <w:lang w:val="en-US"/>
        </w:rPr>
        <w:t>PNR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) и сбора биометрических данных. Она подчеркивает, что в соответствии с международным правом прав человека технологии с высоким риском должны применяться при соблюдении прав человека, в том числе и права на неприкосновенность частной жизни. Требуются соответствующие механизмы защиты данных и рекомендуется независимый надзор и мониторинг в сфере защиты данных и деятельности ведомств, занимающихся сбором данных при борьбе с терроризмом и (насильственным) экстремизмом, в том числе Службы государственной безопасности.</w:t>
      </w:r>
    </w:p>
    <w:p w14:paraId="03C65B68" w14:textId="6B67BB15" w:rsidR="00A2390E" w:rsidRPr="0010299A" w:rsidRDefault="00A2390E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3F129137" w14:textId="77777777" w:rsidR="00A2390E" w:rsidRPr="0010299A" w:rsidRDefault="00A2390E" w:rsidP="0010299A">
      <w:pPr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10299A">
        <w:rPr>
          <w:rFonts w:ascii="Times New Roman" w:hAnsi="Times New Roman" w:cs="Times New Roman"/>
          <w:i/>
          <w:sz w:val="21"/>
          <w:szCs w:val="21"/>
        </w:rPr>
        <w:t>Репрессии</w:t>
      </w:r>
      <w:proofErr w:type="spellEnd"/>
      <w:r w:rsidRPr="0010299A">
        <w:rPr>
          <w:rFonts w:ascii="Times New Roman" w:hAnsi="Times New Roman" w:cs="Times New Roman"/>
          <w:i/>
          <w:sz w:val="21"/>
          <w:szCs w:val="21"/>
        </w:rPr>
        <w:t xml:space="preserve"> и </w:t>
      </w:r>
      <w:proofErr w:type="spellStart"/>
      <w:r w:rsidRPr="0010299A">
        <w:rPr>
          <w:rFonts w:ascii="Times New Roman" w:hAnsi="Times New Roman" w:cs="Times New Roman"/>
          <w:i/>
          <w:sz w:val="21"/>
          <w:szCs w:val="21"/>
        </w:rPr>
        <w:t>сотрудничество</w:t>
      </w:r>
      <w:proofErr w:type="spellEnd"/>
    </w:p>
    <w:p w14:paraId="0580F3B8" w14:textId="77777777" w:rsidR="00A2390E" w:rsidRPr="0010299A" w:rsidRDefault="00A2390E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0C2D0723" w14:textId="3EB255BE" w:rsidR="00A2390E" w:rsidRPr="0010299A" w:rsidRDefault="00A2390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ходе визита Специальному докладчику сообщили об ограничениях и проблемах, с которыми сталкивается независимое гражданское общество, в том числе организации и люди, занимающиеся вопросами нарушений прав человека, 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включая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права на религиозные убеждения и исповедование религии, некоторые </w:t>
      </w:r>
      <w:proofErr w:type="gramStart"/>
      <w:r w:rsidRPr="0010299A">
        <w:rPr>
          <w:rFonts w:ascii="Times New Roman" w:hAnsi="Times New Roman" w:cs="Times New Roman"/>
          <w:sz w:val="21"/>
          <w:szCs w:val="21"/>
          <w:lang w:val="ru-RU"/>
        </w:rPr>
        <w:t>из аспектов</w:t>
      </w:r>
      <w:proofErr w:type="gramEnd"/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которых были упомянуты в данных предварительных выводах. Она подчеркивает, что здоровое, критически настроенное и активное гражданское общество является неразрывной частью усилий по 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борьбе с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 xml:space="preserve">появлением </w:t>
      </w:r>
      <w:r w:rsidR="00342DE2" w:rsidRPr="0010299A">
        <w:rPr>
          <w:rFonts w:ascii="Times New Roman" w:hAnsi="Times New Roman" w:cs="Times New Roman"/>
          <w:sz w:val="21"/>
          <w:szCs w:val="21"/>
          <w:lang w:val="ru-RU"/>
        </w:rPr>
        <w:t>услови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й</w:t>
      </w:r>
      <w:r w:rsidR="00342DE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для возникновения случаев насилия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насильственно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го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экстремизм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и терроризм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а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29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. Она также отмечает участие гражданского общества в вопросах, касающихся репатриации, гендера (в том числе торговли людьми), а также в социальной и религиозной работе религиозных организаций.</w:t>
      </w:r>
    </w:p>
    <w:p w14:paraId="76BC2955" w14:textId="77777777" w:rsidR="00A2390E" w:rsidRPr="0010299A" w:rsidRDefault="00A2390E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729EB3DC" w14:textId="3CC47E51" w:rsidR="00A2390E" w:rsidRPr="0010299A" w:rsidRDefault="00A2390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соответствии со своей принятой практикой, она подчеркивает, что репрессии или негативные последствия для адвокатов, представителей гражданского общества или заключенных за встречи, беседы и предоставление актуальной информации Специальному докладчику недопустимы и будут составлять акты запугивания и репрессий за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lastRenderedPageBreak/>
        <w:t xml:space="preserve">сотрудничество с Организацией Объединенных Наций. Специальный докладчик поддерживает контакт со всеми </w:t>
      </w:r>
      <w:r w:rsidR="00F90056">
        <w:rPr>
          <w:rFonts w:ascii="Times New Roman" w:hAnsi="Times New Roman" w:cs="Times New Roman"/>
          <w:sz w:val="21"/>
          <w:szCs w:val="21"/>
          <w:lang w:val="ru-RU"/>
        </w:rPr>
        <w:t>своими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собеседниками для недопущения подобных практик или последствий в результате ее визита.</w:t>
      </w:r>
    </w:p>
    <w:p w14:paraId="0CE04957" w14:textId="77777777" w:rsidR="00A2390E" w:rsidRPr="0010299A" w:rsidRDefault="00A2390E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0777756B" w14:textId="40B9925E" w:rsidR="00A2390E" w:rsidRPr="00542A34" w:rsidRDefault="00A2390E" w:rsidP="00542A34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i/>
          <w:sz w:val="21"/>
          <w:szCs w:val="21"/>
          <w:lang w:val="ru-RU"/>
        </w:rPr>
        <w:t>Заключение</w:t>
      </w:r>
    </w:p>
    <w:p w14:paraId="24DCBC7F" w14:textId="77777777" w:rsidR="00A2390E" w:rsidRPr="0010299A" w:rsidRDefault="00A2390E" w:rsidP="0010299A">
      <w:pPr>
        <w:pStyle w:val="ListParagraph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1393B6E9" w14:textId="66A73389" w:rsidR="00A2390E" w:rsidRPr="0010299A" w:rsidRDefault="00A2390E" w:rsidP="0010299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В завершение своих предварительных выводов Специальный докладчик отмечает однозначно положительный диалог с Узбекистаном по всем вопросам данного доклада. </w:t>
      </w:r>
      <w:r w:rsidR="00B127F7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Она высоко оценивает работу правительства в области репатриации и реинтеграции.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С 2016 года правительством Президента Узбекистана была инициирована новая волна амбициозных реформ в сфере верховенства права, экономики и общества. Узбекистан заслуживает высокой оценки за возврат к соблюдению обязательств по правам человека и верховенству права</w:t>
      </w:r>
      <w:r w:rsidRPr="0010299A">
        <w:rPr>
          <w:rStyle w:val="FootnoteReference"/>
          <w:rFonts w:ascii="Times New Roman" w:hAnsi="Times New Roman" w:cs="Times New Roman"/>
          <w:sz w:val="21"/>
          <w:szCs w:val="21"/>
        </w:rPr>
        <w:footnoteReference w:id="30"/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. Подобная приверженность нашла свое отражение в выступлении Президента Узбекистана на 46-й сессии Совета по правам человека и в поддержке правительством призыва ООН к действиям на </w:t>
      </w:r>
      <w:r w:rsidRPr="00C04BBA">
        <w:rPr>
          <w:rFonts w:ascii="Times New Roman" w:hAnsi="Times New Roman" w:cs="Times New Roman"/>
          <w:sz w:val="21"/>
          <w:szCs w:val="21"/>
          <w:lang w:val="ru-RU"/>
        </w:rPr>
        <w:t>право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защитном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направлении. Она призывает к </w:t>
      </w:r>
      <w:r w:rsidR="00342DE2">
        <w:rPr>
          <w:rFonts w:ascii="Times New Roman" w:hAnsi="Times New Roman" w:cs="Times New Roman"/>
          <w:sz w:val="21"/>
          <w:szCs w:val="21"/>
          <w:lang w:val="ru-RU"/>
        </w:rPr>
        <w:t>реализации</w:t>
      </w:r>
      <w:r w:rsidR="00342DE2" w:rsidRPr="0010299A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10299A">
        <w:rPr>
          <w:rFonts w:ascii="Times New Roman" w:hAnsi="Times New Roman" w:cs="Times New Roman"/>
          <w:sz w:val="21"/>
          <w:szCs w:val="21"/>
          <w:lang w:val="ru-RU"/>
        </w:rPr>
        <w:t>и всячески поддерживает доподлинное выполнение этого значительного пакета государственных реформ для поощрения прав человека и достоинства всех людей, а также для выполнения задачи сохранения основных прав и свобод человека как приоритетного направления реформ в Узбекистане.</w:t>
      </w:r>
    </w:p>
    <w:p w14:paraId="0B90BE0F" w14:textId="77777777" w:rsidR="00E72203" w:rsidRPr="0010299A" w:rsidRDefault="00E72203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14:paraId="6122618C" w14:textId="6AAE1B01" w:rsidR="00C81E71" w:rsidRPr="0010299A" w:rsidRDefault="00C81E71" w:rsidP="0010299A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sectPr w:rsidR="00C81E71" w:rsidRPr="0010299A" w:rsidSect="00D13A2C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9BBD" w14:textId="77777777" w:rsidR="00DD4805" w:rsidRDefault="00DD4805" w:rsidP="001525B7">
      <w:r>
        <w:separator/>
      </w:r>
    </w:p>
  </w:endnote>
  <w:endnote w:type="continuationSeparator" w:id="0">
    <w:p w14:paraId="2B9C6271" w14:textId="77777777" w:rsidR="00DD4805" w:rsidRDefault="00DD4805" w:rsidP="0015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24A0" w14:textId="77777777" w:rsidR="00DD4805" w:rsidRDefault="00DD4805" w:rsidP="001525B7">
      <w:r>
        <w:separator/>
      </w:r>
    </w:p>
  </w:footnote>
  <w:footnote w:type="continuationSeparator" w:id="0">
    <w:p w14:paraId="13A1133B" w14:textId="77777777" w:rsidR="00DD4805" w:rsidRDefault="00DD4805" w:rsidP="001525B7">
      <w:r>
        <w:continuationSeparator/>
      </w:r>
    </w:p>
  </w:footnote>
  <w:footnote w:id="1">
    <w:p w14:paraId="18AC20EB" w14:textId="4BADA22B" w:rsidR="00C81E71" w:rsidRPr="002E2E99" w:rsidRDefault="00C81E71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 w:rsidRPr="008D58E1">
        <w:rPr>
          <w:lang w:val="ru-RU"/>
        </w:rPr>
        <w:t xml:space="preserve"> </w:t>
      </w:r>
      <w:r w:rsidR="008D58E1" w:rsidRPr="002E2E99">
        <w:rPr>
          <w:rFonts w:ascii="Times New Roman" w:hAnsi="Times New Roman" w:cs="Times New Roman"/>
          <w:lang w:val="ru-RU"/>
        </w:rPr>
        <w:t>Глобальн</w:t>
      </w:r>
      <w:r w:rsidR="00082CF7" w:rsidRPr="002E2E99">
        <w:rPr>
          <w:rFonts w:ascii="Times New Roman" w:hAnsi="Times New Roman" w:cs="Times New Roman"/>
          <w:lang w:val="ru-RU"/>
        </w:rPr>
        <w:t>ый</w:t>
      </w:r>
      <w:r w:rsidR="008D58E1" w:rsidRPr="002E2E99">
        <w:rPr>
          <w:rFonts w:ascii="Times New Roman" w:hAnsi="Times New Roman" w:cs="Times New Roman"/>
          <w:lang w:val="ru-RU"/>
        </w:rPr>
        <w:t xml:space="preserve"> индекс терроризма</w:t>
      </w:r>
      <w:r w:rsidRPr="002E2E99">
        <w:rPr>
          <w:rFonts w:ascii="Times New Roman" w:hAnsi="Times New Roman" w:cs="Times New Roman"/>
          <w:lang w:val="ru-RU"/>
        </w:rPr>
        <w:t xml:space="preserve"> (</w:t>
      </w:r>
      <w:r w:rsidR="0083728C" w:rsidRPr="002E2E99">
        <w:rPr>
          <w:rFonts w:ascii="Times New Roman" w:hAnsi="Times New Roman" w:cs="Times New Roman"/>
          <w:lang w:val="ru-RU"/>
        </w:rPr>
        <w:t>ноябрь</w:t>
      </w:r>
      <w:r w:rsidRPr="002E2E99">
        <w:rPr>
          <w:rFonts w:ascii="Times New Roman" w:hAnsi="Times New Roman" w:cs="Times New Roman"/>
          <w:lang w:val="ru-RU"/>
        </w:rPr>
        <w:t xml:space="preserve"> 2020</w:t>
      </w:r>
      <w:r w:rsidR="0083728C" w:rsidRPr="002E2E99">
        <w:rPr>
          <w:rFonts w:ascii="Times New Roman" w:hAnsi="Times New Roman" w:cs="Times New Roman"/>
          <w:lang w:val="ru-RU"/>
        </w:rPr>
        <w:t xml:space="preserve"> </w:t>
      </w:r>
      <w:r w:rsidR="00A9714A">
        <w:rPr>
          <w:rFonts w:ascii="Times New Roman" w:hAnsi="Times New Roman" w:cs="Times New Roman"/>
          <w:lang w:val="ru-RU"/>
        </w:rPr>
        <w:t>года</w:t>
      </w:r>
      <w:r w:rsidRPr="002E2E99">
        <w:rPr>
          <w:rFonts w:ascii="Times New Roman" w:hAnsi="Times New Roman" w:cs="Times New Roman"/>
          <w:lang w:val="ru-RU"/>
        </w:rPr>
        <w:t xml:space="preserve">) </w:t>
      </w:r>
    </w:p>
  </w:footnote>
  <w:footnote w:id="2">
    <w:p w14:paraId="603F55D3" w14:textId="1FEC8D39" w:rsidR="00C81E71" w:rsidRPr="00CF1608" w:rsidRDefault="00C81E71">
      <w:pPr>
        <w:pStyle w:val="FootnoteText"/>
        <w:rPr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CF1608" w:rsidRPr="002E2E99">
        <w:rPr>
          <w:rFonts w:ascii="Times New Roman" w:hAnsi="Times New Roman" w:cs="Times New Roman"/>
          <w:lang w:val="ru-RU"/>
        </w:rPr>
        <w:t xml:space="preserve">В том числе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Хайят</w:t>
      </w:r>
      <w:proofErr w:type="spellEnd"/>
      <w:r w:rsidR="00CF1608" w:rsidRPr="002E2E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Тахрир</w:t>
      </w:r>
      <w:proofErr w:type="spellEnd"/>
      <w:r w:rsidR="00CF1608" w:rsidRPr="002E2E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А</w:t>
      </w:r>
      <w:r w:rsidR="00082CF7" w:rsidRPr="002E2E99">
        <w:rPr>
          <w:rFonts w:ascii="Times New Roman" w:hAnsi="Times New Roman" w:cs="Times New Roman"/>
          <w:lang w:val="ru-RU"/>
        </w:rPr>
        <w:t>ш</w:t>
      </w:r>
      <w:r w:rsidR="00CF1608" w:rsidRPr="002E2E99">
        <w:rPr>
          <w:rFonts w:ascii="Times New Roman" w:hAnsi="Times New Roman" w:cs="Times New Roman"/>
          <w:lang w:val="ru-RU"/>
        </w:rPr>
        <w:t>-Шам</w:t>
      </w:r>
      <w:proofErr w:type="spellEnd"/>
      <w:r w:rsidR="00082CF7" w:rsidRPr="002E2E9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Джамаат</w:t>
      </w:r>
      <w:proofErr w:type="spellEnd"/>
      <w:r w:rsidR="00CF1608" w:rsidRPr="002E2E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ат-Таухид</w:t>
      </w:r>
      <w:proofErr w:type="spellEnd"/>
      <w:r w:rsidR="00CF1608" w:rsidRPr="002E2E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валь</w:t>
      </w:r>
      <w:proofErr w:type="spellEnd"/>
      <w:r w:rsidR="00CF1608" w:rsidRPr="002E2E99">
        <w:rPr>
          <w:rFonts w:ascii="Times New Roman" w:hAnsi="Times New Roman" w:cs="Times New Roman"/>
          <w:lang w:val="ru-RU"/>
        </w:rPr>
        <w:t>-Джихад</w:t>
      </w:r>
      <w:r w:rsidR="00082CF7" w:rsidRPr="002E2E99">
        <w:rPr>
          <w:rFonts w:ascii="Times New Roman" w:hAnsi="Times New Roman" w:cs="Times New Roman"/>
          <w:lang w:val="ru-RU"/>
        </w:rPr>
        <w:t xml:space="preserve">, </w:t>
      </w:r>
      <w:r w:rsidR="00CF1608" w:rsidRPr="002E2E99">
        <w:rPr>
          <w:rFonts w:ascii="Times New Roman" w:hAnsi="Times New Roman" w:cs="Times New Roman"/>
          <w:lang w:val="ru-RU"/>
        </w:rPr>
        <w:t>Исламское государство, Исламское государс</w:t>
      </w:r>
      <w:r w:rsidR="00082CF7" w:rsidRPr="002E2E99">
        <w:rPr>
          <w:rFonts w:ascii="Times New Roman" w:hAnsi="Times New Roman" w:cs="Times New Roman"/>
          <w:lang w:val="ru-RU"/>
        </w:rPr>
        <w:t>т</w:t>
      </w:r>
      <w:r w:rsidR="00CF1608" w:rsidRPr="002E2E99">
        <w:rPr>
          <w:rFonts w:ascii="Times New Roman" w:hAnsi="Times New Roman" w:cs="Times New Roman"/>
          <w:lang w:val="ru-RU"/>
        </w:rPr>
        <w:t xml:space="preserve">во </w:t>
      </w:r>
      <w:proofErr w:type="spellStart"/>
      <w:r w:rsidR="00CF1608" w:rsidRPr="002E2E99">
        <w:rPr>
          <w:rFonts w:ascii="Times New Roman" w:hAnsi="Times New Roman" w:cs="Times New Roman"/>
          <w:lang w:val="ru-RU"/>
        </w:rPr>
        <w:t>Вилаят</w:t>
      </w:r>
      <w:proofErr w:type="spellEnd"/>
      <w:r w:rsidR="00CF1608" w:rsidRPr="002E2E99">
        <w:rPr>
          <w:rFonts w:ascii="Times New Roman" w:hAnsi="Times New Roman" w:cs="Times New Roman"/>
          <w:lang w:val="ru-RU"/>
        </w:rPr>
        <w:t xml:space="preserve"> Хорасан</w:t>
      </w:r>
      <w:r w:rsidR="00082CF7" w:rsidRPr="002E2E99">
        <w:rPr>
          <w:rFonts w:ascii="Times New Roman" w:hAnsi="Times New Roman" w:cs="Times New Roman"/>
          <w:lang w:val="ru-RU"/>
        </w:rPr>
        <w:t xml:space="preserve">, </w:t>
      </w:r>
      <w:r w:rsidR="00CF1608" w:rsidRPr="002E2E99">
        <w:rPr>
          <w:rFonts w:ascii="Times New Roman" w:hAnsi="Times New Roman" w:cs="Times New Roman"/>
          <w:lang w:val="ru-RU"/>
        </w:rPr>
        <w:t>Исламское движение Восточного Туркестана и Исламское движение Узбекистана.</w:t>
      </w:r>
    </w:p>
  </w:footnote>
  <w:footnote w:id="3">
    <w:p w14:paraId="4AD806F0" w14:textId="77777777" w:rsidR="00E72203" w:rsidRPr="002E2E99" w:rsidRDefault="00E72203" w:rsidP="00E72203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DD4805">
        <w:fldChar w:fldCharType="begin"/>
      </w:r>
      <w:r w:rsidR="00DD4805" w:rsidRPr="00FA3664">
        <w:rPr>
          <w:lang w:val="ru-RU"/>
        </w:rPr>
        <w:instrText xml:space="preserve"> </w:instrText>
      </w:r>
      <w:r w:rsidR="00DD4805">
        <w:instrText>HYPERLINK</w:instrText>
      </w:r>
      <w:r w:rsidR="00DD4805" w:rsidRPr="00FA3664">
        <w:rPr>
          <w:lang w:val="ru-RU"/>
        </w:rPr>
        <w:instrText xml:space="preserve"> "</w:instrText>
      </w:r>
      <w:r w:rsidR="00DD4805">
        <w:instrText>https</w:instrText>
      </w:r>
      <w:r w:rsidR="00DD4805" w:rsidRPr="00FA3664">
        <w:rPr>
          <w:lang w:val="ru-RU"/>
        </w:rPr>
        <w:instrText>://</w:instrText>
      </w:r>
      <w:r w:rsidR="00DD4805">
        <w:instrText>iiim</w:instrText>
      </w:r>
      <w:r w:rsidR="00DD4805" w:rsidRPr="00FA3664">
        <w:rPr>
          <w:lang w:val="ru-RU"/>
        </w:rPr>
        <w:instrText>.</w:instrText>
      </w:r>
      <w:r w:rsidR="00DD4805">
        <w:instrText>un</w:instrText>
      </w:r>
      <w:r w:rsidR="00DD4805" w:rsidRPr="00FA3664">
        <w:rPr>
          <w:lang w:val="ru-RU"/>
        </w:rPr>
        <w:instrText>.</w:instrText>
      </w:r>
      <w:r w:rsidR="00DD4805">
        <w:instrText>org</w:instrText>
      </w:r>
      <w:r w:rsidR="00DD4805" w:rsidRPr="00FA3664">
        <w:rPr>
          <w:lang w:val="ru-RU"/>
        </w:rPr>
        <w:instrText>/</w:instrText>
      </w:r>
      <w:r w:rsidR="00DD4805">
        <w:instrText>mandate</w:instrText>
      </w:r>
      <w:r w:rsidR="00DD4805" w:rsidRPr="00FA3664">
        <w:rPr>
          <w:lang w:val="ru-RU"/>
        </w:rPr>
        <w:instrText xml:space="preserve">/" </w:instrText>
      </w:r>
      <w:r w:rsidR="00DD4805">
        <w:fldChar w:fldCharType="separate"/>
      </w:r>
      <w:r w:rsidRPr="002E2E99">
        <w:rPr>
          <w:rStyle w:val="Hyperlink"/>
          <w:rFonts w:ascii="Times New Roman" w:hAnsi="Times New Roman" w:cs="Times New Roman"/>
        </w:rPr>
        <w:t>https</w:t>
      </w:r>
      <w:r w:rsidRPr="002E2E99">
        <w:rPr>
          <w:rStyle w:val="Hyperlink"/>
          <w:rFonts w:ascii="Times New Roman" w:hAnsi="Times New Roman" w:cs="Times New Roman"/>
          <w:lang w:val="ru-RU"/>
        </w:rPr>
        <w:t>://</w:t>
      </w:r>
      <w:proofErr w:type="spellStart"/>
      <w:r w:rsidRPr="002E2E99">
        <w:rPr>
          <w:rStyle w:val="Hyperlink"/>
          <w:rFonts w:ascii="Times New Roman" w:hAnsi="Times New Roman" w:cs="Times New Roman"/>
        </w:rPr>
        <w:t>iiim</w:t>
      </w:r>
      <w:proofErr w:type="spellEnd"/>
      <w:r w:rsidRPr="002E2E99">
        <w:rPr>
          <w:rStyle w:val="Hyperlink"/>
          <w:rFonts w:ascii="Times New Roman" w:hAnsi="Times New Roman" w:cs="Times New Roman"/>
          <w:lang w:val="ru-RU"/>
        </w:rPr>
        <w:t>.</w:t>
      </w:r>
      <w:r w:rsidRPr="002E2E99">
        <w:rPr>
          <w:rStyle w:val="Hyperlink"/>
          <w:rFonts w:ascii="Times New Roman" w:hAnsi="Times New Roman" w:cs="Times New Roman"/>
        </w:rPr>
        <w:t>un</w:t>
      </w:r>
      <w:r w:rsidRPr="002E2E99">
        <w:rPr>
          <w:rStyle w:val="Hyperlink"/>
          <w:rFonts w:ascii="Times New Roman" w:hAnsi="Times New Roman" w:cs="Times New Roman"/>
          <w:lang w:val="ru-RU"/>
        </w:rPr>
        <w:t>.</w:t>
      </w:r>
      <w:r w:rsidRPr="002E2E99">
        <w:rPr>
          <w:rStyle w:val="Hyperlink"/>
          <w:rFonts w:ascii="Times New Roman" w:hAnsi="Times New Roman" w:cs="Times New Roman"/>
        </w:rPr>
        <w:t>org</w:t>
      </w:r>
      <w:r w:rsidRPr="002E2E99">
        <w:rPr>
          <w:rStyle w:val="Hyperlink"/>
          <w:rFonts w:ascii="Times New Roman" w:hAnsi="Times New Roman" w:cs="Times New Roman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</w:rPr>
        <w:t>mandate</w:t>
      </w:r>
      <w:r w:rsidRPr="002E2E99">
        <w:rPr>
          <w:rStyle w:val="Hyperlink"/>
          <w:rFonts w:ascii="Times New Roman" w:hAnsi="Times New Roman" w:cs="Times New Roman"/>
          <w:lang w:val="ru-RU"/>
        </w:rPr>
        <w:t>/</w:t>
      </w:r>
      <w:r w:rsidR="00DD4805">
        <w:rPr>
          <w:rStyle w:val="Hyperlink"/>
          <w:rFonts w:ascii="Times New Roman" w:hAnsi="Times New Roman" w:cs="Times New Roman"/>
          <w:lang w:val="ru-RU"/>
        </w:rPr>
        <w:fldChar w:fldCharType="end"/>
      </w:r>
      <w:r w:rsidRPr="002E2E99">
        <w:rPr>
          <w:rFonts w:ascii="Times New Roman" w:hAnsi="Times New Roman" w:cs="Times New Roman"/>
          <w:lang w:val="ru-RU"/>
        </w:rPr>
        <w:t xml:space="preserve">  </w:t>
      </w:r>
    </w:p>
  </w:footnote>
  <w:footnote w:id="4">
    <w:p w14:paraId="7DE42FF5" w14:textId="6262B65A" w:rsidR="00CF1608" w:rsidRPr="002E2E99" w:rsidRDefault="00CF1608" w:rsidP="00CF160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C82CA9" w:rsidRPr="002E2E99">
        <w:rPr>
          <w:rFonts w:ascii="Times New Roman" w:hAnsi="Times New Roman" w:cs="Times New Roman"/>
          <w:lang w:val="ru-RU"/>
        </w:rPr>
        <w:t>Подчеркивая п.</w:t>
      </w:r>
      <w:r w:rsidRPr="002E2E99">
        <w:rPr>
          <w:rFonts w:ascii="Times New Roman" w:hAnsi="Times New Roman" w:cs="Times New Roman"/>
          <w:lang w:val="ru-RU"/>
        </w:rPr>
        <w:t xml:space="preserve"> 158 </w:t>
      </w:r>
      <w:r w:rsidR="00C82CA9" w:rsidRPr="002E2E99">
        <w:rPr>
          <w:rFonts w:ascii="Times New Roman" w:hAnsi="Times New Roman" w:cs="Times New Roman"/>
          <w:lang w:val="ru-RU"/>
        </w:rPr>
        <w:t>и п.</w:t>
      </w:r>
      <w:r w:rsidRPr="002E2E99">
        <w:rPr>
          <w:rFonts w:ascii="Times New Roman" w:hAnsi="Times New Roman" w:cs="Times New Roman"/>
          <w:lang w:val="ru-RU"/>
        </w:rPr>
        <w:t xml:space="preserve"> 159 </w:t>
      </w:r>
      <w:r w:rsidR="00C82CA9" w:rsidRPr="002E2E99">
        <w:rPr>
          <w:rFonts w:ascii="Times New Roman" w:hAnsi="Times New Roman" w:cs="Times New Roman"/>
          <w:lang w:val="ru-RU"/>
        </w:rPr>
        <w:t>Уголовного кодекса</w:t>
      </w:r>
      <w:r w:rsidRPr="002E2E99">
        <w:rPr>
          <w:rFonts w:ascii="Times New Roman" w:hAnsi="Times New Roman" w:cs="Times New Roman"/>
          <w:lang w:val="ru-RU"/>
        </w:rPr>
        <w:t>.</w:t>
      </w:r>
    </w:p>
  </w:footnote>
  <w:footnote w:id="5">
    <w:p w14:paraId="3610BB85" w14:textId="2B759124" w:rsidR="00CF1608" w:rsidRPr="002E2E99" w:rsidRDefault="00CF1608" w:rsidP="00CF1608">
      <w:pPr>
        <w:pStyle w:val="FootnoteText"/>
        <w:rPr>
          <w:rFonts w:ascii="Times New Roman" w:hAnsi="Times New Roman" w:cs="Times New Roman"/>
          <w:lang w:val="es-ES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A/HRC/37/52, </w:t>
      </w:r>
      <w:r w:rsidR="00C82CA9" w:rsidRPr="002E2E99">
        <w:rPr>
          <w:rFonts w:ascii="Times New Roman" w:hAnsi="Times New Roman" w:cs="Times New Roman"/>
          <w:lang w:val="ru-RU"/>
        </w:rPr>
        <w:t>п</w:t>
      </w:r>
      <w:r w:rsidR="00C82CA9" w:rsidRPr="002E2E99">
        <w:rPr>
          <w:rFonts w:ascii="Times New Roman" w:hAnsi="Times New Roman" w:cs="Times New Roman"/>
          <w:lang w:val="en-US"/>
        </w:rPr>
        <w:t>.</w:t>
      </w:r>
      <w:r w:rsidRPr="002E2E99">
        <w:rPr>
          <w:rFonts w:ascii="Times New Roman" w:hAnsi="Times New Roman" w:cs="Times New Roman"/>
          <w:lang w:val="es-ES"/>
        </w:rPr>
        <w:t xml:space="preserve"> 47</w:t>
      </w:r>
    </w:p>
  </w:footnote>
  <w:footnote w:id="6">
    <w:p w14:paraId="049AB7CE" w14:textId="73C1D8D7" w:rsidR="004F2248" w:rsidRPr="002E2E99" w:rsidRDefault="004F2248" w:rsidP="004F2248">
      <w:pPr>
        <w:pStyle w:val="FootnoteText"/>
        <w:rPr>
          <w:rFonts w:ascii="Times New Roman" w:hAnsi="Times New Roman" w:cs="Times New Roman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SR HRCT, A/HRC/31/65, </w:t>
      </w:r>
      <w:r w:rsidR="00C82CA9" w:rsidRPr="002E2E99">
        <w:rPr>
          <w:rFonts w:ascii="Times New Roman" w:hAnsi="Times New Roman" w:cs="Times New Roman"/>
          <w:lang w:val="ru-RU"/>
        </w:rPr>
        <w:t>п</w:t>
      </w:r>
      <w:r w:rsidRPr="002E2E99">
        <w:rPr>
          <w:rFonts w:ascii="Times New Roman" w:hAnsi="Times New Roman" w:cs="Times New Roman"/>
          <w:lang w:val="es-ES"/>
        </w:rPr>
        <w:t xml:space="preserve">. </w:t>
      </w:r>
      <w:r w:rsidRPr="002E2E99">
        <w:rPr>
          <w:rFonts w:ascii="Times New Roman" w:hAnsi="Times New Roman" w:cs="Times New Roman"/>
        </w:rPr>
        <w:t>21</w:t>
      </w:r>
    </w:p>
  </w:footnote>
  <w:footnote w:id="7">
    <w:p w14:paraId="3E8A1C39" w14:textId="75DA68FE" w:rsidR="004F2248" w:rsidRPr="002E2E99" w:rsidRDefault="004F2248" w:rsidP="004F224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DD4805">
        <w:fldChar w:fldCharType="begin"/>
      </w:r>
      <w:r w:rsidR="00DD4805" w:rsidRPr="00FA3664">
        <w:rPr>
          <w:lang w:val="ru-RU"/>
        </w:rPr>
        <w:instrText xml:space="preserve"> </w:instrText>
      </w:r>
      <w:r w:rsidR="00DD4805">
        <w:instrText>HYPERLINK</w:instrText>
      </w:r>
      <w:r w:rsidR="00DD4805" w:rsidRPr="00FA3664">
        <w:rPr>
          <w:lang w:val="ru-RU"/>
        </w:rPr>
        <w:instrText xml:space="preserve"> "</w:instrText>
      </w:r>
      <w:r w:rsidR="00DD4805">
        <w:instrText>https</w:instrText>
      </w:r>
      <w:r w:rsidR="00DD4805" w:rsidRPr="00FA3664">
        <w:rPr>
          <w:lang w:val="ru-RU"/>
        </w:rPr>
        <w:instrText>://</w:instrText>
      </w:r>
      <w:r w:rsidR="00DD4805">
        <w:instrText>www</w:instrText>
      </w:r>
      <w:r w:rsidR="00DD4805" w:rsidRPr="00FA3664">
        <w:rPr>
          <w:lang w:val="ru-RU"/>
        </w:rPr>
        <w:instrText>.</w:instrText>
      </w:r>
      <w:r w:rsidR="00DD4805">
        <w:instrText>un</w:instrText>
      </w:r>
      <w:r w:rsidR="00DD4805" w:rsidRPr="00FA3664">
        <w:rPr>
          <w:lang w:val="ru-RU"/>
        </w:rPr>
        <w:instrText>.</w:instrText>
      </w:r>
      <w:r w:rsidR="00DD4805">
        <w:instrText>org</w:instrText>
      </w:r>
      <w:r w:rsidR="00DD4805" w:rsidRPr="00FA3664">
        <w:rPr>
          <w:lang w:val="ru-RU"/>
        </w:rPr>
        <w:instrText>/</w:instrText>
      </w:r>
      <w:r w:rsidR="00DD4805">
        <w:instrText>counterterrorism</w:instrText>
      </w:r>
      <w:r w:rsidR="00DD4805" w:rsidRPr="00FA3664">
        <w:rPr>
          <w:lang w:val="ru-RU"/>
        </w:rPr>
        <w:instrText>/</w:instrText>
      </w:r>
      <w:r w:rsidR="00DD4805">
        <w:instrText>ctitf</w:instrText>
      </w:r>
      <w:r w:rsidR="00DD4805" w:rsidRPr="00FA3664">
        <w:rPr>
          <w:lang w:val="ru-RU"/>
        </w:rPr>
        <w:instrText>/</w:instrText>
      </w:r>
      <w:r w:rsidR="00DD4805">
        <w:instrText>en</w:instrText>
      </w:r>
      <w:r w:rsidR="00DD4805" w:rsidRPr="00FA3664">
        <w:rPr>
          <w:lang w:val="ru-RU"/>
        </w:rPr>
        <w:instrText>/</w:instrText>
      </w:r>
      <w:r w:rsidR="00DD4805">
        <w:instrText>plan</w:instrText>
      </w:r>
      <w:r w:rsidR="00DD4805" w:rsidRPr="00FA3664">
        <w:rPr>
          <w:lang w:val="ru-RU"/>
        </w:rPr>
        <w:instrText>-</w:instrText>
      </w:r>
      <w:r w:rsidR="00DD4805">
        <w:instrText>action</w:instrText>
      </w:r>
      <w:r w:rsidR="00DD4805" w:rsidRPr="00FA3664">
        <w:rPr>
          <w:lang w:val="ru-RU"/>
        </w:rPr>
        <w:instrText>-</w:instrText>
      </w:r>
      <w:r w:rsidR="00DD4805">
        <w:instrText>prevent</w:instrText>
      </w:r>
      <w:r w:rsidR="00DD4805" w:rsidRPr="00FA3664">
        <w:rPr>
          <w:lang w:val="ru-RU"/>
        </w:rPr>
        <w:instrText>-</w:instrText>
      </w:r>
      <w:r w:rsidR="00DD4805">
        <w:instrText>violent</w:instrText>
      </w:r>
      <w:r w:rsidR="00DD4805" w:rsidRPr="00FA3664">
        <w:rPr>
          <w:lang w:val="ru-RU"/>
        </w:rPr>
        <w:instrText>-</w:instrText>
      </w:r>
      <w:r w:rsidR="00DD4805">
        <w:instrText>extremism</w:instrText>
      </w:r>
      <w:r w:rsidR="00DD4805" w:rsidRPr="00FA3664">
        <w:rPr>
          <w:lang w:val="ru-RU"/>
        </w:rPr>
        <w:instrText xml:space="preserve">" </w:instrText>
      </w:r>
      <w:r w:rsidR="00DD4805">
        <w:fldChar w:fldCharType="separate"/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https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://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www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.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un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.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org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counterterrorism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/</w:t>
      </w:r>
      <w:proofErr w:type="spellStart"/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ctitf</w:t>
      </w:r>
      <w:proofErr w:type="spellEnd"/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/</w:t>
      </w:r>
      <w:proofErr w:type="spellStart"/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en</w:t>
      </w:r>
      <w:proofErr w:type="spellEnd"/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plan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-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action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-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prevent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-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violent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-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extremism</w:t>
      </w:r>
      <w:r w:rsidR="00DD4805">
        <w:rPr>
          <w:rStyle w:val="Hyperlink"/>
          <w:rFonts w:ascii="Times New Roman" w:hAnsi="Times New Roman" w:cs="Times New Roman"/>
          <w:shd w:val="clear" w:color="auto" w:fill="FFFFFF"/>
        </w:rPr>
        <w:fldChar w:fldCharType="end"/>
      </w:r>
      <w:r w:rsidRPr="002E2E9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; </w:t>
      </w:r>
      <w:r w:rsidR="00C82CA9" w:rsidRPr="002E2E9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См. также</w:t>
      </w:r>
      <w:r w:rsidRPr="002E2E9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C82CA9" w:rsidRPr="002E2E9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Резолюцию Генеральной Ассамблеи ООН</w:t>
      </w:r>
      <w:r w:rsidRPr="002E2E99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DD4805">
        <w:fldChar w:fldCharType="begin"/>
      </w:r>
      <w:r w:rsidR="00DD4805" w:rsidRPr="00FA3664">
        <w:rPr>
          <w:lang w:val="ru-RU"/>
        </w:rPr>
        <w:instrText xml:space="preserve"> </w:instrText>
      </w:r>
      <w:r w:rsidR="00DD4805">
        <w:instrText>HYPERLINK</w:instrText>
      </w:r>
      <w:r w:rsidR="00DD4805" w:rsidRPr="00FA3664">
        <w:rPr>
          <w:lang w:val="ru-RU"/>
        </w:rPr>
        <w:instrText xml:space="preserve"> "</w:instrText>
      </w:r>
      <w:r w:rsidR="00DD4805">
        <w:instrText>http</w:instrText>
      </w:r>
      <w:r w:rsidR="00DD4805" w:rsidRPr="00FA3664">
        <w:rPr>
          <w:lang w:val="ru-RU"/>
        </w:rPr>
        <w:instrText>://</w:instrText>
      </w:r>
      <w:r w:rsidR="00DD4805">
        <w:instrText>www</w:instrText>
      </w:r>
      <w:r w:rsidR="00DD4805" w:rsidRPr="00FA3664">
        <w:rPr>
          <w:lang w:val="ru-RU"/>
        </w:rPr>
        <w:instrText>.</w:instrText>
      </w:r>
      <w:r w:rsidR="00DD4805">
        <w:instrText>un</w:instrText>
      </w:r>
      <w:r w:rsidR="00DD4805" w:rsidRPr="00FA3664">
        <w:rPr>
          <w:lang w:val="ru-RU"/>
        </w:rPr>
        <w:instrText>.</w:instrText>
      </w:r>
      <w:r w:rsidR="00DD4805">
        <w:instrText>org</w:instrText>
      </w:r>
      <w:r w:rsidR="00DD4805" w:rsidRPr="00FA3664">
        <w:rPr>
          <w:lang w:val="ru-RU"/>
        </w:rPr>
        <w:instrText>/</w:instrText>
      </w:r>
      <w:r w:rsidR="00DD4805">
        <w:instrText>en</w:instrText>
      </w:r>
      <w:r w:rsidR="00DD4805" w:rsidRPr="00FA3664">
        <w:rPr>
          <w:lang w:val="ru-RU"/>
        </w:rPr>
        <w:instrText>/</w:instrText>
      </w:r>
      <w:r w:rsidR="00DD4805">
        <w:instrText>ga</w:instrText>
      </w:r>
      <w:r w:rsidR="00DD4805" w:rsidRPr="00FA3664">
        <w:rPr>
          <w:lang w:val="ru-RU"/>
        </w:rPr>
        <w:instrText>/</w:instrText>
      </w:r>
      <w:r w:rsidR="00DD4805">
        <w:instrText>search</w:instrText>
      </w:r>
      <w:r w:rsidR="00DD4805" w:rsidRPr="00FA3664">
        <w:rPr>
          <w:lang w:val="ru-RU"/>
        </w:rPr>
        <w:instrText>/</w:instrText>
      </w:r>
      <w:r w:rsidR="00DD4805">
        <w:instrText>view</w:instrText>
      </w:r>
      <w:r w:rsidR="00DD4805" w:rsidRPr="00FA3664">
        <w:rPr>
          <w:lang w:val="ru-RU"/>
        </w:rPr>
        <w:instrText>_</w:instrText>
      </w:r>
      <w:r w:rsidR="00DD4805">
        <w:instrText>doc</w:instrText>
      </w:r>
      <w:r w:rsidR="00DD4805" w:rsidRPr="00FA3664">
        <w:rPr>
          <w:lang w:val="ru-RU"/>
        </w:rPr>
        <w:instrText>.</w:instrText>
      </w:r>
      <w:r w:rsidR="00DD4805">
        <w:instrText>asp</w:instrText>
      </w:r>
      <w:r w:rsidR="00DD4805" w:rsidRPr="00FA3664">
        <w:rPr>
          <w:lang w:val="ru-RU"/>
        </w:rPr>
        <w:instrText>?</w:instrText>
      </w:r>
      <w:r w:rsidR="00DD4805">
        <w:instrText>symbol</w:instrText>
      </w:r>
      <w:r w:rsidR="00DD4805" w:rsidRPr="00FA3664">
        <w:rPr>
          <w:lang w:val="ru-RU"/>
        </w:rPr>
        <w:instrText>=</w:instrText>
      </w:r>
      <w:r w:rsidR="00DD4805">
        <w:instrText>A</w:instrText>
      </w:r>
      <w:r w:rsidR="00DD4805" w:rsidRPr="00FA3664">
        <w:rPr>
          <w:lang w:val="ru-RU"/>
        </w:rPr>
        <w:instrText>/</w:instrText>
      </w:r>
      <w:r w:rsidR="00DD4805">
        <w:instrText>RES</w:instrText>
      </w:r>
      <w:r w:rsidR="00DD4805" w:rsidRPr="00FA3664">
        <w:rPr>
          <w:lang w:val="ru-RU"/>
        </w:rPr>
        <w:instrText xml:space="preserve">/70/291" </w:instrText>
      </w:r>
      <w:r w:rsidR="00DD4805">
        <w:fldChar w:fldCharType="separate"/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A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  <w:shd w:val="clear" w:color="auto" w:fill="FFFFFF"/>
        </w:rPr>
        <w:t>RES</w:t>
      </w:r>
      <w:r w:rsidRPr="002E2E99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t>/70/291</w:t>
      </w:r>
      <w:r w:rsidR="00DD4805">
        <w:rPr>
          <w:rStyle w:val="Hyperlink"/>
          <w:rFonts w:ascii="Times New Roman" w:hAnsi="Times New Roman" w:cs="Times New Roman"/>
          <w:shd w:val="clear" w:color="auto" w:fill="FFFFFF"/>
          <w:lang w:val="ru-RU"/>
        </w:rPr>
        <w:fldChar w:fldCharType="end"/>
      </w:r>
    </w:p>
  </w:footnote>
  <w:footnote w:id="8">
    <w:p w14:paraId="53698DFF" w14:textId="28BCAC4F" w:rsidR="004F2248" w:rsidRPr="00AC7087" w:rsidRDefault="004F2248" w:rsidP="004F2248">
      <w:pPr>
        <w:pStyle w:val="FootnoteText"/>
        <w:rPr>
          <w:rFonts w:cstheme="minorHAnsi"/>
          <w:lang w:val="es-ES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CCPR/C/CG/34 </w:t>
      </w:r>
      <w:r w:rsidR="00806488" w:rsidRPr="002E2E99">
        <w:rPr>
          <w:rFonts w:ascii="Times New Roman" w:hAnsi="Times New Roman" w:cs="Times New Roman"/>
          <w:lang w:val="es-ES"/>
        </w:rPr>
        <w:t>п.</w:t>
      </w:r>
      <w:r w:rsidRPr="002E2E99">
        <w:rPr>
          <w:rFonts w:ascii="Times New Roman" w:hAnsi="Times New Roman" w:cs="Times New Roman"/>
          <w:lang w:val="es-ES"/>
        </w:rPr>
        <w:t xml:space="preserve"> 46</w:t>
      </w:r>
    </w:p>
  </w:footnote>
  <w:footnote w:id="9">
    <w:p w14:paraId="137960EE" w14:textId="54BE6BD8" w:rsidR="004F2248" w:rsidRPr="002E2E99" w:rsidRDefault="004F2248" w:rsidP="004F2248">
      <w:pPr>
        <w:pStyle w:val="FootnoteText"/>
        <w:rPr>
          <w:rFonts w:ascii="Times New Roman" w:hAnsi="Times New Roman" w:cs="Times New Roman"/>
          <w:lang w:val="es-ES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A/HRC/31/65, </w:t>
      </w:r>
      <w:r w:rsidR="00806488" w:rsidRPr="002E2E99">
        <w:rPr>
          <w:rFonts w:ascii="Times New Roman" w:hAnsi="Times New Roman" w:cs="Times New Roman"/>
          <w:lang w:val="ru-RU"/>
        </w:rPr>
        <w:t>п</w:t>
      </w:r>
      <w:r w:rsidRPr="002E2E99">
        <w:rPr>
          <w:rFonts w:ascii="Times New Roman" w:hAnsi="Times New Roman" w:cs="Times New Roman"/>
          <w:lang w:val="es-ES"/>
        </w:rPr>
        <w:t>. 21</w:t>
      </w:r>
    </w:p>
  </w:footnote>
  <w:footnote w:id="10">
    <w:p w14:paraId="32885684" w14:textId="5D5D5E69" w:rsidR="004F2248" w:rsidRPr="00AC7087" w:rsidRDefault="004F2248" w:rsidP="004F2248">
      <w:pPr>
        <w:pStyle w:val="FootnoteText"/>
        <w:rPr>
          <w:lang w:val="es-ES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A/73/362 </w:t>
      </w:r>
      <w:r w:rsidR="00806488" w:rsidRPr="002E2E99">
        <w:rPr>
          <w:rFonts w:ascii="Times New Roman" w:hAnsi="Times New Roman" w:cs="Times New Roman"/>
          <w:lang w:val="ru-RU"/>
        </w:rPr>
        <w:t>п</w:t>
      </w:r>
      <w:r w:rsidRPr="002E2E99">
        <w:rPr>
          <w:rFonts w:ascii="Times New Roman" w:hAnsi="Times New Roman" w:cs="Times New Roman"/>
          <w:lang w:val="es-ES"/>
        </w:rPr>
        <w:t>. 25.</w:t>
      </w:r>
    </w:p>
  </w:footnote>
  <w:footnote w:id="11">
    <w:p w14:paraId="5B365D92" w14:textId="526C42BC" w:rsidR="00903D75" w:rsidRPr="00073FCA" w:rsidRDefault="00903D75" w:rsidP="00903D75">
      <w:pPr>
        <w:pStyle w:val="FootnoteText"/>
        <w:rPr>
          <w:rFonts w:asciiTheme="majorBidi" w:hAnsiTheme="majorBidi" w:cstheme="majorBidi"/>
          <w:lang w:val="ru-RU"/>
        </w:rPr>
      </w:pPr>
      <w:r w:rsidRPr="00073FCA">
        <w:rPr>
          <w:rStyle w:val="FootnoteReference"/>
          <w:rFonts w:ascii="Times New Roman" w:hAnsi="Times New Roman" w:cs="Times New Roman"/>
        </w:rPr>
        <w:footnoteRef/>
      </w:r>
      <w:r w:rsidRPr="00073FCA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Theme="majorBidi" w:hAnsiTheme="majorBidi" w:cstheme="majorBidi"/>
          <w:lang w:val="ru-RU"/>
        </w:rPr>
        <w:t>С</w:t>
      </w:r>
      <w:r w:rsidRPr="00073FCA">
        <w:rPr>
          <w:rFonts w:asciiTheme="majorBidi" w:hAnsiTheme="majorBidi" w:cstheme="majorBidi"/>
          <w:lang w:val="ru-RU"/>
        </w:rPr>
        <w:t xml:space="preserve">татья 19 (3) </w:t>
      </w:r>
      <w:r w:rsidR="00073FCA" w:rsidRPr="00073FCA">
        <w:rPr>
          <w:rFonts w:asciiTheme="majorBidi" w:hAnsiTheme="majorBidi" w:cstheme="majorBidi"/>
          <w:lang w:val="ru-RU"/>
        </w:rPr>
        <w:t xml:space="preserve">и статья </w:t>
      </w:r>
      <w:r w:rsidRPr="00073FCA">
        <w:rPr>
          <w:rFonts w:asciiTheme="majorBidi" w:hAnsiTheme="majorBidi" w:cstheme="majorBidi"/>
          <w:lang w:val="ru-RU"/>
        </w:rPr>
        <w:t>19</w:t>
      </w:r>
      <w:r w:rsidR="00B91948">
        <w:rPr>
          <w:rFonts w:asciiTheme="majorBidi" w:hAnsiTheme="majorBidi" w:cstheme="majorBidi"/>
          <w:lang w:val="ru-RU"/>
        </w:rPr>
        <w:t xml:space="preserve"> </w:t>
      </w:r>
      <w:r w:rsidRPr="00073FCA">
        <w:rPr>
          <w:rFonts w:asciiTheme="majorBidi" w:hAnsiTheme="majorBidi" w:cstheme="majorBidi"/>
          <w:lang w:val="ru-RU"/>
        </w:rPr>
        <w:t xml:space="preserve">(4) </w:t>
      </w:r>
      <w:r w:rsidR="00B91948" w:rsidRPr="00073FCA">
        <w:rPr>
          <w:rFonts w:asciiTheme="majorBidi" w:hAnsiTheme="majorBidi" w:cstheme="majorBidi"/>
          <w:lang w:val="ru-RU"/>
        </w:rPr>
        <w:t>Уголовно-процессуальн</w:t>
      </w:r>
      <w:r w:rsidR="00B91948">
        <w:rPr>
          <w:rFonts w:asciiTheme="majorBidi" w:hAnsiTheme="majorBidi" w:cstheme="majorBidi"/>
          <w:lang w:val="ru-RU"/>
        </w:rPr>
        <w:t>ого</w:t>
      </w:r>
      <w:r w:rsidR="00B91948" w:rsidRPr="00073FCA">
        <w:rPr>
          <w:rFonts w:asciiTheme="majorBidi" w:hAnsiTheme="majorBidi" w:cstheme="majorBidi"/>
          <w:lang w:val="ru-RU"/>
        </w:rPr>
        <w:t xml:space="preserve"> кодекс</w:t>
      </w:r>
      <w:r w:rsidR="00B91948">
        <w:rPr>
          <w:rFonts w:asciiTheme="majorBidi" w:hAnsiTheme="majorBidi" w:cstheme="majorBidi"/>
          <w:lang w:val="ru-RU"/>
        </w:rPr>
        <w:t xml:space="preserve">а представляют интерес для ее </w:t>
      </w:r>
      <w:r w:rsidR="00073FCA" w:rsidRPr="00073FCA">
        <w:rPr>
          <w:rFonts w:asciiTheme="majorBidi" w:hAnsiTheme="majorBidi" w:cstheme="majorBidi"/>
          <w:lang w:val="ru-RU"/>
        </w:rPr>
        <w:t>мандата</w:t>
      </w:r>
      <w:r w:rsidRPr="00073FCA">
        <w:rPr>
          <w:rFonts w:asciiTheme="majorBidi" w:hAnsiTheme="majorBidi" w:cstheme="majorBidi"/>
          <w:lang w:val="ru-RU"/>
        </w:rPr>
        <w:t>.</w:t>
      </w:r>
    </w:p>
  </w:footnote>
  <w:footnote w:id="12">
    <w:p w14:paraId="297CE976" w14:textId="05C8AA1C" w:rsidR="00B91948" w:rsidRPr="00B91948" w:rsidRDefault="00B91948" w:rsidP="00B9194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</w:t>
      </w:r>
      <w:r w:rsidR="00881FF5">
        <w:rPr>
          <w:rFonts w:ascii="Times New Roman" w:hAnsi="Times New Roman" w:cs="Times New Roman"/>
          <w:lang w:val="ru-RU"/>
        </w:rPr>
        <w:t>Заме</w:t>
      </w:r>
      <w:r>
        <w:rPr>
          <w:rFonts w:ascii="Times New Roman" w:hAnsi="Times New Roman" w:cs="Times New Roman"/>
          <w:lang w:val="ru-RU"/>
        </w:rPr>
        <w:t xml:space="preserve">чание общего порядка № 32, </w:t>
      </w:r>
      <w:proofErr w:type="spellStart"/>
      <w:r>
        <w:rPr>
          <w:rFonts w:ascii="Times New Roman" w:hAnsi="Times New Roman" w:cs="Times New Roman"/>
          <w:lang w:val="ru-RU"/>
        </w:rPr>
        <w:t>пп</w:t>
      </w:r>
      <w:proofErr w:type="spellEnd"/>
      <w:r>
        <w:rPr>
          <w:rFonts w:ascii="Times New Roman" w:hAnsi="Times New Roman" w:cs="Times New Roman"/>
          <w:lang w:val="ru-RU"/>
        </w:rPr>
        <w:t>. 28-29</w:t>
      </w:r>
      <w:r w:rsidRPr="00B91948">
        <w:rPr>
          <w:rFonts w:ascii="Times New Roman" w:hAnsi="Times New Roman" w:cs="Times New Roman"/>
          <w:lang w:val="ru-RU"/>
        </w:rPr>
        <w:t>.</w:t>
      </w:r>
    </w:p>
  </w:footnote>
  <w:footnote w:id="13">
    <w:p w14:paraId="4B0A3160" w14:textId="714F3FCB" w:rsidR="00DA0646" w:rsidRPr="00B91948" w:rsidRDefault="00DA0646" w:rsidP="00DA0646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Статья</w:t>
      </w:r>
      <w:r w:rsidRPr="00B91948">
        <w:rPr>
          <w:rFonts w:ascii="Times New Roman" w:hAnsi="Times New Roman" w:cs="Times New Roman"/>
          <w:lang w:val="ru-RU"/>
        </w:rPr>
        <w:t xml:space="preserve"> 14 </w:t>
      </w:r>
      <w:r w:rsidR="00B91948" w:rsidRPr="00B91948">
        <w:rPr>
          <w:rFonts w:ascii="Times New Roman" w:hAnsi="Times New Roman" w:cs="Times New Roman"/>
          <w:lang w:val="ru-RU"/>
        </w:rPr>
        <w:t xml:space="preserve">Международного пакта о гражданских и политических правах </w:t>
      </w:r>
      <w:r w:rsidR="00B91948">
        <w:rPr>
          <w:rFonts w:ascii="Times New Roman" w:hAnsi="Times New Roman" w:cs="Times New Roman"/>
          <w:lang w:val="ru-RU"/>
        </w:rPr>
        <w:t>и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Covenant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on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Civil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and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Political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Rights</w:t>
      </w:r>
      <w:r w:rsidRPr="00B91948">
        <w:rPr>
          <w:rFonts w:ascii="Times New Roman" w:hAnsi="Times New Roman" w:cs="Times New Roman"/>
          <w:lang w:val="ru-RU"/>
        </w:rPr>
        <w:t xml:space="preserve">, </w:t>
      </w:r>
      <w:r w:rsidRPr="002E2E99">
        <w:rPr>
          <w:rFonts w:ascii="Times New Roman" w:hAnsi="Times New Roman" w:cs="Times New Roman"/>
        </w:rPr>
        <w:t>and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the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="00B91948" w:rsidRPr="00B91948">
        <w:rPr>
          <w:rFonts w:ascii="Times New Roman" w:hAnsi="Times New Roman" w:cs="Times New Roman"/>
          <w:lang w:val="ru-RU"/>
        </w:rPr>
        <w:t>Основных принципов, касающихся роли юристов</w:t>
      </w:r>
      <w:r w:rsidRPr="00B91948">
        <w:rPr>
          <w:rFonts w:ascii="Times New Roman" w:hAnsi="Times New Roman" w:cs="Times New Roman"/>
          <w:lang w:val="ru-RU"/>
        </w:rPr>
        <w:t>.</w:t>
      </w:r>
    </w:p>
  </w:footnote>
  <w:footnote w:id="14">
    <w:p w14:paraId="61150C1C" w14:textId="27BC465E" w:rsidR="00DA0646" w:rsidRPr="00B91948" w:rsidRDefault="00DA0646" w:rsidP="00DA0646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es-ES"/>
        </w:rPr>
        <w:t xml:space="preserve"> CAT/C/UZB/Co/5 </w:t>
      </w:r>
      <w:r w:rsidR="00B91948">
        <w:rPr>
          <w:rFonts w:ascii="Times New Roman" w:hAnsi="Times New Roman" w:cs="Times New Roman"/>
          <w:lang w:val="ru-RU"/>
        </w:rPr>
        <w:t>п</w:t>
      </w:r>
      <w:r w:rsidRPr="002E2E99">
        <w:rPr>
          <w:rFonts w:ascii="Times New Roman" w:hAnsi="Times New Roman" w:cs="Times New Roman"/>
          <w:lang w:val="es-ES"/>
        </w:rPr>
        <w:t xml:space="preserve">. </w:t>
      </w:r>
      <w:r w:rsidRPr="00B91948">
        <w:rPr>
          <w:rFonts w:ascii="Times New Roman" w:hAnsi="Times New Roman" w:cs="Times New Roman"/>
          <w:lang w:val="ru-RU"/>
        </w:rPr>
        <w:t>30 (</w:t>
      </w:r>
      <w:r w:rsidRPr="002E2E99">
        <w:rPr>
          <w:rFonts w:ascii="Times New Roman" w:hAnsi="Times New Roman" w:cs="Times New Roman"/>
        </w:rPr>
        <w:t>a</w:t>
      </w:r>
      <w:r w:rsidRPr="00B91948">
        <w:rPr>
          <w:rFonts w:ascii="Times New Roman" w:hAnsi="Times New Roman" w:cs="Times New Roman"/>
          <w:lang w:val="ru-RU"/>
        </w:rPr>
        <w:t xml:space="preserve">); </w:t>
      </w:r>
      <w:r w:rsidR="00B91948" w:rsidRPr="00B91948">
        <w:rPr>
          <w:rFonts w:ascii="Times New Roman" w:hAnsi="Times New Roman" w:cs="Times New Roman"/>
          <w:lang w:val="ru-RU"/>
        </w:rPr>
        <w:t>Основные принципы Организации Объединенных Наций, касающиеся роли юристов.</w:t>
      </w:r>
    </w:p>
  </w:footnote>
  <w:footnote w:id="15">
    <w:p w14:paraId="7F7E7F03" w14:textId="1851BD34" w:rsidR="00DA0646" w:rsidRPr="00B91948" w:rsidRDefault="00DA0646" w:rsidP="00DA0646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Государственный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власти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признали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данные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проблемы</w:t>
      </w:r>
      <w:r w:rsidR="00B91948" w:rsidRPr="00B91948">
        <w:rPr>
          <w:rFonts w:ascii="Times New Roman" w:hAnsi="Times New Roman" w:cs="Times New Roman"/>
          <w:lang w:val="ru-RU"/>
        </w:rPr>
        <w:t xml:space="preserve">, </w:t>
      </w:r>
      <w:r w:rsidR="00B91948">
        <w:rPr>
          <w:rFonts w:ascii="Times New Roman" w:hAnsi="Times New Roman" w:cs="Times New Roman"/>
          <w:lang w:val="ru-RU"/>
        </w:rPr>
        <w:t>Указ Президента №</w:t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</w:rPr>
        <w:t>UP</w:t>
      </w:r>
      <w:r w:rsidRPr="00B91948">
        <w:rPr>
          <w:rFonts w:ascii="Times New Roman" w:hAnsi="Times New Roman" w:cs="Times New Roman"/>
          <w:lang w:val="ru-RU"/>
        </w:rPr>
        <w:t xml:space="preserve">-5441 </w:t>
      </w:r>
      <w:r w:rsidR="00B91948">
        <w:rPr>
          <w:rFonts w:ascii="Times New Roman" w:hAnsi="Times New Roman" w:cs="Times New Roman"/>
          <w:lang w:val="ru-RU"/>
        </w:rPr>
        <w:t>от</w:t>
      </w:r>
      <w:r w:rsidRPr="00B91948">
        <w:rPr>
          <w:rFonts w:ascii="Times New Roman" w:hAnsi="Times New Roman" w:cs="Times New Roman"/>
          <w:lang w:val="ru-RU"/>
        </w:rPr>
        <w:t xml:space="preserve"> 12 </w:t>
      </w:r>
      <w:r w:rsidR="00B91948">
        <w:rPr>
          <w:rFonts w:ascii="Times New Roman" w:hAnsi="Times New Roman" w:cs="Times New Roman"/>
          <w:lang w:val="ru-RU"/>
        </w:rPr>
        <w:t>мая</w:t>
      </w:r>
      <w:r w:rsidRPr="00B91948">
        <w:rPr>
          <w:rFonts w:ascii="Times New Roman" w:hAnsi="Times New Roman" w:cs="Times New Roman"/>
          <w:lang w:val="ru-RU"/>
        </w:rPr>
        <w:t xml:space="preserve"> 2018</w:t>
      </w:r>
      <w:r w:rsidR="00B91948">
        <w:rPr>
          <w:rFonts w:ascii="Times New Roman" w:hAnsi="Times New Roman" w:cs="Times New Roman"/>
          <w:lang w:val="ru-RU"/>
        </w:rPr>
        <w:t xml:space="preserve"> г</w:t>
      </w:r>
      <w:r w:rsidR="00A9714A">
        <w:rPr>
          <w:rFonts w:ascii="Times New Roman" w:hAnsi="Times New Roman" w:cs="Times New Roman"/>
          <w:lang w:val="ru-RU"/>
        </w:rPr>
        <w:t>ода</w:t>
      </w:r>
      <w:r w:rsidRPr="00B91948">
        <w:rPr>
          <w:rFonts w:ascii="Times New Roman" w:hAnsi="Times New Roman" w:cs="Times New Roman"/>
          <w:lang w:val="ru-RU"/>
        </w:rPr>
        <w:t>.</w:t>
      </w:r>
    </w:p>
  </w:footnote>
  <w:footnote w:id="16">
    <w:p w14:paraId="32DB850F" w14:textId="7EF7AB99" w:rsidR="00DA0646" w:rsidRPr="00B91948" w:rsidRDefault="00DA0646" w:rsidP="00DA0646">
      <w:pPr>
        <w:pStyle w:val="FootnoteText"/>
        <w:rPr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Многочисленные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случаи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были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непосредственно</w:t>
      </w:r>
      <w:r w:rsidR="00B91948" w:rsidRPr="00B91948">
        <w:rPr>
          <w:rFonts w:ascii="Times New Roman" w:hAnsi="Times New Roman" w:cs="Times New Roman"/>
          <w:lang w:val="ru-RU"/>
        </w:rPr>
        <w:t xml:space="preserve"> </w:t>
      </w:r>
      <w:r w:rsidR="00B91948">
        <w:rPr>
          <w:rFonts w:ascii="Times New Roman" w:hAnsi="Times New Roman" w:cs="Times New Roman"/>
          <w:lang w:val="ru-RU"/>
        </w:rPr>
        <w:t>донесены до сведения Специального докладчика.</w:t>
      </w:r>
      <w:r w:rsidRPr="00B91948">
        <w:rPr>
          <w:rFonts w:ascii="Times New Roman" w:hAnsi="Times New Roman" w:cs="Times New Roman"/>
          <w:lang w:val="ru-RU"/>
        </w:rPr>
        <w:t xml:space="preserve"> </w:t>
      </w:r>
    </w:p>
  </w:footnote>
  <w:footnote w:id="17">
    <w:p w14:paraId="2A8C6ABD" w14:textId="4EC03979" w:rsidR="00DA0646" w:rsidRPr="00484959" w:rsidRDefault="00DA0646" w:rsidP="00DA0646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2E2E99">
        <w:rPr>
          <w:rFonts w:ascii="Times New Roman" w:hAnsi="Times New Roman" w:cs="Times New Roman"/>
          <w:lang w:val="ru-RU"/>
        </w:rPr>
        <w:t>Она</w:t>
      </w:r>
      <w:r w:rsidR="002E2E99" w:rsidRPr="002E2E99">
        <w:rPr>
          <w:rFonts w:ascii="Times New Roman" w:hAnsi="Times New Roman" w:cs="Times New Roman"/>
          <w:lang w:val="ru-RU"/>
        </w:rPr>
        <w:t xml:space="preserve"> </w:t>
      </w:r>
      <w:r w:rsidR="002E2E99">
        <w:rPr>
          <w:rFonts w:ascii="Times New Roman" w:hAnsi="Times New Roman" w:cs="Times New Roman"/>
          <w:lang w:val="ru-RU"/>
        </w:rPr>
        <w:t>подчеркивает</w:t>
      </w:r>
      <w:r w:rsidR="002E2E99" w:rsidRPr="002E2E99">
        <w:rPr>
          <w:rFonts w:ascii="Times New Roman" w:hAnsi="Times New Roman" w:cs="Times New Roman"/>
          <w:lang w:val="ru-RU"/>
        </w:rPr>
        <w:t xml:space="preserve"> </w:t>
      </w:r>
      <w:r w:rsidR="002E2E99">
        <w:rPr>
          <w:rFonts w:ascii="Times New Roman" w:hAnsi="Times New Roman" w:cs="Times New Roman"/>
          <w:lang w:val="ru-RU"/>
        </w:rPr>
        <w:t>отдельные</w:t>
      </w:r>
      <w:r w:rsidR="002E2E99" w:rsidRPr="002E2E99">
        <w:rPr>
          <w:rFonts w:ascii="Times New Roman" w:hAnsi="Times New Roman" w:cs="Times New Roman"/>
          <w:lang w:val="ru-RU"/>
        </w:rPr>
        <w:t xml:space="preserve"> </w:t>
      </w:r>
      <w:r w:rsidR="002E2E99">
        <w:rPr>
          <w:rFonts w:ascii="Times New Roman" w:hAnsi="Times New Roman" w:cs="Times New Roman"/>
          <w:lang w:val="ru-RU"/>
        </w:rPr>
        <w:t>дела</w:t>
      </w:r>
      <w:r w:rsidR="002E2E99" w:rsidRPr="002E2E99">
        <w:rPr>
          <w:rFonts w:ascii="Times New Roman" w:hAnsi="Times New Roman" w:cs="Times New Roman"/>
          <w:lang w:val="ru-RU"/>
        </w:rPr>
        <w:t xml:space="preserve">, </w:t>
      </w:r>
      <w:r w:rsidR="002E2E99">
        <w:rPr>
          <w:rFonts w:ascii="Times New Roman" w:hAnsi="Times New Roman" w:cs="Times New Roman"/>
          <w:lang w:val="ru-RU"/>
        </w:rPr>
        <w:t>вызывающие</w:t>
      </w:r>
      <w:r w:rsidR="002E2E99" w:rsidRPr="002E2E99">
        <w:rPr>
          <w:rFonts w:ascii="Times New Roman" w:hAnsi="Times New Roman" w:cs="Times New Roman"/>
          <w:lang w:val="ru-RU"/>
        </w:rPr>
        <w:t xml:space="preserve"> </w:t>
      </w:r>
      <w:r w:rsidR="002E2E99">
        <w:rPr>
          <w:rFonts w:ascii="Times New Roman" w:hAnsi="Times New Roman" w:cs="Times New Roman"/>
          <w:lang w:val="ru-RU"/>
        </w:rPr>
        <w:t>обеспокоенность</w:t>
      </w:r>
      <w:r w:rsidR="002E2E99" w:rsidRPr="002E2E99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2E2E99">
        <w:rPr>
          <w:rFonts w:ascii="Times New Roman" w:hAnsi="Times New Roman" w:cs="Times New Roman"/>
          <w:lang w:val="ru-RU"/>
        </w:rPr>
        <w:t>Мурод</w:t>
      </w:r>
      <w:proofErr w:type="spellEnd"/>
      <w:r w:rsidR="00310E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10E86">
        <w:rPr>
          <w:rFonts w:ascii="Times New Roman" w:hAnsi="Times New Roman" w:cs="Times New Roman"/>
          <w:lang w:val="ru-RU"/>
        </w:rPr>
        <w:t>Хасанбоев</w:t>
      </w:r>
      <w:proofErr w:type="spellEnd"/>
      <w:r w:rsidR="002E2E99">
        <w:rPr>
          <w:rFonts w:ascii="Times New Roman" w:hAnsi="Times New Roman" w:cs="Times New Roman"/>
          <w:lang w:val="ru-RU"/>
        </w:rPr>
        <w:t xml:space="preserve"> (находится в колонии №42, </w:t>
      </w:r>
      <w:proofErr w:type="spellStart"/>
      <w:r w:rsidR="002E2E99">
        <w:rPr>
          <w:rFonts w:ascii="Times New Roman" w:hAnsi="Times New Roman" w:cs="Times New Roman"/>
          <w:lang w:val="ru-RU"/>
        </w:rPr>
        <w:t>Зангиатинский</w:t>
      </w:r>
      <w:proofErr w:type="spellEnd"/>
      <w:r w:rsidR="002E2E99">
        <w:rPr>
          <w:rFonts w:ascii="Times New Roman" w:hAnsi="Times New Roman" w:cs="Times New Roman"/>
          <w:lang w:val="ru-RU"/>
        </w:rPr>
        <w:t xml:space="preserve"> район), осужденный по статье 159 и продолжающий, по мнению Специального докладчика, страдать от медицинских последствий </w:t>
      </w:r>
      <w:r w:rsidR="00484959">
        <w:rPr>
          <w:rFonts w:ascii="Times New Roman" w:hAnsi="Times New Roman" w:cs="Times New Roman"/>
          <w:lang w:val="ru-RU"/>
        </w:rPr>
        <w:t xml:space="preserve">жестокого обращения при содержании под стражей (19 лет); </w:t>
      </w:r>
      <w:proofErr w:type="spellStart"/>
      <w:r w:rsidR="00310E86">
        <w:rPr>
          <w:rFonts w:ascii="Times New Roman" w:hAnsi="Times New Roman" w:cs="Times New Roman"/>
          <w:lang w:val="ru-RU"/>
        </w:rPr>
        <w:t>Шамсуддин</w:t>
      </w:r>
      <w:proofErr w:type="spellEnd"/>
      <w:r w:rsidR="00310E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84959">
        <w:rPr>
          <w:rFonts w:ascii="Times New Roman" w:hAnsi="Times New Roman" w:cs="Times New Roman"/>
          <w:lang w:val="ru-RU"/>
        </w:rPr>
        <w:t>Гиязов</w:t>
      </w:r>
      <w:proofErr w:type="spellEnd"/>
      <w:r w:rsidR="00484959" w:rsidRPr="00484959">
        <w:rPr>
          <w:rFonts w:ascii="Times New Roman" w:hAnsi="Times New Roman" w:cs="Times New Roman"/>
          <w:lang w:val="ru-RU"/>
        </w:rPr>
        <w:t xml:space="preserve"> </w:t>
      </w:r>
      <w:r w:rsidR="00484959">
        <w:rPr>
          <w:rFonts w:ascii="Times New Roman" w:hAnsi="Times New Roman" w:cs="Times New Roman"/>
          <w:lang w:val="ru-RU"/>
        </w:rPr>
        <w:t xml:space="preserve">(находится в колонии-поселении №46, </w:t>
      </w:r>
      <w:proofErr w:type="spellStart"/>
      <w:r w:rsidR="00484959">
        <w:rPr>
          <w:rFonts w:ascii="Times New Roman" w:hAnsi="Times New Roman" w:cs="Times New Roman"/>
          <w:lang w:val="ru-RU"/>
        </w:rPr>
        <w:t>Зангиатинский</w:t>
      </w:r>
      <w:proofErr w:type="spellEnd"/>
      <w:r w:rsidR="00484959">
        <w:rPr>
          <w:rFonts w:ascii="Times New Roman" w:hAnsi="Times New Roman" w:cs="Times New Roman"/>
          <w:lang w:val="ru-RU"/>
        </w:rPr>
        <w:t xml:space="preserve"> район), задержанный будучи несовершеннолетним и приговоренный к 20 годам, 6 годам и дополнительно 17 годам лишения свободы (2001</w:t>
      </w:r>
      <w:r w:rsidR="00310E86">
        <w:rPr>
          <w:rFonts w:ascii="Times New Roman" w:hAnsi="Times New Roman" w:cs="Times New Roman"/>
          <w:lang w:val="ru-RU"/>
        </w:rPr>
        <w:t xml:space="preserve"> год</w:t>
      </w:r>
      <w:r w:rsidR="00484959">
        <w:rPr>
          <w:rFonts w:ascii="Times New Roman" w:hAnsi="Times New Roman" w:cs="Times New Roman"/>
          <w:lang w:val="ru-RU"/>
        </w:rPr>
        <w:t xml:space="preserve">); </w:t>
      </w:r>
      <w:proofErr w:type="spellStart"/>
      <w:r w:rsidR="00484959">
        <w:rPr>
          <w:rFonts w:ascii="Times New Roman" w:hAnsi="Times New Roman" w:cs="Times New Roman"/>
          <w:lang w:val="ru-RU"/>
        </w:rPr>
        <w:t>Бабур</w:t>
      </w:r>
      <w:proofErr w:type="spellEnd"/>
      <w:r w:rsidR="004849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84959">
        <w:rPr>
          <w:rFonts w:ascii="Times New Roman" w:hAnsi="Times New Roman" w:cs="Times New Roman"/>
          <w:lang w:val="ru-RU"/>
        </w:rPr>
        <w:t>Обиджонович</w:t>
      </w:r>
      <w:proofErr w:type="spellEnd"/>
      <w:r w:rsidR="00310E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10E86">
        <w:rPr>
          <w:rFonts w:ascii="Times New Roman" w:hAnsi="Times New Roman" w:cs="Times New Roman"/>
          <w:lang w:val="ru-RU"/>
        </w:rPr>
        <w:t>Хатамов</w:t>
      </w:r>
      <w:proofErr w:type="spellEnd"/>
      <w:r w:rsidR="00484959">
        <w:rPr>
          <w:rFonts w:ascii="Times New Roman" w:hAnsi="Times New Roman" w:cs="Times New Roman"/>
          <w:lang w:val="ru-RU"/>
        </w:rPr>
        <w:t xml:space="preserve">, осужденный по статье 244 в 2010 </w:t>
      </w:r>
      <w:r w:rsidR="00A9714A">
        <w:rPr>
          <w:rFonts w:ascii="Times New Roman" w:hAnsi="Times New Roman" w:cs="Times New Roman"/>
          <w:lang w:val="ru-RU"/>
        </w:rPr>
        <w:t>год</w:t>
      </w:r>
      <w:r w:rsidR="00310E86">
        <w:rPr>
          <w:rFonts w:ascii="Times New Roman" w:hAnsi="Times New Roman" w:cs="Times New Roman"/>
          <w:lang w:val="ru-RU"/>
        </w:rPr>
        <w:t>у</w:t>
      </w:r>
      <w:r w:rsidR="00484959">
        <w:rPr>
          <w:rFonts w:ascii="Times New Roman" w:hAnsi="Times New Roman" w:cs="Times New Roman"/>
          <w:lang w:val="ru-RU"/>
        </w:rPr>
        <w:t xml:space="preserve"> (находится в </w:t>
      </w:r>
      <w:proofErr w:type="spellStart"/>
      <w:r w:rsidR="00484959">
        <w:rPr>
          <w:rFonts w:ascii="Times New Roman" w:hAnsi="Times New Roman" w:cs="Times New Roman"/>
          <w:lang w:val="ru-RU"/>
        </w:rPr>
        <w:t>Касанской</w:t>
      </w:r>
      <w:proofErr w:type="spellEnd"/>
      <w:r w:rsidR="00484959">
        <w:rPr>
          <w:rFonts w:ascii="Times New Roman" w:hAnsi="Times New Roman" w:cs="Times New Roman"/>
          <w:lang w:val="ru-RU"/>
        </w:rPr>
        <w:t xml:space="preserve"> тюрьме)</w:t>
      </w:r>
      <w:r w:rsidRPr="00484959">
        <w:rPr>
          <w:rFonts w:ascii="Times New Roman" w:hAnsi="Times New Roman" w:cs="Times New Roman"/>
          <w:lang w:val="ru-RU"/>
        </w:rPr>
        <w:t>.</w:t>
      </w:r>
    </w:p>
  </w:footnote>
  <w:footnote w:id="18">
    <w:p w14:paraId="6F7BABE7" w14:textId="77777777" w:rsidR="00BB5978" w:rsidRPr="002E2E99" w:rsidRDefault="00BB5978" w:rsidP="00BB597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ОБСЕ, Комментарий к закону Республики Узбекистан «О противодействии экстремизму» (4 декабря 2019 года).</w:t>
      </w:r>
    </w:p>
  </w:footnote>
  <w:footnote w:id="19">
    <w:p w14:paraId="73C5CB82" w14:textId="77777777" w:rsidR="00BB5978" w:rsidRPr="00BB5978" w:rsidRDefault="00BB5978" w:rsidP="00BB5978">
      <w:pPr>
        <w:pStyle w:val="FootnoteText"/>
        <w:rPr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Ассоциированный член ФАТФ</w:t>
      </w:r>
    </w:p>
  </w:footnote>
  <w:footnote w:id="20">
    <w:p w14:paraId="061D3FAD" w14:textId="509FE2CD" w:rsidR="00BB5978" w:rsidRPr="002E2E99" w:rsidRDefault="00BB5978" w:rsidP="00BB597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Согласно </w:t>
      </w:r>
      <w:r w:rsidR="00DD4805">
        <w:fldChar w:fldCharType="begin"/>
      </w:r>
      <w:r w:rsidR="00DD4805" w:rsidRPr="00FA3664">
        <w:rPr>
          <w:lang w:val="ru-RU"/>
        </w:rPr>
        <w:instrText xml:space="preserve"> </w:instrText>
      </w:r>
      <w:r w:rsidR="00DD4805">
        <w:instrText>HYPERLINK</w:instrText>
      </w:r>
      <w:r w:rsidR="00DD4805" w:rsidRPr="00FA3664">
        <w:rPr>
          <w:lang w:val="ru-RU"/>
        </w:rPr>
        <w:instrText xml:space="preserve"> "</w:instrText>
      </w:r>
      <w:r w:rsidR="00DD4805">
        <w:instrText>https</w:instrText>
      </w:r>
      <w:r w:rsidR="00DD4805" w:rsidRPr="00FA3664">
        <w:rPr>
          <w:lang w:val="ru-RU"/>
        </w:rPr>
        <w:instrText>://</w:instrText>
      </w:r>
      <w:r w:rsidR="00DD4805">
        <w:instrText>www</w:instrText>
      </w:r>
      <w:r w:rsidR="00DD4805" w:rsidRPr="00FA3664">
        <w:rPr>
          <w:lang w:val="ru-RU"/>
        </w:rPr>
        <w:instrText>.</w:instrText>
      </w:r>
      <w:r w:rsidR="00DD4805">
        <w:instrText>fatf</w:instrText>
      </w:r>
      <w:r w:rsidR="00DD4805" w:rsidRPr="00FA3664">
        <w:rPr>
          <w:lang w:val="ru-RU"/>
        </w:rPr>
        <w:instrText>-</w:instrText>
      </w:r>
      <w:r w:rsidR="00DD4805">
        <w:instrText>gafi</w:instrText>
      </w:r>
      <w:r w:rsidR="00DD4805" w:rsidRPr="00FA3664">
        <w:rPr>
          <w:lang w:val="ru-RU"/>
        </w:rPr>
        <w:instrText>.</w:instrText>
      </w:r>
      <w:r w:rsidR="00DD4805">
        <w:instrText>org</w:instrText>
      </w:r>
      <w:r w:rsidR="00DD4805" w:rsidRPr="00FA3664">
        <w:rPr>
          <w:lang w:val="ru-RU"/>
        </w:rPr>
        <w:instrText>/</w:instrText>
      </w:r>
      <w:r w:rsidR="00DD4805">
        <w:instrText>media</w:instrText>
      </w:r>
      <w:r w:rsidR="00DD4805" w:rsidRPr="00FA3664">
        <w:rPr>
          <w:lang w:val="ru-RU"/>
        </w:rPr>
        <w:instrText>/</w:instrText>
      </w:r>
      <w:r w:rsidR="00DD4805">
        <w:instrText>fatf</w:instrText>
      </w:r>
      <w:r w:rsidR="00DD4805" w:rsidRPr="00FA3664">
        <w:rPr>
          <w:lang w:val="ru-RU"/>
        </w:rPr>
        <w:instrText>/</w:instrText>
      </w:r>
      <w:r w:rsidR="00DD4805">
        <w:instrText>documents</w:instrText>
      </w:r>
      <w:r w:rsidR="00DD4805" w:rsidRPr="00FA3664">
        <w:rPr>
          <w:lang w:val="ru-RU"/>
        </w:rPr>
        <w:instrText>/</w:instrText>
      </w:r>
      <w:r w:rsidR="00DD4805">
        <w:instrText>reports</w:instrText>
      </w:r>
      <w:r w:rsidR="00DD4805" w:rsidRPr="00FA3664">
        <w:rPr>
          <w:lang w:val="ru-RU"/>
        </w:rPr>
        <w:instrText>/</w:instrText>
      </w:r>
      <w:r w:rsidR="00DD4805">
        <w:instrText>BPP</w:instrText>
      </w:r>
      <w:r w:rsidR="00DD4805" w:rsidRPr="00FA3664">
        <w:rPr>
          <w:lang w:val="ru-RU"/>
        </w:rPr>
        <w:instrText>-</w:instrText>
      </w:r>
      <w:r w:rsidR="00DD4805">
        <w:instrText>combating</w:instrText>
      </w:r>
      <w:r w:rsidR="00DD4805" w:rsidRPr="00FA3664">
        <w:rPr>
          <w:lang w:val="ru-RU"/>
        </w:rPr>
        <w:instrText>-</w:instrText>
      </w:r>
      <w:r w:rsidR="00DD4805">
        <w:instrText>abuse</w:instrText>
      </w:r>
      <w:r w:rsidR="00DD4805" w:rsidRPr="00FA3664">
        <w:rPr>
          <w:lang w:val="ru-RU"/>
        </w:rPr>
        <w:instrText>-</w:instrText>
      </w:r>
      <w:r w:rsidR="00DD4805">
        <w:instrText>non</w:instrText>
      </w:r>
      <w:r w:rsidR="00DD4805" w:rsidRPr="00FA3664">
        <w:rPr>
          <w:lang w:val="ru-RU"/>
        </w:rPr>
        <w:instrText>-</w:instrText>
      </w:r>
      <w:r w:rsidR="00DD4805">
        <w:instrText>profit</w:instrText>
      </w:r>
      <w:r w:rsidR="00DD4805" w:rsidRPr="00FA3664">
        <w:rPr>
          <w:lang w:val="ru-RU"/>
        </w:rPr>
        <w:instrText>-</w:instrText>
      </w:r>
      <w:r w:rsidR="00DD4805">
        <w:instrText>organisation</w:instrText>
      </w:r>
      <w:r w:rsidR="00DD4805">
        <w:instrText>s</w:instrText>
      </w:r>
      <w:r w:rsidR="00DD4805" w:rsidRPr="00FA3664">
        <w:rPr>
          <w:lang w:val="ru-RU"/>
        </w:rPr>
        <w:instrText>.</w:instrText>
      </w:r>
      <w:r w:rsidR="00DD4805">
        <w:instrText>pdf</w:instrText>
      </w:r>
      <w:r w:rsidR="00DD4805" w:rsidRPr="00FA3664">
        <w:rPr>
          <w:lang w:val="ru-RU"/>
        </w:rPr>
        <w:instrText xml:space="preserve">" </w:instrText>
      </w:r>
      <w:r w:rsidR="00DD4805">
        <w:fldChar w:fldCharType="separate"/>
      </w:r>
      <w:r w:rsidRPr="00AA352C">
        <w:rPr>
          <w:rStyle w:val="Hyperlink"/>
          <w:rFonts w:ascii="Times New Roman" w:hAnsi="Times New Roman" w:cs="Times New Roman"/>
          <w:lang w:val="ru-RU"/>
        </w:rPr>
        <w:t>Передовой практике</w:t>
      </w:r>
      <w:r w:rsidR="00DD4805">
        <w:rPr>
          <w:rStyle w:val="Hyperlink"/>
          <w:rFonts w:ascii="Times New Roman" w:hAnsi="Times New Roman" w:cs="Times New Roman"/>
          <w:lang w:val="ru-RU"/>
        </w:rPr>
        <w:fldChar w:fldCharType="end"/>
      </w:r>
      <w:r w:rsidRPr="002E2E99">
        <w:rPr>
          <w:rFonts w:ascii="Times New Roman" w:hAnsi="Times New Roman" w:cs="Times New Roman"/>
          <w:lang w:val="ru-RU"/>
        </w:rPr>
        <w:t xml:space="preserve"> ФАТФ по Рекомендации 8 от 2015 года, основанной на </w:t>
      </w:r>
      <w:r w:rsidR="00DD4805">
        <w:fldChar w:fldCharType="begin"/>
      </w:r>
      <w:r w:rsidR="00DD4805" w:rsidRPr="00FA3664">
        <w:rPr>
          <w:lang w:val="ru-RU"/>
        </w:rPr>
        <w:instrText xml:space="preserve"> </w:instrText>
      </w:r>
      <w:r w:rsidR="00DD4805">
        <w:instrText>HYPERLINK</w:instrText>
      </w:r>
      <w:r w:rsidR="00DD4805" w:rsidRPr="00FA3664">
        <w:rPr>
          <w:lang w:val="ru-RU"/>
        </w:rPr>
        <w:instrText xml:space="preserve"> "</w:instrText>
      </w:r>
      <w:r w:rsidR="00DD4805">
        <w:instrText>https</w:instrText>
      </w:r>
      <w:r w:rsidR="00DD4805" w:rsidRPr="00FA3664">
        <w:rPr>
          <w:lang w:val="ru-RU"/>
        </w:rPr>
        <w:instrText>://</w:instrText>
      </w:r>
      <w:r w:rsidR="00DD4805">
        <w:instrText>www</w:instrText>
      </w:r>
      <w:r w:rsidR="00DD4805" w:rsidRPr="00FA3664">
        <w:rPr>
          <w:lang w:val="ru-RU"/>
        </w:rPr>
        <w:instrText>.</w:instrText>
      </w:r>
      <w:r w:rsidR="00DD4805">
        <w:instrText>fatf</w:instrText>
      </w:r>
      <w:r w:rsidR="00DD4805" w:rsidRPr="00FA3664">
        <w:rPr>
          <w:lang w:val="ru-RU"/>
        </w:rPr>
        <w:instrText>-</w:instrText>
      </w:r>
      <w:r w:rsidR="00DD4805">
        <w:instrText>gafi</w:instrText>
      </w:r>
      <w:r w:rsidR="00DD4805" w:rsidRPr="00FA3664">
        <w:rPr>
          <w:lang w:val="ru-RU"/>
        </w:rPr>
        <w:instrText>.</w:instrText>
      </w:r>
      <w:r w:rsidR="00DD4805">
        <w:instrText>org</w:instrText>
      </w:r>
      <w:r w:rsidR="00DD4805" w:rsidRPr="00FA3664">
        <w:rPr>
          <w:lang w:val="ru-RU"/>
        </w:rPr>
        <w:instrText>/</w:instrText>
      </w:r>
      <w:r w:rsidR="00DD4805">
        <w:instrText>media</w:instrText>
      </w:r>
      <w:r w:rsidR="00DD4805" w:rsidRPr="00FA3664">
        <w:rPr>
          <w:lang w:val="ru-RU"/>
        </w:rPr>
        <w:instrText>/</w:instrText>
      </w:r>
      <w:r w:rsidR="00DD4805">
        <w:instrText>fatf</w:instrText>
      </w:r>
      <w:r w:rsidR="00DD4805" w:rsidRPr="00FA3664">
        <w:rPr>
          <w:lang w:val="ru-RU"/>
        </w:rPr>
        <w:instrText>/</w:instrText>
      </w:r>
      <w:r w:rsidR="00DD4805">
        <w:instrText>documents</w:instrText>
      </w:r>
      <w:r w:rsidR="00DD4805" w:rsidRPr="00FA3664">
        <w:rPr>
          <w:lang w:val="ru-RU"/>
        </w:rPr>
        <w:instrText>/</w:instrText>
      </w:r>
      <w:r w:rsidR="00DD4805">
        <w:instrText>reports</w:instrText>
      </w:r>
      <w:r w:rsidR="00DD4805" w:rsidRPr="00FA3664">
        <w:rPr>
          <w:lang w:val="ru-RU"/>
        </w:rPr>
        <w:instrText>/</w:instrText>
      </w:r>
      <w:r w:rsidR="00DD4805">
        <w:instrText>Risk</w:instrText>
      </w:r>
      <w:r w:rsidR="00DD4805" w:rsidRPr="00FA3664">
        <w:rPr>
          <w:lang w:val="ru-RU"/>
        </w:rPr>
        <w:instrText>-</w:instrText>
      </w:r>
      <w:r w:rsidR="00DD4805">
        <w:instrText>of</w:instrText>
      </w:r>
      <w:r w:rsidR="00DD4805" w:rsidRPr="00FA3664">
        <w:rPr>
          <w:lang w:val="ru-RU"/>
        </w:rPr>
        <w:instrText>-</w:instrText>
      </w:r>
      <w:r w:rsidR="00DD4805">
        <w:instrText>terrorist</w:instrText>
      </w:r>
      <w:r w:rsidR="00DD4805" w:rsidRPr="00FA3664">
        <w:rPr>
          <w:lang w:val="ru-RU"/>
        </w:rPr>
        <w:instrText>-</w:instrText>
      </w:r>
      <w:r w:rsidR="00DD4805">
        <w:instrText>abuse</w:instrText>
      </w:r>
      <w:r w:rsidR="00DD4805" w:rsidRPr="00FA3664">
        <w:rPr>
          <w:lang w:val="ru-RU"/>
        </w:rPr>
        <w:instrText>-</w:instrText>
      </w:r>
      <w:r w:rsidR="00DD4805">
        <w:instrText>in</w:instrText>
      </w:r>
      <w:r w:rsidR="00DD4805" w:rsidRPr="00FA3664">
        <w:rPr>
          <w:lang w:val="ru-RU"/>
        </w:rPr>
        <w:instrText>-</w:instrText>
      </w:r>
      <w:r w:rsidR="00DD4805">
        <w:instrText>non</w:instrText>
      </w:r>
      <w:r w:rsidR="00DD4805" w:rsidRPr="00FA3664">
        <w:rPr>
          <w:lang w:val="ru-RU"/>
        </w:rPr>
        <w:instrText>-</w:instrText>
      </w:r>
      <w:r w:rsidR="00DD4805">
        <w:instrText>profit</w:instrText>
      </w:r>
      <w:r w:rsidR="00DD4805" w:rsidRPr="00FA3664">
        <w:rPr>
          <w:lang w:val="ru-RU"/>
        </w:rPr>
        <w:instrText>-</w:instrText>
      </w:r>
      <w:r w:rsidR="00DD4805">
        <w:instrText>organisations</w:instrText>
      </w:r>
      <w:r w:rsidR="00DD4805" w:rsidRPr="00FA3664">
        <w:rPr>
          <w:lang w:val="ru-RU"/>
        </w:rPr>
        <w:instrText>.</w:instrText>
      </w:r>
      <w:r w:rsidR="00DD4805">
        <w:instrText>pdf</w:instrText>
      </w:r>
      <w:r w:rsidR="00DD4805" w:rsidRPr="00FA3664">
        <w:rPr>
          <w:lang w:val="ru-RU"/>
        </w:rPr>
        <w:instrText xml:space="preserve">" </w:instrText>
      </w:r>
      <w:r w:rsidR="00DD4805">
        <w:fldChar w:fldCharType="separate"/>
      </w:r>
      <w:r w:rsidRPr="00AA352C">
        <w:rPr>
          <w:rStyle w:val="Hyperlink"/>
          <w:rFonts w:ascii="Times New Roman" w:hAnsi="Times New Roman" w:cs="Times New Roman"/>
          <w:lang w:val="ru-RU"/>
        </w:rPr>
        <w:t>опросе</w:t>
      </w:r>
      <w:r w:rsidR="00DD4805">
        <w:rPr>
          <w:rStyle w:val="Hyperlink"/>
          <w:rFonts w:ascii="Times New Roman" w:hAnsi="Times New Roman" w:cs="Times New Roman"/>
          <w:lang w:val="ru-RU"/>
        </w:rPr>
        <w:fldChar w:fldCharType="end"/>
      </w:r>
      <w:r w:rsidRPr="002E2E99">
        <w:rPr>
          <w:rFonts w:ascii="Times New Roman" w:hAnsi="Times New Roman" w:cs="Times New Roman"/>
          <w:lang w:val="ru-RU"/>
        </w:rPr>
        <w:t xml:space="preserve"> 14 стран в 2014 году, «имеются лишь малые риски нарушений в секторе НКО со стороны террористических организаций с учетом мировой ситуации в секторе НКО» (п. 16).</w:t>
      </w:r>
    </w:p>
  </w:footnote>
  <w:footnote w:id="21">
    <w:p w14:paraId="2B2096A8" w14:textId="4E26AA5F" w:rsidR="00BB5978" w:rsidRPr="002E2E99" w:rsidRDefault="00BB5978" w:rsidP="00BB597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Она отмечает, что</w:t>
      </w:r>
      <w:r w:rsidR="00D928E5">
        <w:rPr>
          <w:rFonts w:ascii="Times New Roman" w:hAnsi="Times New Roman" w:cs="Times New Roman"/>
          <w:lang w:val="ru-RU"/>
        </w:rPr>
        <w:t>,</w:t>
      </w:r>
      <w:r w:rsidRPr="002E2E99">
        <w:rPr>
          <w:rFonts w:ascii="Times New Roman" w:hAnsi="Times New Roman" w:cs="Times New Roman"/>
          <w:lang w:val="ru-RU"/>
        </w:rPr>
        <w:t xml:space="preserve"> согласно Докладу о взаимной оценке от 2010 года</w:t>
      </w:r>
      <w:r w:rsidR="00D928E5">
        <w:rPr>
          <w:rFonts w:ascii="Times New Roman" w:hAnsi="Times New Roman" w:cs="Times New Roman"/>
          <w:lang w:val="ru-RU"/>
        </w:rPr>
        <w:t>,</w:t>
      </w:r>
      <w:r w:rsidRPr="002E2E99">
        <w:rPr>
          <w:rFonts w:ascii="Times New Roman" w:hAnsi="Times New Roman" w:cs="Times New Roman"/>
          <w:lang w:val="ru-RU"/>
        </w:rPr>
        <w:t xml:space="preserve"> Узбекистан только частично выполнял Рекомендацию 8.</w:t>
      </w:r>
    </w:p>
  </w:footnote>
  <w:footnote w:id="22">
    <w:p w14:paraId="1C407776" w14:textId="77777777" w:rsidR="00BB5978" w:rsidRPr="002E2E99" w:rsidRDefault="00BB5978" w:rsidP="00BB5978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Пояснительная записка ФАТФ, </w:t>
      </w:r>
      <w:r w:rsidRPr="002E2E99">
        <w:rPr>
          <w:rFonts w:ascii="Times New Roman" w:hAnsi="Times New Roman" w:cs="Times New Roman"/>
          <w:lang w:val="en-US"/>
        </w:rPr>
        <w:t>c</w:t>
      </w:r>
      <w:r w:rsidRPr="002E2E99">
        <w:rPr>
          <w:rFonts w:ascii="Times New Roman" w:hAnsi="Times New Roman" w:cs="Times New Roman"/>
          <w:lang w:val="ru-RU"/>
        </w:rPr>
        <w:t>. 77-80.</w:t>
      </w:r>
    </w:p>
  </w:footnote>
  <w:footnote w:id="23">
    <w:p w14:paraId="7033A7D5" w14:textId="77777777" w:rsidR="00BB5978" w:rsidRPr="00BB5978" w:rsidRDefault="00BB5978" w:rsidP="00BB5978">
      <w:pPr>
        <w:pStyle w:val="FootnoteText"/>
        <w:rPr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DD4805">
        <w:fldChar w:fldCharType="begin"/>
      </w:r>
      <w:r w:rsidR="00DD4805" w:rsidRPr="00FA3664">
        <w:rPr>
          <w:lang w:val="ru-RU"/>
        </w:rPr>
        <w:instrText xml:space="preserve"> </w:instrText>
      </w:r>
      <w:r w:rsidR="00DD4805">
        <w:instrText>HYPERLINK</w:instrText>
      </w:r>
      <w:r w:rsidR="00DD4805" w:rsidRPr="00FA3664">
        <w:rPr>
          <w:lang w:val="ru-RU"/>
        </w:rPr>
        <w:instrText xml:space="preserve"> "</w:instrText>
      </w:r>
      <w:r w:rsidR="00DD4805">
        <w:instrText>https</w:instrText>
      </w:r>
      <w:r w:rsidR="00DD4805" w:rsidRPr="00FA3664">
        <w:rPr>
          <w:lang w:val="ru-RU"/>
        </w:rPr>
        <w:instrText>://</w:instrText>
      </w:r>
      <w:r w:rsidR="00DD4805">
        <w:instrText>www</w:instrText>
      </w:r>
      <w:r w:rsidR="00DD4805" w:rsidRPr="00FA3664">
        <w:rPr>
          <w:lang w:val="ru-RU"/>
        </w:rPr>
        <w:instrText>.</w:instrText>
      </w:r>
      <w:r w:rsidR="00DD4805">
        <w:instrText>fatf</w:instrText>
      </w:r>
      <w:r w:rsidR="00DD4805" w:rsidRPr="00FA3664">
        <w:rPr>
          <w:lang w:val="ru-RU"/>
        </w:rPr>
        <w:instrText>-</w:instrText>
      </w:r>
      <w:r w:rsidR="00DD4805">
        <w:instrText>gafi</w:instrText>
      </w:r>
      <w:r w:rsidR="00DD4805" w:rsidRPr="00FA3664">
        <w:rPr>
          <w:lang w:val="ru-RU"/>
        </w:rPr>
        <w:instrText>.</w:instrText>
      </w:r>
      <w:r w:rsidR="00DD4805">
        <w:instrText>org</w:instrText>
      </w:r>
      <w:r w:rsidR="00DD4805" w:rsidRPr="00FA3664">
        <w:rPr>
          <w:lang w:val="ru-RU"/>
        </w:rPr>
        <w:instrText>/</w:instrText>
      </w:r>
      <w:r w:rsidR="00DD4805">
        <w:instrText>media</w:instrText>
      </w:r>
      <w:r w:rsidR="00DD4805" w:rsidRPr="00FA3664">
        <w:rPr>
          <w:lang w:val="ru-RU"/>
        </w:rPr>
        <w:instrText>/</w:instrText>
      </w:r>
      <w:r w:rsidR="00DD4805">
        <w:instrText>fatf</w:instrText>
      </w:r>
      <w:r w:rsidR="00DD4805" w:rsidRPr="00FA3664">
        <w:rPr>
          <w:lang w:val="ru-RU"/>
        </w:rPr>
        <w:instrText>/</w:instrText>
      </w:r>
      <w:r w:rsidR="00DD4805">
        <w:instrText>documents</w:instrText>
      </w:r>
      <w:r w:rsidR="00DD4805" w:rsidRPr="00FA3664">
        <w:rPr>
          <w:lang w:val="ru-RU"/>
        </w:rPr>
        <w:instrText>/</w:instrText>
      </w:r>
      <w:r w:rsidR="00DD4805">
        <w:instrText>Unintended</w:instrText>
      </w:r>
      <w:r w:rsidR="00DD4805" w:rsidRPr="00FA3664">
        <w:rPr>
          <w:lang w:val="ru-RU"/>
        </w:rPr>
        <w:instrText>-</w:instrText>
      </w:r>
      <w:r w:rsidR="00DD4805">
        <w:instrText>Consequences</w:instrText>
      </w:r>
      <w:r w:rsidR="00DD4805" w:rsidRPr="00FA3664">
        <w:rPr>
          <w:lang w:val="ru-RU"/>
        </w:rPr>
        <w:instrText>.</w:instrText>
      </w:r>
      <w:r w:rsidR="00DD4805">
        <w:instrText>pdf</w:instrText>
      </w:r>
      <w:r w:rsidR="00DD4805" w:rsidRPr="00FA3664">
        <w:rPr>
          <w:lang w:val="ru-RU"/>
        </w:rPr>
        <w:instrText>" \</w:instrText>
      </w:r>
      <w:r w:rsidR="00DD4805">
        <w:instrText>t</w:instrText>
      </w:r>
      <w:r w:rsidR="00DD4805" w:rsidRPr="00FA3664">
        <w:rPr>
          <w:lang w:val="ru-RU"/>
        </w:rPr>
        <w:instrText xml:space="preserve"> "_</w:instrText>
      </w:r>
      <w:r w:rsidR="00DD4805">
        <w:instrText>blank</w:instrText>
      </w:r>
      <w:r w:rsidR="00DD4805" w:rsidRPr="00FA3664">
        <w:rPr>
          <w:lang w:val="ru-RU"/>
        </w:rPr>
        <w:instrText xml:space="preserve">" </w:instrText>
      </w:r>
      <w:r w:rsidR="00DD4805">
        <w:fldChar w:fldCharType="separate"/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https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://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www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.</w:t>
      </w:r>
      <w:proofErr w:type="spellStart"/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fatf</w:t>
      </w:r>
      <w:proofErr w:type="spellEnd"/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-</w:t>
      </w:r>
      <w:proofErr w:type="spellStart"/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gafi</w:t>
      </w:r>
      <w:proofErr w:type="spellEnd"/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.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org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media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/</w:t>
      </w:r>
      <w:proofErr w:type="spellStart"/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fatf</w:t>
      </w:r>
      <w:proofErr w:type="spellEnd"/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documents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/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Unintended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-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Consequences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ru-RU"/>
        </w:rPr>
        <w:t>.</w:t>
      </w:r>
      <w:r w:rsidRPr="002E2E99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t>pdf</w:t>
      </w:r>
      <w:r w:rsidR="00DD4805">
        <w:rPr>
          <w:rStyle w:val="Hyperlink"/>
          <w:rFonts w:ascii="Times New Roman" w:hAnsi="Times New Roman" w:cs="Times New Roman"/>
          <w:color w:val="1155CC"/>
          <w:shd w:val="clear" w:color="auto" w:fill="FFFFFF"/>
          <w:lang w:val="en-US"/>
        </w:rPr>
        <w:fldChar w:fldCharType="end"/>
      </w:r>
      <w:r w:rsidRPr="002E2E9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 </w:t>
      </w:r>
    </w:p>
  </w:footnote>
  <w:footnote w:id="24">
    <w:p w14:paraId="66B85CAC" w14:textId="3F69C2EE" w:rsidR="00E72203" w:rsidRPr="001652DC" w:rsidRDefault="00E72203" w:rsidP="00E72203">
      <w:pPr>
        <w:pStyle w:val="FootnoteText"/>
        <w:rPr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4A7C52" w:rsidRPr="002E2E99">
        <w:rPr>
          <w:rFonts w:ascii="Times New Roman" w:hAnsi="Times New Roman" w:cs="Times New Roman"/>
          <w:lang w:val="ru-RU"/>
        </w:rPr>
        <w:t xml:space="preserve">Ссылаясь на </w:t>
      </w:r>
      <w:r w:rsidR="004A7C52" w:rsidRPr="002E2E99">
        <w:rPr>
          <w:rFonts w:ascii="Times New Roman" w:hAnsi="Times New Roman" w:cs="Times New Roman"/>
        </w:rPr>
        <w:t>CCPR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UZB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CO</w:t>
      </w:r>
      <w:r w:rsidR="004A7C52" w:rsidRPr="002E2E99">
        <w:rPr>
          <w:rFonts w:ascii="Times New Roman" w:hAnsi="Times New Roman" w:cs="Times New Roman"/>
          <w:lang w:val="ru-RU"/>
        </w:rPr>
        <w:t xml:space="preserve">/4 п. 10, </w:t>
      </w:r>
      <w:r w:rsidR="004A7C52" w:rsidRPr="002E2E99">
        <w:rPr>
          <w:rFonts w:ascii="Times New Roman" w:hAnsi="Times New Roman" w:cs="Times New Roman"/>
        </w:rPr>
        <w:t>CCPR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UZB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CO</w:t>
      </w:r>
      <w:r w:rsidR="004A7C52" w:rsidRPr="002E2E99">
        <w:rPr>
          <w:rFonts w:ascii="Times New Roman" w:hAnsi="Times New Roman" w:cs="Times New Roman"/>
          <w:lang w:val="ru-RU"/>
        </w:rPr>
        <w:t xml:space="preserve">/5 п. 16 и 17; Ссылаясь на </w:t>
      </w:r>
      <w:r w:rsidR="004A7C52" w:rsidRPr="002E2E99">
        <w:rPr>
          <w:rFonts w:ascii="Times New Roman" w:hAnsi="Times New Roman" w:cs="Times New Roman"/>
        </w:rPr>
        <w:t>CAT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UBZ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CO</w:t>
      </w:r>
      <w:r w:rsidR="004A7C52" w:rsidRPr="002E2E99">
        <w:rPr>
          <w:rFonts w:ascii="Times New Roman" w:hAnsi="Times New Roman" w:cs="Times New Roman"/>
          <w:lang w:val="ru-RU"/>
        </w:rPr>
        <w:t xml:space="preserve">/4 </w:t>
      </w:r>
      <w:r w:rsidR="004A7C52" w:rsidRPr="002E2E99">
        <w:rPr>
          <w:rFonts w:ascii="Times New Roman" w:hAnsi="Times New Roman" w:cs="Times New Roman"/>
        </w:rPr>
        <w:t>para</w:t>
      </w:r>
      <w:r w:rsidR="004A7C52" w:rsidRPr="002E2E99">
        <w:rPr>
          <w:rFonts w:ascii="Times New Roman" w:hAnsi="Times New Roman" w:cs="Times New Roman"/>
          <w:lang w:val="ru-RU"/>
        </w:rPr>
        <w:t xml:space="preserve">. 11, </w:t>
      </w:r>
      <w:r w:rsidR="004A7C52" w:rsidRPr="002E2E99">
        <w:rPr>
          <w:rFonts w:ascii="Times New Roman" w:hAnsi="Times New Roman" w:cs="Times New Roman"/>
        </w:rPr>
        <w:t>CAT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UBZ</w:t>
      </w:r>
      <w:r w:rsidR="004A7C52" w:rsidRPr="002E2E99">
        <w:rPr>
          <w:rFonts w:ascii="Times New Roman" w:hAnsi="Times New Roman" w:cs="Times New Roman"/>
          <w:lang w:val="ru-RU"/>
        </w:rPr>
        <w:t>/</w:t>
      </w:r>
      <w:r w:rsidR="004A7C52" w:rsidRPr="002E2E99">
        <w:rPr>
          <w:rFonts w:ascii="Times New Roman" w:hAnsi="Times New Roman" w:cs="Times New Roman"/>
        </w:rPr>
        <w:t>CO</w:t>
      </w:r>
      <w:r w:rsidR="004A7C52" w:rsidRPr="002E2E99">
        <w:rPr>
          <w:rFonts w:ascii="Times New Roman" w:hAnsi="Times New Roman" w:cs="Times New Roman"/>
          <w:lang w:val="ru-RU"/>
        </w:rPr>
        <w:t xml:space="preserve">/5 п. 19 и 20. Отмечая также рекомендации бывшего Верховного комиссара по правам человека </w:t>
      </w:r>
      <w:proofErr w:type="spellStart"/>
      <w:r w:rsidR="004A7C52" w:rsidRPr="002E2E99">
        <w:rPr>
          <w:rFonts w:ascii="Times New Roman" w:hAnsi="Times New Roman" w:cs="Times New Roman"/>
          <w:lang w:val="ru-RU"/>
        </w:rPr>
        <w:t>Зейда</w:t>
      </w:r>
      <w:proofErr w:type="spellEnd"/>
      <w:r w:rsidR="004A7C52" w:rsidRPr="002E2E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A7C52" w:rsidRPr="002E2E99">
        <w:rPr>
          <w:rFonts w:ascii="Times New Roman" w:hAnsi="Times New Roman" w:cs="Times New Roman"/>
          <w:lang w:val="ru-RU"/>
        </w:rPr>
        <w:t>Раада</w:t>
      </w:r>
      <w:proofErr w:type="spellEnd"/>
      <w:r w:rsidR="004A7C52" w:rsidRPr="002E2E99">
        <w:rPr>
          <w:rFonts w:ascii="Times New Roman" w:hAnsi="Times New Roman" w:cs="Times New Roman"/>
          <w:lang w:val="ru-RU"/>
        </w:rPr>
        <w:t xml:space="preserve"> аль Хусейна </w:t>
      </w:r>
      <w:r w:rsidR="001652DC" w:rsidRPr="002E2E99">
        <w:rPr>
          <w:rFonts w:ascii="Times New Roman" w:hAnsi="Times New Roman" w:cs="Times New Roman"/>
          <w:lang w:val="ru-RU"/>
        </w:rPr>
        <w:t>в результате его визита в</w:t>
      </w:r>
      <w:r w:rsidR="004A7C52" w:rsidRPr="002E2E99">
        <w:rPr>
          <w:rFonts w:ascii="Times New Roman" w:hAnsi="Times New Roman" w:cs="Times New Roman"/>
          <w:lang w:val="ru-RU"/>
        </w:rPr>
        <w:t xml:space="preserve"> 2018</w:t>
      </w:r>
      <w:r w:rsidR="001652DC" w:rsidRPr="002E2E99">
        <w:rPr>
          <w:rFonts w:ascii="Times New Roman" w:hAnsi="Times New Roman" w:cs="Times New Roman"/>
          <w:lang w:val="ru-RU"/>
        </w:rPr>
        <w:t xml:space="preserve"> г</w:t>
      </w:r>
      <w:r w:rsidR="00A9714A">
        <w:rPr>
          <w:rFonts w:ascii="Times New Roman" w:hAnsi="Times New Roman" w:cs="Times New Roman"/>
          <w:lang w:val="ru-RU"/>
        </w:rPr>
        <w:t>оду</w:t>
      </w:r>
      <w:r w:rsidR="004A7C52" w:rsidRPr="002E2E99">
        <w:rPr>
          <w:rFonts w:ascii="Times New Roman" w:hAnsi="Times New Roman" w:cs="Times New Roman"/>
          <w:lang w:val="ru-RU"/>
        </w:rPr>
        <w:t>.</w:t>
      </w:r>
    </w:p>
  </w:footnote>
  <w:footnote w:id="25">
    <w:p w14:paraId="0512C632" w14:textId="52362331" w:rsidR="00A2390E" w:rsidRPr="002E2E99" w:rsidRDefault="00A2390E" w:rsidP="00A2390E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Предполагаемое посещение тюрьмы в Бухаре (Караулбазар) было отменено из-за вспышки </w:t>
      </w:r>
      <w:r w:rsidRPr="002E2E99">
        <w:rPr>
          <w:rFonts w:ascii="Times New Roman" w:hAnsi="Times New Roman" w:cs="Times New Roman"/>
          <w:lang w:val="en-US"/>
        </w:rPr>
        <w:t>COVID</w:t>
      </w:r>
      <w:r w:rsidRPr="002E2E99">
        <w:rPr>
          <w:rFonts w:ascii="Times New Roman" w:hAnsi="Times New Roman" w:cs="Times New Roman"/>
          <w:lang w:val="ru-RU"/>
        </w:rPr>
        <w:t>-19</w:t>
      </w:r>
      <w:r w:rsidR="002E2E99" w:rsidRPr="002E2E99">
        <w:rPr>
          <w:rFonts w:ascii="Times New Roman" w:hAnsi="Times New Roman" w:cs="Times New Roman"/>
          <w:lang w:val="ru-RU"/>
        </w:rPr>
        <w:t>;</w:t>
      </w:r>
      <w:r w:rsidR="002E2E99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  <w:lang w:val="ru-RU"/>
        </w:rPr>
        <w:t xml:space="preserve">посещение тюрьмы </w:t>
      </w:r>
      <w:proofErr w:type="spellStart"/>
      <w:r w:rsidRPr="002E2E99">
        <w:rPr>
          <w:rFonts w:ascii="Times New Roman" w:hAnsi="Times New Roman" w:cs="Times New Roman"/>
          <w:lang w:val="ru-RU"/>
        </w:rPr>
        <w:t>Жаслык</w:t>
      </w:r>
      <w:proofErr w:type="spellEnd"/>
      <w:r w:rsidRPr="002E2E99">
        <w:rPr>
          <w:rFonts w:ascii="Times New Roman" w:hAnsi="Times New Roman" w:cs="Times New Roman"/>
          <w:lang w:val="ru-RU"/>
        </w:rPr>
        <w:t xml:space="preserve"> не состоялось.</w:t>
      </w:r>
    </w:p>
  </w:footnote>
  <w:footnote w:id="26">
    <w:p w14:paraId="3932AD37" w14:textId="1A0CC3F4" w:rsidR="00A2390E" w:rsidRPr="00342DE2" w:rsidRDefault="00A2390E" w:rsidP="00A2390E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633904">
        <w:rPr>
          <w:rFonts w:ascii="Times New Roman" w:hAnsi="Times New Roman" w:cs="Times New Roman"/>
          <w:lang w:val="ru-RU"/>
        </w:rPr>
        <w:t xml:space="preserve"> </w:t>
      </w:r>
      <w:r w:rsidR="00633904" w:rsidRPr="00633904">
        <w:rPr>
          <w:rFonts w:ascii="Times New Roman" w:hAnsi="Times New Roman" w:cs="Times New Roman"/>
          <w:lang w:val="ru-RU"/>
        </w:rPr>
        <w:t xml:space="preserve">Она </w:t>
      </w:r>
      <w:r w:rsidR="00633904">
        <w:rPr>
          <w:rFonts w:ascii="Times New Roman" w:hAnsi="Times New Roman" w:cs="Times New Roman"/>
          <w:lang w:val="ru-RU"/>
        </w:rPr>
        <w:t>отмечает</w:t>
      </w:r>
      <w:r w:rsidR="00633904" w:rsidRPr="00633904">
        <w:rPr>
          <w:rFonts w:ascii="Times New Roman" w:hAnsi="Times New Roman" w:cs="Times New Roman"/>
          <w:lang w:val="ru-RU"/>
        </w:rPr>
        <w:t xml:space="preserve"> </w:t>
      </w:r>
      <w:r w:rsidR="00633904">
        <w:rPr>
          <w:rFonts w:ascii="Times New Roman" w:hAnsi="Times New Roman" w:cs="Times New Roman"/>
          <w:lang w:val="ru-RU"/>
        </w:rPr>
        <w:t>отдельные</w:t>
      </w:r>
      <w:r w:rsidR="00633904" w:rsidRPr="00633904">
        <w:rPr>
          <w:rFonts w:ascii="Times New Roman" w:hAnsi="Times New Roman" w:cs="Times New Roman"/>
          <w:lang w:val="ru-RU"/>
        </w:rPr>
        <w:t xml:space="preserve"> </w:t>
      </w:r>
      <w:r w:rsidR="00633904">
        <w:rPr>
          <w:rFonts w:ascii="Times New Roman" w:hAnsi="Times New Roman" w:cs="Times New Roman"/>
          <w:lang w:val="ru-RU"/>
        </w:rPr>
        <w:t>дела</w:t>
      </w:r>
      <w:r w:rsidR="00633904" w:rsidRPr="00633904">
        <w:rPr>
          <w:rFonts w:ascii="Times New Roman" w:hAnsi="Times New Roman" w:cs="Times New Roman"/>
          <w:lang w:val="ru-RU"/>
        </w:rPr>
        <w:t xml:space="preserve">, </w:t>
      </w:r>
      <w:r w:rsidR="00633904">
        <w:rPr>
          <w:rFonts w:ascii="Times New Roman" w:hAnsi="Times New Roman" w:cs="Times New Roman"/>
          <w:lang w:val="ru-RU"/>
        </w:rPr>
        <w:t>вызывающие</w:t>
      </w:r>
      <w:r w:rsidR="00633904" w:rsidRPr="00633904">
        <w:rPr>
          <w:rFonts w:ascii="Times New Roman" w:hAnsi="Times New Roman" w:cs="Times New Roman"/>
          <w:lang w:val="ru-RU"/>
        </w:rPr>
        <w:t xml:space="preserve"> </w:t>
      </w:r>
      <w:r w:rsidR="00633904">
        <w:rPr>
          <w:rFonts w:ascii="Times New Roman" w:hAnsi="Times New Roman" w:cs="Times New Roman"/>
          <w:lang w:val="ru-RU"/>
        </w:rPr>
        <w:t>обеспокоенность</w:t>
      </w:r>
      <w:r w:rsidR="00633904" w:rsidRPr="00633904">
        <w:rPr>
          <w:rFonts w:ascii="Times New Roman" w:hAnsi="Times New Roman" w:cs="Times New Roman"/>
          <w:lang w:val="ru-RU"/>
        </w:rPr>
        <w:t xml:space="preserve">, </w:t>
      </w:r>
      <w:r w:rsidR="00633904">
        <w:rPr>
          <w:rFonts w:ascii="Times New Roman" w:hAnsi="Times New Roman" w:cs="Times New Roman"/>
          <w:lang w:val="ru-RU"/>
        </w:rPr>
        <w:t>в</w:t>
      </w:r>
      <w:r w:rsidR="00633904" w:rsidRPr="00633904">
        <w:rPr>
          <w:rFonts w:ascii="Times New Roman" w:hAnsi="Times New Roman" w:cs="Times New Roman"/>
          <w:lang w:val="ru-RU"/>
        </w:rPr>
        <w:t xml:space="preserve"> </w:t>
      </w:r>
      <w:r w:rsidR="00633904">
        <w:rPr>
          <w:rFonts w:ascii="Times New Roman" w:hAnsi="Times New Roman" w:cs="Times New Roman"/>
          <w:lang w:val="ru-RU"/>
        </w:rPr>
        <w:t>том</w:t>
      </w:r>
      <w:r w:rsidR="00633904" w:rsidRPr="00633904">
        <w:rPr>
          <w:rFonts w:ascii="Times New Roman" w:hAnsi="Times New Roman" w:cs="Times New Roman"/>
          <w:lang w:val="ru-RU"/>
        </w:rPr>
        <w:t xml:space="preserve"> </w:t>
      </w:r>
      <w:r w:rsidR="00633904">
        <w:rPr>
          <w:rFonts w:ascii="Times New Roman" w:hAnsi="Times New Roman" w:cs="Times New Roman"/>
          <w:lang w:val="ru-RU"/>
        </w:rPr>
        <w:t>числе дело</w:t>
      </w:r>
      <w:r w:rsidR="00342DE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74D58">
        <w:rPr>
          <w:rFonts w:ascii="Times New Roman" w:hAnsi="Times New Roman" w:cs="Times New Roman"/>
          <w:lang w:val="ru-RU"/>
        </w:rPr>
        <w:t>Муминжон</w:t>
      </w:r>
      <w:r w:rsidR="004F5DE2">
        <w:rPr>
          <w:rFonts w:ascii="Times New Roman" w:hAnsi="Times New Roman" w:cs="Times New Roman"/>
          <w:lang w:val="ru-RU"/>
        </w:rPr>
        <w:t>а</w:t>
      </w:r>
      <w:proofErr w:type="spellEnd"/>
      <w:r w:rsidR="00174D58" w:rsidRPr="0063390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33904">
        <w:rPr>
          <w:rFonts w:ascii="Times New Roman" w:hAnsi="Times New Roman" w:cs="Times New Roman"/>
          <w:lang w:val="ru-RU"/>
        </w:rPr>
        <w:t>Умарова</w:t>
      </w:r>
      <w:proofErr w:type="spellEnd"/>
      <w:r w:rsidR="00633904">
        <w:rPr>
          <w:rFonts w:ascii="Times New Roman" w:hAnsi="Times New Roman" w:cs="Times New Roman"/>
          <w:lang w:val="ru-RU"/>
        </w:rPr>
        <w:t xml:space="preserve">, осужденного по </w:t>
      </w:r>
      <w:r w:rsidRPr="00633904">
        <w:rPr>
          <w:rFonts w:ascii="Times New Roman" w:hAnsi="Times New Roman" w:cs="Times New Roman"/>
          <w:lang w:val="ru-RU"/>
        </w:rPr>
        <w:t xml:space="preserve">23 </w:t>
      </w:r>
      <w:r w:rsidR="00633904">
        <w:rPr>
          <w:rFonts w:ascii="Times New Roman" w:hAnsi="Times New Roman" w:cs="Times New Roman"/>
          <w:lang w:val="ru-RU"/>
        </w:rPr>
        <w:t>статьям</w:t>
      </w:r>
      <w:r w:rsidR="00342DE2">
        <w:rPr>
          <w:rFonts w:ascii="Times New Roman" w:hAnsi="Times New Roman" w:cs="Times New Roman"/>
          <w:lang w:val="ru-RU"/>
        </w:rPr>
        <w:t xml:space="preserve"> Уголовного кодекса</w:t>
      </w:r>
      <w:r w:rsidRPr="00633904">
        <w:rPr>
          <w:rFonts w:ascii="Times New Roman" w:hAnsi="Times New Roman" w:cs="Times New Roman"/>
          <w:lang w:val="ru-RU"/>
        </w:rPr>
        <w:t xml:space="preserve"> (</w:t>
      </w:r>
      <w:r w:rsidR="00342DE2">
        <w:rPr>
          <w:rFonts w:ascii="Times New Roman" w:hAnsi="Times New Roman" w:cs="Times New Roman"/>
          <w:lang w:val="ru-RU"/>
        </w:rPr>
        <w:t xml:space="preserve">в настоящий момент </w:t>
      </w:r>
      <w:r w:rsidR="00633904">
        <w:rPr>
          <w:rFonts w:ascii="Times New Roman" w:hAnsi="Times New Roman" w:cs="Times New Roman"/>
          <w:lang w:val="ru-RU"/>
        </w:rPr>
        <w:t xml:space="preserve">находится в </w:t>
      </w:r>
      <w:proofErr w:type="spellStart"/>
      <w:r w:rsidR="00633904">
        <w:rPr>
          <w:rFonts w:ascii="Times New Roman" w:hAnsi="Times New Roman" w:cs="Times New Roman"/>
          <w:lang w:val="ru-RU"/>
        </w:rPr>
        <w:t>Касанской</w:t>
      </w:r>
      <w:proofErr w:type="spellEnd"/>
      <w:r w:rsidR="00633904">
        <w:rPr>
          <w:rFonts w:ascii="Times New Roman" w:hAnsi="Times New Roman" w:cs="Times New Roman"/>
          <w:lang w:val="ru-RU"/>
        </w:rPr>
        <w:t xml:space="preserve"> тюрьме</w:t>
      </w:r>
      <w:r w:rsidRPr="00633904">
        <w:rPr>
          <w:rFonts w:ascii="Times New Roman" w:hAnsi="Times New Roman" w:cs="Times New Roman"/>
          <w:lang w:val="ru-RU"/>
        </w:rPr>
        <w:t>)</w:t>
      </w:r>
      <w:r w:rsidR="00342DE2">
        <w:rPr>
          <w:rFonts w:ascii="Times New Roman" w:hAnsi="Times New Roman" w:cs="Times New Roman"/>
          <w:lang w:val="ru-RU"/>
        </w:rPr>
        <w:t>, ранее содержавшегося под стражей без связи с внешним миром в следственном изоляторе с 2005 по 2007 год (в Караулбазаре).</w:t>
      </w:r>
    </w:p>
  </w:footnote>
  <w:footnote w:id="27">
    <w:p w14:paraId="49C8141E" w14:textId="2600DB95" w:rsidR="00E72203" w:rsidRPr="00FA3664" w:rsidRDefault="00E72203" w:rsidP="00E72203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480236">
        <w:rPr>
          <w:rFonts w:ascii="Times New Roman" w:hAnsi="Times New Roman" w:cs="Times New Roman"/>
          <w:lang w:val="ru-RU"/>
        </w:rPr>
        <w:t xml:space="preserve"> </w:t>
      </w:r>
      <w:hyperlink r:id="rId1" w:history="1">
        <w:r w:rsidR="00FA3664" w:rsidRPr="003E5062">
          <w:rPr>
            <w:rStyle w:val="Hyperlink"/>
            <w:rFonts w:ascii="Times New Roman" w:hAnsi="Times New Roman" w:cs="Times New Roman"/>
          </w:rPr>
          <w:t>https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://</w:t>
        </w:r>
        <w:r w:rsidR="00FA3664" w:rsidRPr="003E5062">
          <w:rPr>
            <w:rStyle w:val="Hyperlink"/>
            <w:rFonts w:ascii="Times New Roman" w:hAnsi="Times New Roman" w:cs="Times New Roman"/>
          </w:rPr>
          <w:t>www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.</w:t>
        </w:r>
        <w:proofErr w:type="spellStart"/>
        <w:r w:rsidR="00FA3664" w:rsidRPr="003E5062">
          <w:rPr>
            <w:rStyle w:val="Hyperlink"/>
            <w:rFonts w:ascii="Times New Roman" w:hAnsi="Times New Roman" w:cs="Times New Roman"/>
          </w:rPr>
          <w:t>dw</w:t>
        </w:r>
        <w:proofErr w:type="spellEnd"/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.</w:t>
        </w:r>
        <w:r w:rsidR="00FA3664" w:rsidRPr="003E5062">
          <w:rPr>
            <w:rStyle w:val="Hyperlink"/>
            <w:rFonts w:ascii="Times New Roman" w:hAnsi="Times New Roman" w:cs="Times New Roman"/>
          </w:rPr>
          <w:t>com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/</w:t>
        </w:r>
        <w:proofErr w:type="spellStart"/>
        <w:r w:rsidR="00FA3664" w:rsidRPr="003E5062">
          <w:rPr>
            <w:rStyle w:val="Hyperlink"/>
            <w:rFonts w:ascii="Times New Roman" w:hAnsi="Times New Roman" w:cs="Times New Roman"/>
          </w:rPr>
          <w:t>en</w:t>
        </w:r>
        <w:proofErr w:type="spellEnd"/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A3664" w:rsidRPr="003E5062">
          <w:rPr>
            <w:rStyle w:val="Hyperlink"/>
            <w:rFonts w:ascii="Times New Roman" w:hAnsi="Times New Roman" w:cs="Times New Roman"/>
          </w:rPr>
          <w:t>afghan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refugees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in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proofErr w:type="spellStart"/>
        <w:r w:rsidR="00FA3664" w:rsidRPr="003E5062">
          <w:rPr>
            <w:rStyle w:val="Hyperlink"/>
            <w:rFonts w:ascii="Times New Roman" w:hAnsi="Times New Roman" w:cs="Times New Roman"/>
          </w:rPr>
          <w:t>uzbekistan</w:t>
        </w:r>
        <w:proofErr w:type="spellEnd"/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live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in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uncertainty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facing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</w:t>
        </w:r>
        <w:r w:rsidR="00FA3664" w:rsidRPr="003E5062">
          <w:rPr>
            <w:rStyle w:val="Hyperlink"/>
            <w:rFonts w:ascii="Times New Roman" w:hAnsi="Times New Roman" w:cs="Times New Roman"/>
          </w:rPr>
          <w:t>deportation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A3664" w:rsidRPr="003E5062">
          <w:rPr>
            <w:rStyle w:val="Hyperlink"/>
            <w:rFonts w:ascii="Times New Roman" w:hAnsi="Times New Roman" w:cs="Times New Roman"/>
          </w:rPr>
          <w:t>a</w:t>
        </w:r>
        <w:r w:rsidR="00FA3664" w:rsidRPr="003E5062">
          <w:rPr>
            <w:rStyle w:val="Hyperlink"/>
            <w:rFonts w:ascii="Times New Roman" w:hAnsi="Times New Roman" w:cs="Times New Roman"/>
            <w:lang w:val="ru-RU"/>
          </w:rPr>
          <w:t>-59710250</w:t>
        </w:r>
      </w:hyperlink>
      <w:r w:rsidR="00FA3664" w:rsidRPr="00FA3664">
        <w:rPr>
          <w:rFonts w:ascii="Times New Roman" w:hAnsi="Times New Roman" w:cs="Times New Roman"/>
          <w:lang w:val="ru-RU"/>
        </w:rPr>
        <w:t xml:space="preserve"> </w:t>
      </w:r>
    </w:p>
  </w:footnote>
  <w:footnote w:id="28">
    <w:p w14:paraId="1BB89060" w14:textId="03DC9A24" w:rsidR="00E72203" w:rsidRPr="007F6411" w:rsidRDefault="00E72203" w:rsidP="00E72203">
      <w:pPr>
        <w:pStyle w:val="FootnoteText"/>
        <w:rPr>
          <w:rFonts w:cstheme="minorHAnsi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1652DC" w:rsidRPr="002E2E99">
        <w:rPr>
          <w:rFonts w:ascii="Times New Roman" w:hAnsi="Times New Roman" w:cs="Times New Roman"/>
          <w:lang w:val="ru-RU"/>
        </w:rPr>
        <w:t>Она подтверждает, что в Узбекистане находятся 13 подмандатных беженцев</w:t>
      </w:r>
      <w:r w:rsidR="007F6411" w:rsidRPr="002E2E99">
        <w:rPr>
          <w:rFonts w:ascii="Times New Roman" w:hAnsi="Times New Roman" w:cs="Times New Roman"/>
          <w:lang w:val="ru-RU"/>
        </w:rPr>
        <w:t xml:space="preserve"> и поддерживает мнение УВКБ </w:t>
      </w:r>
      <w:r w:rsidR="00865226" w:rsidRPr="002E2E99">
        <w:rPr>
          <w:rFonts w:ascii="Times New Roman" w:hAnsi="Times New Roman" w:cs="Times New Roman"/>
          <w:lang w:val="ru-RU"/>
        </w:rPr>
        <w:t xml:space="preserve">ООН </w:t>
      </w:r>
      <w:r w:rsidR="007F6411" w:rsidRPr="002E2E99">
        <w:rPr>
          <w:rFonts w:ascii="Times New Roman" w:hAnsi="Times New Roman" w:cs="Times New Roman"/>
          <w:lang w:val="ru-RU"/>
        </w:rPr>
        <w:t>касательно легализации их статуса, в частности</w:t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="007F6411" w:rsidRPr="002E2E99">
        <w:rPr>
          <w:rFonts w:ascii="Times New Roman" w:hAnsi="Times New Roman" w:cs="Times New Roman"/>
          <w:lang w:val="ru-RU"/>
        </w:rPr>
        <w:t>натурализации</w:t>
      </w:r>
      <w:r w:rsidRPr="002E2E99">
        <w:rPr>
          <w:rFonts w:ascii="Times New Roman" w:hAnsi="Times New Roman" w:cs="Times New Roman"/>
          <w:lang w:val="ru-RU"/>
        </w:rPr>
        <w:t>.</w:t>
      </w:r>
    </w:p>
  </w:footnote>
  <w:footnote w:id="29">
    <w:p w14:paraId="36778EE0" w14:textId="77777777" w:rsidR="00A2390E" w:rsidRPr="002E2E99" w:rsidRDefault="00A2390E" w:rsidP="00A2390E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</w:t>
      </w:r>
      <w:r w:rsidRPr="002E2E99">
        <w:rPr>
          <w:rFonts w:ascii="Times New Roman" w:hAnsi="Times New Roman" w:cs="Times New Roman"/>
          <w:lang w:val="en-US"/>
        </w:rPr>
        <w:t>A</w:t>
      </w:r>
      <w:r w:rsidRPr="002E2E99">
        <w:rPr>
          <w:rFonts w:ascii="Times New Roman" w:hAnsi="Times New Roman" w:cs="Times New Roman"/>
          <w:lang w:val="ru-RU"/>
        </w:rPr>
        <w:t>/</w:t>
      </w:r>
      <w:r w:rsidRPr="002E2E99">
        <w:rPr>
          <w:rFonts w:ascii="Times New Roman" w:hAnsi="Times New Roman" w:cs="Times New Roman"/>
          <w:lang w:val="en-US"/>
        </w:rPr>
        <w:t>HRC</w:t>
      </w:r>
      <w:r w:rsidRPr="002E2E99">
        <w:rPr>
          <w:rFonts w:ascii="Times New Roman" w:hAnsi="Times New Roman" w:cs="Times New Roman"/>
          <w:lang w:val="ru-RU"/>
        </w:rPr>
        <w:t xml:space="preserve">/40/52 Доклад Специального докладчика по вопросу о поощрении и защите прав человека и основных свобод в условиях борьбы с терроризмом о влиянии мер по борьбе с терроризмом и насильственным экстремизмом на гражданское пространство и права </w:t>
      </w:r>
      <w:proofErr w:type="spellStart"/>
      <w:r w:rsidRPr="002E2E99">
        <w:rPr>
          <w:rFonts w:ascii="Times New Roman" w:hAnsi="Times New Roman" w:cs="Times New Roman"/>
          <w:lang w:val="ru-RU"/>
        </w:rPr>
        <w:t>акторов</w:t>
      </w:r>
      <w:proofErr w:type="spellEnd"/>
      <w:r w:rsidRPr="002E2E99">
        <w:rPr>
          <w:rFonts w:ascii="Times New Roman" w:hAnsi="Times New Roman" w:cs="Times New Roman"/>
          <w:lang w:val="ru-RU"/>
        </w:rPr>
        <w:t xml:space="preserve"> гражданского общества и правозащитников (2019)</w:t>
      </w:r>
    </w:p>
  </w:footnote>
  <w:footnote w:id="30">
    <w:p w14:paraId="7BE78D90" w14:textId="77777777" w:rsidR="00A2390E" w:rsidRPr="002E2E99" w:rsidRDefault="00A2390E" w:rsidP="00A2390E">
      <w:pPr>
        <w:pStyle w:val="FootnoteText"/>
        <w:rPr>
          <w:rFonts w:ascii="Times New Roman" w:hAnsi="Times New Roman" w:cs="Times New Roman"/>
          <w:lang w:val="ru-RU"/>
        </w:rPr>
      </w:pPr>
      <w:r w:rsidRPr="002E2E99">
        <w:rPr>
          <w:rStyle w:val="FootnoteReference"/>
          <w:rFonts w:ascii="Times New Roman" w:hAnsi="Times New Roman" w:cs="Times New Roman"/>
        </w:rPr>
        <w:footnoteRef/>
      </w:r>
      <w:r w:rsidRPr="002E2E99">
        <w:rPr>
          <w:rFonts w:ascii="Times New Roman" w:hAnsi="Times New Roman" w:cs="Times New Roman"/>
          <w:lang w:val="ru-RU"/>
        </w:rPr>
        <w:t xml:space="preserve"> Выступление Президента </w:t>
      </w:r>
      <w:proofErr w:type="spellStart"/>
      <w:r w:rsidRPr="002E2E99">
        <w:rPr>
          <w:rFonts w:ascii="Times New Roman" w:hAnsi="Times New Roman" w:cs="Times New Roman"/>
          <w:lang w:val="ru-RU"/>
        </w:rPr>
        <w:t>Шавката</w:t>
      </w:r>
      <w:proofErr w:type="spellEnd"/>
      <w:r w:rsidRPr="002E2E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E2E99">
        <w:rPr>
          <w:rFonts w:ascii="Times New Roman" w:hAnsi="Times New Roman" w:cs="Times New Roman"/>
          <w:lang w:val="ru-RU"/>
        </w:rPr>
        <w:t>Мирзиёева</w:t>
      </w:r>
      <w:proofErr w:type="spellEnd"/>
      <w:r w:rsidRPr="002E2E99">
        <w:rPr>
          <w:rFonts w:ascii="Times New Roman" w:hAnsi="Times New Roman" w:cs="Times New Roman"/>
          <w:lang w:val="ru-RU"/>
        </w:rPr>
        <w:t xml:space="preserve"> на 46-й сессии Совета по правам человека Организации Объединенных Наций </w:t>
      </w:r>
      <w:r w:rsidRPr="002E2E99">
        <w:rPr>
          <w:rFonts w:ascii="Times New Roman" w:hAnsi="Times New Roman" w:cs="Times New Roman"/>
          <w:lang w:val="en-US"/>
        </w:rPr>
        <w:t>https</w:t>
      </w:r>
      <w:r w:rsidRPr="002E2E99">
        <w:rPr>
          <w:rFonts w:ascii="Times New Roman" w:hAnsi="Times New Roman" w:cs="Times New Roman"/>
          <w:lang w:val="ru-RU"/>
        </w:rPr>
        <w:t>://</w:t>
      </w:r>
      <w:r w:rsidRPr="002E2E99">
        <w:rPr>
          <w:rFonts w:ascii="Times New Roman" w:hAnsi="Times New Roman" w:cs="Times New Roman"/>
          <w:lang w:val="en-US"/>
        </w:rPr>
        <w:t>www</w:t>
      </w:r>
      <w:r w:rsidRPr="002E2E99">
        <w:rPr>
          <w:rFonts w:ascii="Times New Roman" w:hAnsi="Times New Roman" w:cs="Times New Roman"/>
          <w:lang w:val="ru-RU"/>
        </w:rPr>
        <w:t>.</w:t>
      </w:r>
      <w:r w:rsidRPr="002E2E99">
        <w:rPr>
          <w:rFonts w:ascii="Times New Roman" w:hAnsi="Times New Roman" w:cs="Times New Roman"/>
          <w:lang w:val="en-US"/>
        </w:rPr>
        <w:t>un</w:t>
      </w:r>
      <w:r w:rsidRPr="002E2E99">
        <w:rPr>
          <w:rFonts w:ascii="Times New Roman" w:hAnsi="Times New Roman" w:cs="Times New Roman"/>
          <w:lang w:val="ru-RU"/>
        </w:rPr>
        <w:t>.</w:t>
      </w:r>
      <w:r w:rsidRPr="002E2E99">
        <w:rPr>
          <w:rFonts w:ascii="Times New Roman" w:hAnsi="Times New Roman" w:cs="Times New Roman"/>
          <w:lang w:val="en-US"/>
        </w:rPr>
        <w:t>int</w:t>
      </w:r>
      <w:r w:rsidRPr="002E2E99">
        <w:rPr>
          <w:rFonts w:ascii="Times New Roman" w:hAnsi="Times New Roman" w:cs="Times New Roman"/>
          <w:lang w:val="ru-RU"/>
        </w:rPr>
        <w:t>/</w:t>
      </w:r>
      <w:proofErr w:type="spellStart"/>
      <w:r w:rsidRPr="002E2E99">
        <w:rPr>
          <w:rFonts w:ascii="Times New Roman" w:hAnsi="Times New Roman" w:cs="Times New Roman"/>
          <w:lang w:val="en-US"/>
        </w:rPr>
        <w:t>uzbekistan</w:t>
      </w:r>
      <w:proofErr w:type="spellEnd"/>
      <w:r w:rsidRPr="002E2E99">
        <w:rPr>
          <w:rFonts w:ascii="Times New Roman" w:hAnsi="Times New Roman" w:cs="Times New Roman"/>
          <w:lang w:val="ru-RU"/>
        </w:rPr>
        <w:t>/</w:t>
      </w:r>
      <w:r w:rsidRPr="002E2E99">
        <w:rPr>
          <w:rFonts w:ascii="Times New Roman" w:hAnsi="Times New Roman" w:cs="Times New Roman"/>
          <w:lang w:val="en-US"/>
        </w:rPr>
        <w:t>news</w:t>
      </w:r>
      <w:r w:rsidRPr="002E2E99">
        <w:rPr>
          <w:rFonts w:ascii="Times New Roman" w:hAnsi="Times New Roman" w:cs="Times New Roman"/>
          <w:lang w:val="ru-RU"/>
        </w:rPr>
        <w:t>/</w:t>
      </w:r>
      <w:r w:rsidRPr="002E2E99">
        <w:rPr>
          <w:rFonts w:ascii="Times New Roman" w:hAnsi="Times New Roman" w:cs="Times New Roman"/>
          <w:lang w:val="en-US"/>
        </w:rPr>
        <w:t>speech</w:t>
      </w:r>
      <w:r w:rsidRPr="002E2E99">
        <w:rPr>
          <w:rFonts w:ascii="Times New Roman" w:hAnsi="Times New Roman" w:cs="Times New Roman"/>
          <w:lang w:val="ru-RU"/>
        </w:rPr>
        <w:t>-</w:t>
      </w:r>
      <w:r w:rsidRPr="002E2E99">
        <w:rPr>
          <w:rFonts w:ascii="Times New Roman" w:hAnsi="Times New Roman" w:cs="Times New Roman"/>
          <w:lang w:val="en-US"/>
        </w:rPr>
        <w:t>president</w:t>
      </w:r>
      <w:r w:rsidRPr="002E2E99">
        <w:rPr>
          <w:rFonts w:ascii="Times New Roman" w:hAnsi="Times New Roman" w:cs="Times New Roman"/>
          <w:lang w:val="ru-RU"/>
        </w:rPr>
        <w:t>-</w:t>
      </w:r>
      <w:r w:rsidRPr="002E2E99">
        <w:rPr>
          <w:rFonts w:ascii="Times New Roman" w:hAnsi="Times New Roman" w:cs="Times New Roman"/>
          <w:lang w:val="en-US"/>
        </w:rPr>
        <w:t>republic</w:t>
      </w:r>
      <w:r w:rsidRPr="002E2E99">
        <w:rPr>
          <w:rFonts w:ascii="Times New Roman" w:hAnsi="Times New Roman" w:cs="Times New Roman"/>
          <w:lang w:val="ru-RU"/>
        </w:rPr>
        <w:t>-</w:t>
      </w:r>
      <w:proofErr w:type="spellStart"/>
      <w:r w:rsidRPr="002E2E99">
        <w:rPr>
          <w:rFonts w:ascii="Times New Roman" w:hAnsi="Times New Roman" w:cs="Times New Roman"/>
          <w:lang w:val="en-US"/>
        </w:rPr>
        <w:t>uzbekistan</w:t>
      </w:r>
      <w:proofErr w:type="spellEnd"/>
      <w:r w:rsidRPr="002E2E99">
        <w:rPr>
          <w:rFonts w:ascii="Times New Roman" w:hAnsi="Times New Roman" w:cs="Times New Roman"/>
          <w:lang w:val="ru-RU"/>
        </w:rPr>
        <w:t>-</w:t>
      </w:r>
      <w:proofErr w:type="spellStart"/>
      <w:r w:rsidRPr="002E2E99">
        <w:rPr>
          <w:rFonts w:ascii="Times New Roman" w:hAnsi="Times New Roman" w:cs="Times New Roman"/>
          <w:lang w:val="en-US"/>
        </w:rPr>
        <w:t>shavkat</w:t>
      </w:r>
      <w:proofErr w:type="spellEnd"/>
      <w:r w:rsidRPr="002E2E99">
        <w:rPr>
          <w:rFonts w:ascii="Times New Roman" w:hAnsi="Times New Roman" w:cs="Times New Roman"/>
          <w:lang w:val="ru-RU"/>
        </w:rPr>
        <w:t>-</w:t>
      </w:r>
      <w:proofErr w:type="spellStart"/>
      <w:r w:rsidRPr="002E2E99">
        <w:rPr>
          <w:rFonts w:ascii="Times New Roman" w:hAnsi="Times New Roman" w:cs="Times New Roman"/>
          <w:lang w:val="en-US"/>
        </w:rPr>
        <w:t>mirziyoyev</w:t>
      </w:r>
      <w:proofErr w:type="spellEnd"/>
      <w:r w:rsidRPr="002E2E99">
        <w:rPr>
          <w:rFonts w:ascii="Times New Roman" w:hAnsi="Times New Roman" w:cs="Times New Roman"/>
          <w:lang w:val="ru-RU"/>
        </w:rPr>
        <w:t>-46</w:t>
      </w:r>
      <w:proofErr w:type="spellStart"/>
      <w:r w:rsidRPr="002E2E99">
        <w:rPr>
          <w:rFonts w:ascii="Times New Roman" w:hAnsi="Times New Roman" w:cs="Times New Roman"/>
          <w:lang w:val="en-US"/>
        </w:rPr>
        <w:t>th</w:t>
      </w:r>
      <w:proofErr w:type="spellEnd"/>
      <w:r w:rsidRPr="002E2E99">
        <w:rPr>
          <w:rFonts w:ascii="Times New Roman" w:hAnsi="Times New Roman" w:cs="Times New Roman"/>
          <w:lang w:val="ru-RU"/>
        </w:rPr>
        <w:t>-</w:t>
      </w:r>
      <w:r w:rsidRPr="002E2E99">
        <w:rPr>
          <w:rFonts w:ascii="Times New Roman" w:hAnsi="Times New Roman" w:cs="Times New Roman"/>
          <w:lang w:val="en-US"/>
        </w:rPr>
        <w:t>session</w:t>
      </w:r>
      <w:r w:rsidRPr="002E2E99">
        <w:rPr>
          <w:rFonts w:ascii="Times New Roman" w:hAnsi="Times New Roman" w:cs="Times New Roman"/>
          <w:lang w:val="ru-RU"/>
        </w:rPr>
        <w:t>-</w:t>
      </w:r>
      <w:r w:rsidRPr="002E2E99">
        <w:rPr>
          <w:rFonts w:ascii="Times New Roman" w:hAnsi="Times New Roman" w:cs="Times New Roman"/>
          <w:lang w:val="en-US"/>
        </w:rPr>
        <w:t>united</w:t>
      </w:r>
      <w:r w:rsidRPr="002E2E99">
        <w:rPr>
          <w:rFonts w:ascii="Times New Roman" w:hAnsi="Times New Roman" w:cs="Times New Roman"/>
          <w:lang w:val="ru-RU"/>
        </w:rPr>
        <w:t>-</w:t>
      </w:r>
      <w:r w:rsidRPr="002E2E99">
        <w:rPr>
          <w:rFonts w:ascii="Times New Roman" w:hAnsi="Times New Roman" w:cs="Times New Roman"/>
          <w:lang w:val="en-US"/>
        </w:rPr>
        <w:t>nations</w:t>
      </w:r>
      <w:r w:rsidRPr="002E2E99">
        <w:rPr>
          <w:rFonts w:ascii="Times New Roman" w:hAnsi="Times New Roman" w:cs="Times New Roman"/>
          <w:lang w:val="ru-RU"/>
        </w:rPr>
        <w:t>-</w:t>
      </w:r>
      <w:r w:rsidRPr="002E2E99">
        <w:rPr>
          <w:rFonts w:ascii="Times New Roman" w:hAnsi="Times New Roman" w:cs="Times New Roman"/>
          <w:lang w:val="en-US"/>
        </w:rPr>
        <w:t>human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2B7" w14:textId="6F6FA259" w:rsidR="0010299A" w:rsidRPr="0010299A" w:rsidRDefault="0010299A" w:rsidP="0010299A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C24"/>
    <w:multiLevelType w:val="hybridMultilevel"/>
    <w:tmpl w:val="9AC4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61BF"/>
    <w:multiLevelType w:val="hybridMultilevel"/>
    <w:tmpl w:val="13CCC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5B75"/>
    <w:multiLevelType w:val="hybridMultilevel"/>
    <w:tmpl w:val="B9B6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7654"/>
    <w:multiLevelType w:val="hybridMultilevel"/>
    <w:tmpl w:val="B26C7E7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261E"/>
    <w:multiLevelType w:val="hybridMultilevel"/>
    <w:tmpl w:val="FCC4B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6F0"/>
    <w:multiLevelType w:val="hybridMultilevel"/>
    <w:tmpl w:val="AC3276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1A80"/>
    <w:multiLevelType w:val="hybridMultilevel"/>
    <w:tmpl w:val="95D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32D6"/>
    <w:multiLevelType w:val="hybridMultilevel"/>
    <w:tmpl w:val="DE2A7EB8"/>
    <w:lvl w:ilvl="0" w:tplc="E004A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B607D"/>
    <w:multiLevelType w:val="hybridMultilevel"/>
    <w:tmpl w:val="FCC4B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1314"/>
    <w:multiLevelType w:val="hybridMultilevel"/>
    <w:tmpl w:val="24E8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25"/>
    <w:multiLevelType w:val="hybridMultilevel"/>
    <w:tmpl w:val="F57E9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F028F"/>
    <w:multiLevelType w:val="hybridMultilevel"/>
    <w:tmpl w:val="47A4E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7212"/>
    <w:multiLevelType w:val="hybridMultilevel"/>
    <w:tmpl w:val="3CCA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0B1B"/>
    <w:multiLevelType w:val="hybridMultilevel"/>
    <w:tmpl w:val="B26C7E74"/>
    <w:lvl w:ilvl="0" w:tplc="8B140C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2557E"/>
    <w:multiLevelType w:val="hybridMultilevel"/>
    <w:tmpl w:val="3434F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75"/>
    <w:rsid w:val="000012AD"/>
    <w:rsid w:val="00025416"/>
    <w:rsid w:val="00027673"/>
    <w:rsid w:val="00035ACE"/>
    <w:rsid w:val="0004784C"/>
    <w:rsid w:val="000520B5"/>
    <w:rsid w:val="00073FCA"/>
    <w:rsid w:val="00082CF7"/>
    <w:rsid w:val="00090E87"/>
    <w:rsid w:val="000961A3"/>
    <w:rsid w:val="000C2ADB"/>
    <w:rsid w:val="000D4441"/>
    <w:rsid w:val="0010299A"/>
    <w:rsid w:val="00103560"/>
    <w:rsid w:val="001144CE"/>
    <w:rsid w:val="0012539A"/>
    <w:rsid w:val="001372FD"/>
    <w:rsid w:val="0014224C"/>
    <w:rsid w:val="00144AF4"/>
    <w:rsid w:val="001525B7"/>
    <w:rsid w:val="00161AF2"/>
    <w:rsid w:val="001652DC"/>
    <w:rsid w:val="00174D58"/>
    <w:rsid w:val="0017692A"/>
    <w:rsid w:val="00184607"/>
    <w:rsid w:val="00185530"/>
    <w:rsid w:val="00190B69"/>
    <w:rsid w:val="001960F6"/>
    <w:rsid w:val="001D2F5B"/>
    <w:rsid w:val="00226932"/>
    <w:rsid w:val="00237F66"/>
    <w:rsid w:val="00241B75"/>
    <w:rsid w:val="002639FE"/>
    <w:rsid w:val="00264FD1"/>
    <w:rsid w:val="00274870"/>
    <w:rsid w:val="00281067"/>
    <w:rsid w:val="00281C21"/>
    <w:rsid w:val="002873AB"/>
    <w:rsid w:val="002944E4"/>
    <w:rsid w:val="002A7842"/>
    <w:rsid w:val="002B26E5"/>
    <w:rsid w:val="002C1735"/>
    <w:rsid w:val="002C344A"/>
    <w:rsid w:val="002E2E99"/>
    <w:rsid w:val="00304508"/>
    <w:rsid w:val="003046B3"/>
    <w:rsid w:val="00310E86"/>
    <w:rsid w:val="00313160"/>
    <w:rsid w:val="00322EB8"/>
    <w:rsid w:val="003230C1"/>
    <w:rsid w:val="00323220"/>
    <w:rsid w:val="00330AC5"/>
    <w:rsid w:val="00335D88"/>
    <w:rsid w:val="00342DE2"/>
    <w:rsid w:val="00367C3D"/>
    <w:rsid w:val="003808D1"/>
    <w:rsid w:val="00381E62"/>
    <w:rsid w:val="00387034"/>
    <w:rsid w:val="00393AAA"/>
    <w:rsid w:val="0039772E"/>
    <w:rsid w:val="003C09D3"/>
    <w:rsid w:val="003C58F3"/>
    <w:rsid w:val="003D00C9"/>
    <w:rsid w:val="003D0803"/>
    <w:rsid w:val="003E205D"/>
    <w:rsid w:val="00402C17"/>
    <w:rsid w:val="00405B59"/>
    <w:rsid w:val="00415896"/>
    <w:rsid w:val="00427D45"/>
    <w:rsid w:val="004402E0"/>
    <w:rsid w:val="00440AF4"/>
    <w:rsid w:val="00445EA1"/>
    <w:rsid w:val="00445F62"/>
    <w:rsid w:val="00476384"/>
    <w:rsid w:val="00480236"/>
    <w:rsid w:val="00484959"/>
    <w:rsid w:val="004A6FAF"/>
    <w:rsid w:val="004A7C52"/>
    <w:rsid w:val="004B0394"/>
    <w:rsid w:val="004C64C6"/>
    <w:rsid w:val="004D4EEF"/>
    <w:rsid w:val="004E4B32"/>
    <w:rsid w:val="004F0E9D"/>
    <w:rsid w:val="004F2248"/>
    <w:rsid w:val="004F5DE2"/>
    <w:rsid w:val="00512BC8"/>
    <w:rsid w:val="005216EC"/>
    <w:rsid w:val="00542A34"/>
    <w:rsid w:val="0054323A"/>
    <w:rsid w:val="00553EBE"/>
    <w:rsid w:val="0056731E"/>
    <w:rsid w:val="0057162A"/>
    <w:rsid w:val="00584042"/>
    <w:rsid w:val="0059177E"/>
    <w:rsid w:val="00591CC0"/>
    <w:rsid w:val="00595157"/>
    <w:rsid w:val="005A6EE8"/>
    <w:rsid w:val="005D0B08"/>
    <w:rsid w:val="005D4FFC"/>
    <w:rsid w:val="005E72E8"/>
    <w:rsid w:val="005F5C02"/>
    <w:rsid w:val="005F6138"/>
    <w:rsid w:val="00633904"/>
    <w:rsid w:val="00635DE7"/>
    <w:rsid w:val="006431FB"/>
    <w:rsid w:val="00643D17"/>
    <w:rsid w:val="00652BE0"/>
    <w:rsid w:val="00656708"/>
    <w:rsid w:val="00661B0D"/>
    <w:rsid w:val="006C4B54"/>
    <w:rsid w:val="006D5C4F"/>
    <w:rsid w:val="006D6799"/>
    <w:rsid w:val="006E3386"/>
    <w:rsid w:val="006E3CEA"/>
    <w:rsid w:val="006E497C"/>
    <w:rsid w:val="00702530"/>
    <w:rsid w:val="00724A06"/>
    <w:rsid w:val="0074192A"/>
    <w:rsid w:val="007525A8"/>
    <w:rsid w:val="0075406F"/>
    <w:rsid w:val="00771CCA"/>
    <w:rsid w:val="00787E0E"/>
    <w:rsid w:val="007B3A02"/>
    <w:rsid w:val="007D301F"/>
    <w:rsid w:val="007D332D"/>
    <w:rsid w:val="007F6411"/>
    <w:rsid w:val="00806488"/>
    <w:rsid w:val="0083728C"/>
    <w:rsid w:val="008419EB"/>
    <w:rsid w:val="00842155"/>
    <w:rsid w:val="00853EE3"/>
    <w:rsid w:val="0086346A"/>
    <w:rsid w:val="00865226"/>
    <w:rsid w:val="00881FF5"/>
    <w:rsid w:val="00887FFE"/>
    <w:rsid w:val="00894A53"/>
    <w:rsid w:val="00895648"/>
    <w:rsid w:val="008A54B0"/>
    <w:rsid w:val="008C79C0"/>
    <w:rsid w:val="008D58E1"/>
    <w:rsid w:val="00902321"/>
    <w:rsid w:val="00903D75"/>
    <w:rsid w:val="00905A27"/>
    <w:rsid w:val="009322E4"/>
    <w:rsid w:val="00956B25"/>
    <w:rsid w:val="00982682"/>
    <w:rsid w:val="009A101C"/>
    <w:rsid w:val="009B3AAF"/>
    <w:rsid w:val="009F3EBD"/>
    <w:rsid w:val="00A01FC9"/>
    <w:rsid w:val="00A051F3"/>
    <w:rsid w:val="00A17298"/>
    <w:rsid w:val="00A22155"/>
    <w:rsid w:val="00A238AE"/>
    <w:rsid w:val="00A2390E"/>
    <w:rsid w:val="00A51C00"/>
    <w:rsid w:val="00A77797"/>
    <w:rsid w:val="00A860B6"/>
    <w:rsid w:val="00A91FC6"/>
    <w:rsid w:val="00A9714A"/>
    <w:rsid w:val="00AA352C"/>
    <w:rsid w:val="00AA6822"/>
    <w:rsid w:val="00AD61FB"/>
    <w:rsid w:val="00B06884"/>
    <w:rsid w:val="00B127F7"/>
    <w:rsid w:val="00B328A0"/>
    <w:rsid w:val="00B42564"/>
    <w:rsid w:val="00B6375B"/>
    <w:rsid w:val="00B65221"/>
    <w:rsid w:val="00B8140E"/>
    <w:rsid w:val="00B91948"/>
    <w:rsid w:val="00BB5978"/>
    <w:rsid w:val="00BC60F9"/>
    <w:rsid w:val="00C04BBA"/>
    <w:rsid w:val="00C22ABA"/>
    <w:rsid w:val="00C249DE"/>
    <w:rsid w:val="00C541F5"/>
    <w:rsid w:val="00C61A4F"/>
    <w:rsid w:val="00C711CA"/>
    <w:rsid w:val="00C7619A"/>
    <w:rsid w:val="00C771E7"/>
    <w:rsid w:val="00C81E71"/>
    <w:rsid w:val="00C82CA9"/>
    <w:rsid w:val="00C93746"/>
    <w:rsid w:val="00CA1DC8"/>
    <w:rsid w:val="00CD3BA4"/>
    <w:rsid w:val="00CF1608"/>
    <w:rsid w:val="00CF2287"/>
    <w:rsid w:val="00D00DD9"/>
    <w:rsid w:val="00D02060"/>
    <w:rsid w:val="00D03F40"/>
    <w:rsid w:val="00D11646"/>
    <w:rsid w:val="00D13A2C"/>
    <w:rsid w:val="00D208B3"/>
    <w:rsid w:val="00D450FE"/>
    <w:rsid w:val="00D8717D"/>
    <w:rsid w:val="00D928E5"/>
    <w:rsid w:val="00DA0646"/>
    <w:rsid w:val="00DB517A"/>
    <w:rsid w:val="00DD4805"/>
    <w:rsid w:val="00DF27D4"/>
    <w:rsid w:val="00E603F7"/>
    <w:rsid w:val="00E6252E"/>
    <w:rsid w:val="00E63F51"/>
    <w:rsid w:val="00E72203"/>
    <w:rsid w:val="00E96373"/>
    <w:rsid w:val="00E975ED"/>
    <w:rsid w:val="00EB21AA"/>
    <w:rsid w:val="00EC211D"/>
    <w:rsid w:val="00EC7C9C"/>
    <w:rsid w:val="00ED01EC"/>
    <w:rsid w:val="00ED0796"/>
    <w:rsid w:val="00EF2E82"/>
    <w:rsid w:val="00F10879"/>
    <w:rsid w:val="00F1242B"/>
    <w:rsid w:val="00F12B51"/>
    <w:rsid w:val="00F41C38"/>
    <w:rsid w:val="00F450A0"/>
    <w:rsid w:val="00F631B8"/>
    <w:rsid w:val="00F75196"/>
    <w:rsid w:val="00F81941"/>
    <w:rsid w:val="00F87049"/>
    <w:rsid w:val="00F90056"/>
    <w:rsid w:val="00FA3664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33DEA"/>
  <w14:defaultImageDpi w14:val="32767"/>
  <w15:chartTrackingRefBased/>
  <w15:docId w15:val="{AE6603A6-A0FF-034B-8FF4-9C2D8CAA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5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25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25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2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1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9A"/>
  </w:style>
  <w:style w:type="paragraph" w:styleId="Footer">
    <w:name w:val="footer"/>
    <w:basedOn w:val="Normal"/>
    <w:link w:val="FooterChar"/>
    <w:uiPriority w:val="99"/>
    <w:unhideWhenUsed/>
    <w:rsid w:val="00C7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9A"/>
  </w:style>
  <w:style w:type="paragraph" w:styleId="NoSpacing">
    <w:name w:val="No Spacing"/>
    <w:uiPriority w:val="1"/>
    <w:qFormat/>
    <w:rsid w:val="003230C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D03F40"/>
  </w:style>
  <w:style w:type="paragraph" w:styleId="BalloonText">
    <w:name w:val="Balloon Text"/>
    <w:basedOn w:val="Normal"/>
    <w:link w:val="BalloonTextChar"/>
    <w:uiPriority w:val="99"/>
    <w:semiHidden/>
    <w:unhideWhenUsed/>
    <w:rsid w:val="0041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w.com/en/afghan-refugees-in-uzbekistan-live-in-uncertainty-facing-deportation/a-59710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0F062-CF3B-453C-A094-8583890F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8106</Words>
  <Characters>46205</Characters>
  <Application>Microsoft Office Word</Application>
  <DocSecurity>0</DocSecurity>
  <Lines>385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Ni Aolain</dc:creator>
  <cp:keywords/>
  <dc:description/>
  <cp:lastModifiedBy>Natalia Dormidontova</cp:lastModifiedBy>
  <cp:revision>3</cp:revision>
  <cp:lastPrinted>2021-12-07T04:40:00Z</cp:lastPrinted>
  <dcterms:created xsi:type="dcterms:W3CDTF">2021-12-07T10:41:00Z</dcterms:created>
  <dcterms:modified xsi:type="dcterms:W3CDTF">2021-12-07T10:49:00Z</dcterms:modified>
</cp:coreProperties>
</file>