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0592B" w14:textId="1A8B2CE7" w:rsidR="009422FA" w:rsidRPr="009422FA" w:rsidRDefault="009422FA" w:rsidP="009422FA">
      <w:pPr>
        <w:pStyle w:val="Heading2"/>
        <w:rPr>
          <w:b/>
          <w:color w:val="339933"/>
          <w:kern w:val="32"/>
          <w:sz w:val="32"/>
          <w:szCs w:val="40"/>
        </w:rPr>
      </w:pPr>
      <w:bookmarkStart w:id="0" w:name="_GoBack"/>
      <w:bookmarkEnd w:id="0"/>
      <w:r w:rsidRPr="009422FA">
        <w:rPr>
          <w:b/>
          <w:color w:val="339933"/>
          <w:kern w:val="32"/>
          <w:sz w:val="32"/>
          <w:szCs w:val="40"/>
        </w:rPr>
        <w:t>Observaciones al proyecto de observación general sobre el artículo 27 relativo al derecho de las personas con discapacidad al trabajo y al empleo</w:t>
      </w:r>
    </w:p>
    <w:p w14:paraId="00148578" w14:textId="77777777" w:rsidR="009422FA" w:rsidRPr="009422FA" w:rsidRDefault="009422FA" w:rsidP="00266F46">
      <w:pPr>
        <w:pStyle w:val="Heading2"/>
        <w:rPr>
          <w:color w:val="339933"/>
          <w:sz w:val="32"/>
          <w:szCs w:val="32"/>
          <w:lang w:val="es-ES_tradnl"/>
        </w:rPr>
      </w:pPr>
    </w:p>
    <w:p w14:paraId="70B067EB" w14:textId="736B8D31" w:rsidR="00A84D91" w:rsidRPr="009422FA" w:rsidRDefault="0057705F" w:rsidP="00266F46">
      <w:pPr>
        <w:pStyle w:val="Heading2"/>
        <w:rPr>
          <w:color w:val="339933"/>
          <w:sz w:val="32"/>
          <w:szCs w:val="32"/>
          <w:lang w:val="es-ES_tradnl"/>
        </w:rPr>
      </w:pPr>
      <w:r w:rsidRPr="009422FA">
        <w:rPr>
          <w:color w:val="339933"/>
          <w:sz w:val="32"/>
          <w:szCs w:val="32"/>
          <w:lang w:val="es-ES_tradnl"/>
        </w:rPr>
        <w:t xml:space="preserve">1.- Introducción </w:t>
      </w:r>
    </w:p>
    <w:p w14:paraId="0704FF00" w14:textId="6669103F" w:rsidR="00D15DD2" w:rsidRPr="00D15DD2" w:rsidRDefault="00D15DD2" w:rsidP="00D15DD2">
      <w:pPr>
        <w:rPr>
          <w:lang w:val="es-ES_tradnl"/>
        </w:rPr>
      </w:pPr>
      <w:r w:rsidRPr="00D15DD2">
        <w:rPr>
          <w:lang w:val="es-ES_tradnl"/>
        </w:rPr>
        <w:t>Plena inclusión</w:t>
      </w:r>
      <w:r w:rsidRPr="009422FA">
        <w:rPr>
          <w:color w:val="000000" w:themeColor="text1"/>
          <w:lang w:val="es-ES_tradnl"/>
        </w:rPr>
        <w:t xml:space="preserve"> España </w:t>
      </w:r>
      <w:r w:rsidRPr="00D15DD2">
        <w:rPr>
          <w:lang w:val="es-ES_tradnl"/>
        </w:rPr>
        <w:t xml:space="preserve">es una organización representativa de las personas con discapacidad intelectual </w:t>
      </w:r>
      <w:r w:rsidR="00032DCD">
        <w:rPr>
          <w:lang w:val="es-ES_tradnl"/>
        </w:rPr>
        <w:t>y</w:t>
      </w:r>
      <w:r w:rsidRPr="00D15DD2">
        <w:rPr>
          <w:lang w:val="es-ES_tradnl"/>
        </w:rPr>
        <w:t xml:space="preserve"> del desarrollo y sus familias con implantación en todo el territorio </w:t>
      </w:r>
      <w:r w:rsidR="00032DCD">
        <w:rPr>
          <w:lang w:val="es-ES_tradnl"/>
        </w:rPr>
        <w:t>español</w:t>
      </w:r>
      <w:r w:rsidRPr="00D15DD2">
        <w:rPr>
          <w:lang w:val="es-ES_tradnl"/>
        </w:rPr>
        <w:t xml:space="preserve"> cuya misión es contribuir, desde su compromiso ético, con apoyos y oportunidades, a que cada persona con discapacidad intelectual o del desarrollo y su familia puedan desarrollar su proyecto de calidad de vida, así como a promover su inclusión como ciudadana de pleno derecho en una sociedad justa y solidaria. </w:t>
      </w:r>
    </w:p>
    <w:p w14:paraId="1EEE22EA" w14:textId="603DC3B6" w:rsidR="009136F6" w:rsidRDefault="00D15DD2" w:rsidP="00D15DD2">
      <w:pPr>
        <w:rPr>
          <w:lang w:val="es-ES_tradnl"/>
        </w:rPr>
      </w:pPr>
      <w:r w:rsidRPr="00D15DD2">
        <w:rPr>
          <w:lang w:val="es-ES_tradnl"/>
        </w:rPr>
        <w:t>El movimiento asociativo Plena inclusión está compuesto por 19 federaciones autonómicas, 3 socios de ámbito nacional y 935 organizaciones en toda España y reúne en torno a 140.000 personas con discapacidad intelectual o del desarrollo, 235.000 familiares, 40.000 profesionales y 8.000 personas voluntarias que les prestan apoyo, así como otras personas asociadas y simpatizante</w:t>
      </w:r>
      <w:r w:rsidR="00AA71DF">
        <w:rPr>
          <w:lang w:val="es-ES_tradnl"/>
        </w:rPr>
        <w:t>s</w:t>
      </w:r>
      <w:r w:rsidR="009136F6">
        <w:rPr>
          <w:lang w:val="es-ES_tradnl"/>
        </w:rPr>
        <w:t>.</w:t>
      </w:r>
    </w:p>
    <w:p w14:paraId="3C89FC94" w14:textId="77777777" w:rsidR="009432A9" w:rsidRDefault="009432A9" w:rsidP="00D15DD2">
      <w:pPr>
        <w:rPr>
          <w:lang w:val="es-ES_tradnl"/>
        </w:rPr>
      </w:pPr>
    </w:p>
    <w:p w14:paraId="13D338EA" w14:textId="5763028F" w:rsidR="000A14C3" w:rsidRPr="00156A77" w:rsidRDefault="004E1C5E" w:rsidP="00266F46">
      <w:pPr>
        <w:pStyle w:val="Heading2"/>
        <w:rPr>
          <w:color w:val="339933"/>
          <w:sz w:val="32"/>
          <w:szCs w:val="32"/>
          <w:lang w:val="es-ES_tradnl"/>
        </w:rPr>
      </w:pPr>
      <w:r w:rsidRPr="00156A77">
        <w:rPr>
          <w:color w:val="339933"/>
          <w:sz w:val="32"/>
          <w:szCs w:val="32"/>
          <w:lang w:val="es-ES_tradnl"/>
        </w:rPr>
        <w:t>2</w:t>
      </w:r>
      <w:r w:rsidR="005650AB" w:rsidRPr="00156A77">
        <w:rPr>
          <w:color w:val="339933"/>
          <w:sz w:val="32"/>
          <w:szCs w:val="32"/>
          <w:lang w:val="es-ES_tradnl"/>
        </w:rPr>
        <w:t>.-</w:t>
      </w:r>
      <w:r w:rsidR="00156A77" w:rsidRPr="00156A77">
        <w:rPr>
          <w:color w:val="339933"/>
          <w:sz w:val="32"/>
          <w:szCs w:val="32"/>
          <w:lang w:val="es-ES_tradnl"/>
        </w:rPr>
        <w:t xml:space="preserve"> Personas con discapacidad intelectual </w:t>
      </w:r>
      <w:r w:rsidR="009432A9">
        <w:rPr>
          <w:color w:val="339933"/>
          <w:sz w:val="32"/>
          <w:szCs w:val="32"/>
          <w:lang w:val="es-ES_tradnl"/>
        </w:rPr>
        <w:t>en el ámbito de la formación profesional y el</w:t>
      </w:r>
      <w:r w:rsidR="00156A77" w:rsidRPr="00156A77">
        <w:rPr>
          <w:color w:val="339933"/>
          <w:sz w:val="32"/>
          <w:szCs w:val="32"/>
          <w:lang w:val="es-ES_tradnl"/>
        </w:rPr>
        <w:t xml:space="preserve"> empleo</w:t>
      </w:r>
      <w:r w:rsidR="001A0577" w:rsidRPr="00156A77">
        <w:rPr>
          <w:color w:val="339933"/>
          <w:sz w:val="32"/>
          <w:szCs w:val="32"/>
          <w:lang w:val="es-ES_tradnl"/>
        </w:rPr>
        <w:t xml:space="preserve"> </w:t>
      </w:r>
      <w:r w:rsidR="009432A9">
        <w:rPr>
          <w:color w:val="339933"/>
          <w:sz w:val="32"/>
          <w:szCs w:val="32"/>
          <w:lang w:val="es-ES_tradnl"/>
        </w:rPr>
        <w:t>en España</w:t>
      </w:r>
    </w:p>
    <w:p w14:paraId="2773EC38" w14:textId="63918DB6" w:rsidR="00E07731" w:rsidRDefault="00C72B4B" w:rsidP="00E82A01">
      <w:pPr>
        <w:rPr>
          <w:lang w:val="es-ES_tradnl"/>
        </w:rPr>
      </w:pPr>
      <w:r>
        <w:rPr>
          <w:lang w:val="es-ES_tradnl"/>
        </w:rPr>
        <w:t>En primer lugar, desde Plena inclusión consideramos que e</w:t>
      </w:r>
      <w:r w:rsidR="00E82A01">
        <w:rPr>
          <w:lang w:val="es-ES_tradnl"/>
        </w:rPr>
        <w:t xml:space="preserve">l nivel de estudios alcanzado es esencial para que las personas podamos acceder a un empleo digno y de calidad. </w:t>
      </w:r>
    </w:p>
    <w:p w14:paraId="09AB1D7F" w14:textId="4F546785" w:rsidR="00E07731" w:rsidRPr="00E07731" w:rsidRDefault="00C72B4B" w:rsidP="00E07731">
      <w:pPr>
        <w:rPr>
          <w:lang w:val="es-ES_tradnl"/>
        </w:rPr>
      </w:pPr>
      <w:r>
        <w:rPr>
          <w:lang w:val="es-ES_tradnl"/>
        </w:rPr>
        <w:t>No obstante, d</w:t>
      </w:r>
      <w:r w:rsidR="00E07731" w:rsidRPr="00E07731">
        <w:rPr>
          <w:lang w:val="es-ES_tradnl"/>
        </w:rPr>
        <w:t>e acuerdo con el informe del Consejo Escolar de Estado 202</w:t>
      </w:r>
      <w:r w:rsidR="00E07731" w:rsidRPr="00E07731">
        <w:rPr>
          <w:lang w:val="es-ES_tradnl"/>
        </w:rPr>
        <w:footnoteReference w:id="1"/>
      </w:r>
      <w:r w:rsidR="00E07731" w:rsidRPr="00E07731">
        <w:rPr>
          <w:lang w:val="es-ES_tradnl"/>
        </w:rPr>
        <w:t>, durante el curso 2018-2019 en relación al alumnado escolarizado</w:t>
      </w:r>
      <w:r>
        <w:rPr>
          <w:lang w:val="es-ES_tradnl"/>
        </w:rPr>
        <w:t xml:space="preserve">, el alumnado </w:t>
      </w:r>
      <w:r>
        <w:rPr>
          <w:lang w:val="es-ES_tradnl"/>
        </w:rPr>
        <w:lastRenderedPageBreak/>
        <w:t xml:space="preserve">con discapacidad intelectual y del desarrollo se encuentra muy por detrás en el acceso a la educación secundaria y profesional: </w:t>
      </w:r>
      <w:r w:rsidR="00E07731" w:rsidRPr="00E07731">
        <w:rPr>
          <w:lang w:val="es-ES_tradnl"/>
        </w:rPr>
        <w:t xml:space="preserve"> </w:t>
      </w:r>
    </w:p>
    <w:p w14:paraId="00E2DE99" w14:textId="0F577486" w:rsidR="00E07731" w:rsidRDefault="00E07731" w:rsidP="00E82A01">
      <w:pPr>
        <w:rPr>
          <w:lang w:val="es-ES_tradnl"/>
        </w:rPr>
      </w:pPr>
    </w:p>
    <w:p w14:paraId="291DDEF8" w14:textId="77777777" w:rsidR="00E07731" w:rsidRDefault="00E07731" w:rsidP="00E82A01">
      <w:pPr>
        <w:rPr>
          <w:lang w:val="es-ES_tradnl"/>
        </w:rPr>
      </w:pPr>
    </w:p>
    <w:tbl>
      <w:tblPr>
        <w:tblStyle w:val="Tabladecuadrcula5oscura-nfasis63"/>
        <w:tblW w:w="0" w:type="auto"/>
        <w:tblLook w:val="04A0" w:firstRow="1" w:lastRow="0" w:firstColumn="1" w:lastColumn="0" w:noHBand="0" w:noVBand="1"/>
      </w:tblPr>
      <w:tblGrid>
        <w:gridCol w:w="2405"/>
        <w:gridCol w:w="1064"/>
        <w:gridCol w:w="1652"/>
        <w:gridCol w:w="1537"/>
        <w:gridCol w:w="1469"/>
      </w:tblGrid>
      <w:tr w:rsidR="00E07731" w:rsidRPr="00E07731" w14:paraId="07708DFA" w14:textId="77777777" w:rsidTr="00E07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1629DC" w14:textId="77777777" w:rsidR="00E07731" w:rsidRPr="00E07731" w:rsidRDefault="00E07731" w:rsidP="00E07731">
            <w:pPr>
              <w:suppressAutoHyphens w:val="0"/>
              <w:spacing w:before="120" w:after="120" w:line="360" w:lineRule="auto"/>
              <w:jc w:val="center"/>
              <w:rPr>
                <w:rFonts w:ascii="Calibri Light" w:eastAsia="Times New Roman" w:hAnsi="Calibri Light" w:cs="Calibri Light"/>
                <w:kern w:val="0"/>
                <w:sz w:val="22"/>
                <w:lang w:eastAsia="es-ES_tradnl" w:bidi="ar-SA"/>
              </w:rPr>
            </w:pPr>
          </w:p>
        </w:tc>
        <w:tc>
          <w:tcPr>
            <w:tcW w:w="1064" w:type="dxa"/>
            <w:vAlign w:val="center"/>
          </w:tcPr>
          <w:p w14:paraId="54509E69" w14:textId="77777777" w:rsidR="00E07731" w:rsidRPr="00E07731" w:rsidRDefault="00E07731" w:rsidP="00E07731">
            <w:pPr>
              <w:suppressAutoHyphens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1"/>
                <w:szCs w:val="21"/>
                <w:lang w:eastAsia="es-ES_tradnl" w:bidi="ar-SA"/>
              </w:rPr>
            </w:pPr>
            <w:r w:rsidRPr="00E07731">
              <w:rPr>
                <w:rFonts w:ascii="Calibri Light" w:eastAsia="Times New Roman" w:hAnsi="Calibri Light" w:cs="Calibri Light"/>
                <w:kern w:val="0"/>
                <w:sz w:val="21"/>
                <w:szCs w:val="21"/>
                <w:lang w:eastAsia="es-ES_tradnl" w:bidi="ar-SA"/>
              </w:rPr>
              <w:t>Todo el alumnado</w:t>
            </w:r>
          </w:p>
        </w:tc>
        <w:tc>
          <w:tcPr>
            <w:tcW w:w="1652" w:type="dxa"/>
            <w:vAlign w:val="center"/>
          </w:tcPr>
          <w:p w14:paraId="33D9F28B" w14:textId="77777777" w:rsidR="00E07731" w:rsidRPr="00E07731" w:rsidRDefault="00E07731" w:rsidP="00E07731">
            <w:pPr>
              <w:suppressAutoHyphens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1"/>
                <w:szCs w:val="21"/>
                <w:lang w:eastAsia="es-ES_tradnl" w:bidi="ar-SA"/>
              </w:rPr>
            </w:pPr>
            <w:r w:rsidRPr="00E07731">
              <w:rPr>
                <w:rFonts w:ascii="Calibri Light" w:eastAsia="Times New Roman" w:hAnsi="Calibri Light" w:cs="Calibri Light"/>
                <w:kern w:val="0"/>
                <w:sz w:val="21"/>
                <w:szCs w:val="21"/>
                <w:lang w:eastAsia="es-ES_tradnl" w:bidi="ar-SA"/>
              </w:rPr>
              <w:t>Alumnado con NEE</w:t>
            </w:r>
          </w:p>
        </w:tc>
        <w:tc>
          <w:tcPr>
            <w:tcW w:w="1537" w:type="dxa"/>
            <w:vAlign w:val="center"/>
          </w:tcPr>
          <w:p w14:paraId="4B3A9483" w14:textId="77777777" w:rsidR="00E07731" w:rsidRPr="00E07731" w:rsidRDefault="00E07731" w:rsidP="00E07731">
            <w:pPr>
              <w:suppressAutoHyphens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1"/>
                <w:szCs w:val="21"/>
                <w:lang w:eastAsia="es-ES_tradnl" w:bidi="ar-SA"/>
              </w:rPr>
            </w:pPr>
            <w:r w:rsidRPr="00E07731">
              <w:rPr>
                <w:rFonts w:ascii="Calibri Light" w:eastAsia="Times New Roman" w:hAnsi="Calibri Light" w:cs="Calibri Light"/>
                <w:kern w:val="0"/>
                <w:sz w:val="21"/>
                <w:szCs w:val="21"/>
                <w:lang w:eastAsia="es-ES_tradnl" w:bidi="ar-SA"/>
              </w:rPr>
              <w:t>Alumnado con discapacidad intelectual</w:t>
            </w:r>
          </w:p>
        </w:tc>
        <w:tc>
          <w:tcPr>
            <w:tcW w:w="1469" w:type="dxa"/>
            <w:vAlign w:val="center"/>
          </w:tcPr>
          <w:p w14:paraId="21605383" w14:textId="1F1F86AD" w:rsidR="00E07731" w:rsidRPr="00E07731" w:rsidRDefault="00E07731" w:rsidP="00C72B4B">
            <w:pPr>
              <w:suppressAutoHyphens w:val="0"/>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1"/>
                <w:szCs w:val="21"/>
                <w:lang w:eastAsia="es-ES_tradnl" w:bidi="ar-SA"/>
              </w:rPr>
            </w:pPr>
            <w:r w:rsidRPr="00E07731">
              <w:rPr>
                <w:rFonts w:ascii="Calibri Light" w:eastAsia="Times New Roman" w:hAnsi="Calibri Light" w:cs="Calibri Light"/>
                <w:kern w:val="0"/>
                <w:sz w:val="21"/>
                <w:szCs w:val="21"/>
                <w:lang w:eastAsia="es-ES_tradnl" w:bidi="ar-SA"/>
              </w:rPr>
              <w:t>Alumnado con T</w:t>
            </w:r>
            <w:r w:rsidR="00C72B4B">
              <w:rPr>
                <w:rFonts w:ascii="Calibri Light" w:eastAsia="Times New Roman" w:hAnsi="Calibri Light" w:cs="Calibri Light"/>
                <w:kern w:val="0"/>
                <w:sz w:val="21"/>
                <w:szCs w:val="21"/>
                <w:lang w:eastAsia="es-ES_tradnl" w:bidi="ar-SA"/>
              </w:rPr>
              <w:t>rastornos Generalizados del Desarrollo (TGD)</w:t>
            </w:r>
          </w:p>
        </w:tc>
      </w:tr>
      <w:tr w:rsidR="00E07731" w:rsidRPr="00E07731" w14:paraId="33D71A90" w14:textId="77777777" w:rsidTr="00E0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4036AF1" w14:textId="77777777" w:rsidR="00E07731" w:rsidRPr="00E07731" w:rsidRDefault="00E07731" w:rsidP="00E07731">
            <w:pPr>
              <w:suppressAutoHyphens w:val="0"/>
              <w:spacing w:before="120" w:after="120" w:line="360" w:lineRule="auto"/>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2"/>
                <w:lang w:eastAsia="es-ES_tradnl" w:bidi="ar-SA"/>
              </w:rPr>
              <w:t>Educación Primaria</w:t>
            </w:r>
          </w:p>
        </w:tc>
        <w:tc>
          <w:tcPr>
            <w:tcW w:w="1064" w:type="dxa"/>
            <w:vAlign w:val="center"/>
          </w:tcPr>
          <w:p w14:paraId="122A5F18"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1"/>
                <w:szCs w:val="21"/>
                <w:vertAlign w:val="superscript"/>
                <w:lang w:eastAsia="es-ES_tradnl" w:bidi="ar-SA"/>
              </w:rPr>
            </w:pPr>
            <w:r w:rsidRPr="00E07731">
              <w:rPr>
                <w:rFonts w:ascii="Calibri Light" w:eastAsia="Times New Roman" w:hAnsi="Calibri Light" w:cs="Calibri Light"/>
                <w:kern w:val="0"/>
                <w:sz w:val="21"/>
                <w:szCs w:val="21"/>
                <w:lang w:eastAsia="es-ES_tradnl" w:bidi="ar-SA"/>
              </w:rPr>
              <w:t>477.431</w:t>
            </w:r>
            <w:r w:rsidRPr="00E07731">
              <w:rPr>
                <w:rFonts w:ascii="Calibri Light" w:eastAsia="Times New Roman" w:hAnsi="Calibri Light" w:cs="Calibri Light"/>
                <w:kern w:val="0"/>
                <w:sz w:val="21"/>
                <w:szCs w:val="21"/>
                <w:vertAlign w:val="superscript"/>
                <w:lang w:eastAsia="es-ES_tradnl" w:bidi="ar-SA"/>
              </w:rPr>
              <w:t>1</w:t>
            </w:r>
          </w:p>
        </w:tc>
        <w:tc>
          <w:tcPr>
            <w:tcW w:w="1652" w:type="dxa"/>
            <w:vAlign w:val="center"/>
          </w:tcPr>
          <w:p w14:paraId="7E8ED064"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1"/>
                <w:szCs w:val="21"/>
                <w:lang w:eastAsia="es-ES_tradnl" w:bidi="ar-SA"/>
              </w:rPr>
            </w:pPr>
            <w:r w:rsidRPr="00E07731">
              <w:rPr>
                <w:rFonts w:ascii="Calibri Light" w:eastAsia="Times New Roman" w:hAnsi="Calibri Light" w:cs="Calibri Light"/>
                <w:kern w:val="0"/>
                <w:sz w:val="21"/>
                <w:szCs w:val="21"/>
                <w:lang w:eastAsia="es-ES_tradnl" w:bidi="ar-SA"/>
              </w:rPr>
              <w:t>80.647</w:t>
            </w:r>
          </w:p>
        </w:tc>
        <w:tc>
          <w:tcPr>
            <w:tcW w:w="1537" w:type="dxa"/>
            <w:vAlign w:val="center"/>
          </w:tcPr>
          <w:p w14:paraId="47DD80C4"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0"/>
                <w:szCs w:val="20"/>
                <w:lang w:eastAsia="es-ES_tradnl" w:bidi="ar-SA"/>
              </w:rPr>
            </w:pPr>
            <w:r w:rsidRPr="00E07731">
              <w:rPr>
                <w:rFonts w:ascii="Calibri Light" w:eastAsia="Times New Roman" w:hAnsi="Calibri Light" w:cs="Calibri Light"/>
                <w:kern w:val="0"/>
                <w:sz w:val="20"/>
                <w:szCs w:val="20"/>
                <w:lang w:eastAsia="es-ES_tradnl" w:bidi="ar-SA"/>
              </w:rPr>
              <w:t>22.337</w:t>
            </w:r>
          </w:p>
        </w:tc>
        <w:tc>
          <w:tcPr>
            <w:tcW w:w="1469" w:type="dxa"/>
            <w:vAlign w:val="center"/>
          </w:tcPr>
          <w:p w14:paraId="17A1C389"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0"/>
                <w:szCs w:val="20"/>
                <w:lang w:eastAsia="es-ES_tradnl" w:bidi="ar-SA"/>
              </w:rPr>
            </w:pPr>
            <w:r w:rsidRPr="00E07731">
              <w:rPr>
                <w:rFonts w:ascii="Calibri Light" w:eastAsia="Times New Roman" w:hAnsi="Calibri Light" w:cs="Calibri Light"/>
                <w:kern w:val="0"/>
                <w:sz w:val="20"/>
                <w:szCs w:val="20"/>
                <w:lang w:eastAsia="es-ES_tradnl" w:bidi="ar-SA"/>
              </w:rPr>
              <w:t>20.127</w:t>
            </w:r>
          </w:p>
        </w:tc>
      </w:tr>
      <w:tr w:rsidR="00E07731" w:rsidRPr="00E07731" w14:paraId="75A7BB6E" w14:textId="77777777" w:rsidTr="00E07731">
        <w:tc>
          <w:tcPr>
            <w:cnfStyle w:val="001000000000" w:firstRow="0" w:lastRow="0" w:firstColumn="1" w:lastColumn="0" w:oddVBand="0" w:evenVBand="0" w:oddHBand="0" w:evenHBand="0" w:firstRowFirstColumn="0" w:firstRowLastColumn="0" w:lastRowFirstColumn="0" w:lastRowLastColumn="0"/>
            <w:tcW w:w="2405" w:type="dxa"/>
          </w:tcPr>
          <w:p w14:paraId="5E22DE34" w14:textId="77777777" w:rsidR="00E07731" w:rsidRPr="00E07731" w:rsidRDefault="00E07731" w:rsidP="00E07731">
            <w:pPr>
              <w:suppressAutoHyphens w:val="0"/>
              <w:spacing w:before="120" w:after="120" w:line="360" w:lineRule="auto"/>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2"/>
                <w:lang w:eastAsia="es-ES_tradnl" w:bidi="ar-SA"/>
              </w:rPr>
              <w:t>Educación Secundaria</w:t>
            </w:r>
          </w:p>
        </w:tc>
        <w:tc>
          <w:tcPr>
            <w:tcW w:w="1064" w:type="dxa"/>
            <w:vAlign w:val="center"/>
          </w:tcPr>
          <w:p w14:paraId="7AB34D33" w14:textId="77777777" w:rsidR="00E07731" w:rsidRPr="00E07731" w:rsidRDefault="00E07731" w:rsidP="00E07731">
            <w:pPr>
              <w:suppressAutoHyphens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1"/>
                <w:szCs w:val="21"/>
                <w:vertAlign w:val="superscript"/>
                <w:lang w:eastAsia="es-ES_tradnl" w:bidi="ar-SA"/>
              </w:rPr>
            </w:pPr>
            <w:r w:rsidRPr="00E07731">
              <w:rPr>
                <w:rFonts w:ascii="Calibri Light" w:eastAsia="Times New Roman" w:hAnsi="Calibri Light" w:cs="Calibri Light"/>
                <w:kern w:val="0"/>
                <w:sz w:val="21"/>
                <w:szCs w:val="21"/>
                <w:lang w:eastAsia="es-ES_tradnl" w:bidi="ar-SA"/>
              </w:rPr>
              <w:t>357.255</w:t>
            </w:r>
            <w:r w:rsidRPr="00E07731">
              <w:rPr>
                <w:rFonts w:ascii="Calibri Light" w:eastAsia="Times New Roman" w:hAnsi="Calibri Light" w:cs="Calibri Light"/>
                <w:kern w:val="0"/>
                <w:sz w:val="21"/>
                <w:szCs w:val="21"/>
                <w:vertAlign w:val="superscript"/>
                <w:lang w:eastAsia="es-ES_tradnl" w:bidi="ar-SA"/>
              </w:rPr>
              <w:t>1</w:t>
            </w:r>
          </w:p>
        </w:tc>
        <w:tc>
          <w:tcPr>
            <w:tcW w:w="1652" w:type="dxa"/>
            <w:vAlign w:val="center"/>
          </w:tcPr>
          <w:p w14:paraId="4BA59556" w14:textId="77777777" w:rsidR="00E07731" w:rsidRPr="00E07731" w:rsidRDefault="00E07731" w:rsidP="00E07731">
            <w:pPr>
              <w:suppressAutoHyphens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1"/>
                <w:szCs w:val="21"/>
                <w:lang w:eastAsia="es-ES_tradnl" w:bidi="ar-SA"/>
              </w:rPr>
            </w:pPr>
            <w:r w:rsidRPr="00E07731">
              <w:rPr>
                <w:rFonts w:ascii="Calibri Light" w:eastAsia="Times New Roman" w:hAnsi="Calibri Light" w:cs="Calibri Light"/>
                <w:kern w:val="0"/>
                <w:sz w:val="21"/>
                <w:szCs w:val="21"/>
                <w:lang w:eastAsia="es-ES_tradnl" w:bidi="ar-SA"/>
              </w:rPr>
              <w:t>55.530</w:t>
            </w:r>
          </w:p>
        </w:tc>
        <w:tc>
          <w:tcPr>
            <w:tcW w:w="1537" w:type="dxa"/>
            <w:vAlign w:val="center"/>
          </w:tcPr>
          <w:p w14:paraId="2A5EEF2B" w14:textId="77777777" w:rsidR="00E07731" w:rsidRPr="00E07731" w:rsidRDefault="00E07731" w:rsidP="00E07731">
            <w:pPr>
              <w:suppressAutoHyphens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0"/>
                <w:szCs w:val="20"/>
                <w:lang w:eastAsia="es-ES_tradnl" w:bidi="ar-SA"/>
              </w:rPr>
            </w:pPr>
            <w:r w:rsidRPr="00E07731">
              <w:rPr>
                <w:rFonts w:ascii="Calibri Light" w:eastAsia="Times New Roman" w:hAnsi="Calibri Light" w:cs="Calibri Light"/>
                <w:kern w:val="0"/>
                <w:sz w:val="20"/>
                <w:szCs w:val="20"/>
                <w:lang w:eastAsia="es-ES_tradnl" w:bidi="ar-SA"/>
              </w:rPr>
              <w:t>16.120</w:t>
            </w:r>
          </w:p>
        </w:tc>
        <w:tc>
          <w:tcPr>
            <w:tcW w:w="1469" w:type="dxa"/>
            <w:vAlign w:val="center"/>
          </w:tcPr>
          <w:p w14:paraId="1709FFD1" w14:textId="77777777" w:rsidR="00E07731" w:rsidRPr="00E07731" w:rsidRDefault="00E07731" w:rsidP="00E07731">
            <w:pPr>
              <w:suppressAutoHyphens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0"/>
                <w:szCs w:val="20"/>
                <w:lang w:eastAsia="es-ES_tradnl" w:bidi="ar-SA"/>
              </w:rPr>
            </w:pPr>
            <w:r w:rsidRPr="00E07731">
              <w:rPr>
                <w:rFonts w:ascii="Calibri Light" w:eastAsia="Times New Roman" w:hAnsi="Calibri Light" w:cs="Calibri Light"/>
                <w:kern w:val="0"/>
                <w:sz w:val="20"/>
                <w:szCs w:val="20"/>
                <w:lang w:eastAsia="es-ES_tradnl" w:bidi="ar-SA"/>
              </w:rPr>
              <w:t>10.313</w:t>
            </w:r>
          </w:p>
        </w:tc>
      </w:tr>
      <w:tr w:rsidR="00E07731" w:rsidRPr="00E07731" w14:paraId="121FD18A" w14:textId="77777777" w:rsidTr="00E0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ECE683E" w14:textId="77777777" w:rsidR="00E07731" w:rsidRPr="00E07731" w:rsidRDefault="00E07731" w:rsidP="00E07731">
            <w:pPr>
              <w:suppressAutoHyphens w:val="0"/>
              <w:spacing w:before="120" w:after="120" w:line="360" w:lineRule="auto"/>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2"/>
                <w:lang w:eastAsia="es-ES_tradnl" w:bidi="ar-SA"/>
              </w:rPr>
              <w:t>Formación Profesional Básica</w:t>
            </w:r>
          </w:p>
        </w:tc>
        <w:tc>
          <w:tcPr>
            <w:tcW w:w="1064" w:type="dxa"/>
            <w:vAlign w:val="center"/>
          </w:tcPr>
          <w:p w14:paraId="0F81E0FA"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vertAlign w:val="superscript"/>
                <w:lang w:eastAsia="es-ES_tradnl" w:bidi="ar-SA"/>
              </w:rPr>
            </w:pPr>
            <w:r w:rsidRPr="00E07731">
              <w:rPr>
                <w:rFonts w:ascii="Calibri Light" w:eastAsia="Times New Roman" w:hAnsi="Calibri Light" w:cs="Calibri Light"/>
                <w:kern w:val="0"/>
                <w:sz w:val="21"/>
                <w:szCs w:val="21"/>
                <w:lang w:eastAsia="es-ES_tradnl" w:bidi="ar-SA"/>
              </w:rPr>
              <w:t>18.414</w:t>
            </w:r>
            <w:r w:rsidRPr="00E07731">
              <w:rPr>
                <w:rFonts w:ascii="Calibri Light" w:eastAsia="Times New Roman" w:hAnsi="Calibri Light" w:cs="Calibri Light"/>
                <w:kern w:val="0"/>
                <w:sz w:val="21"/>
                <w:szCs w:val="21"/>
                <w:vertAlign w:val="superscript"/>
                <w:lang w:eastAsia="es-ES_tradnl" w:bidi="ar-SA"/>
              </w:rPr>
              <w:t>1</w:t>
            </w:r>
          </w:p>
        </w:tc>
        <w:tc>
          <w:tcPr>
            <w:tcW w:w="1652" w:type="dxa"/>
            <w:vAlign w:val="center"/>
          </w:tcPr>
          <w:p w14:paraId="04A0911E"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1"/>
                <w:szCs w:val="21"/>
                <w:lang w:eastAsia="es-ES_tradnl" w:bidi="ar-SA"/>
              </w:rPr>
              <w:t>4.417</w:t>
            </w:r>
          </w:p>
        </w:tc>
        <w:tc>
          <w:tcPr>
            <w:tcW w:w="1537" w:type="dxa"/>
            <w:vAlign w:val="center"/>
          </w:tcPr>
          <w:p w14:paraId="1EEBEB84"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0"/>
                <w:szCs w:val="20"/>
                <w:lang w:eastAsia="es-ES_tradnl" w:bidi="ar-SA"/>
              </w:rPr>
              <w:t>1.919</w:t>
            </w:r>
          </w:p>
        </w:tc>
        <w:tc>
          <w:tcPr>
            <w:tcW w:w="1469" w:type="dxa"/>
            <w:vAlign w:val="center"/>
          </w:tcPr>
          <w:p w14:paraId="5BB6E298"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0"/>
                <w:szCs w:val="20"/>
                <w:lang w:eastAsia="es-ES_tradnl" w:bidi="ar-SA"/>
              </w:rPr>
              <w:t>222</w:t>
            </w:r>
          </w:p>
        </w:tc>
      </w:tr>
      <w:tr w:rsidR="00E07731" w:rsidRPr="00E07731" w14:paraId="1804AB0D" w14:textId="77777777" w:rsidTr="00E07731">
        <w:tc>
          <w:tcPr>
            <w:cnfStyle w:val="001000000000" w:firstRow="0" w:lastRow="0" w:firstColumn="1" w:lastColumn="0" w:oddVBand="0" w:evenVBand="0" w:oddHBand="0" w:evenHBand="0" w:firstRowFirstColumn="0" w:firstRowLastColumn="0" w:lastRowFirstColumn="0" w:lastRowLastColumn="0"/>
            <w:tcW w:w="2405" w:type="dxa"/>
          </w:tcPr>
          <w:p w14:paraId="69B65952" w14:textId="77777777" w:rsidR="00E07731" w:rsidRPr="00E07731" w:rsidRDefault="00E07731" w:rsidP="00E07731">
            <w:pPr>
              <w:suppressAutoHyphens w:val="0"/>
              <w:spacing w:before="120" w:after="120" w:line="360" w:lineRule="auto"/>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2"/>
                <w:lang w:eastAsia="es-ES_tradnl" w:bidi="ar-SA"/>
              </w:rPr>
              <w:t>Formación Profesional de Grado Medio</w:t>
            </w:r>
          </w:p>
        </w:tc>
        <w:tc>
          <w:tcPr>
            <w:tcW w:w="1064" w:type="dxa"/>
            <w:vAlign w:val="center"/>
          </w:tcPr>
          <w:p w14:paraId="138D95DA" w14:textId="77777777" w:rsidR="00E07731" w:rsidRPr="00E07731" w:rsidRDefault="00E07731" w:rsidP="00E07731">
            <w:pPr>
              <w:suppressAutoHyphens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vertAlign w:val="superscript"/>
                <w:lang w:eastAsia="es-ES_tradnl" w:bidi="ar-SA"/>
              </w:rPr>
            </w:pPr>
            <w:r w:rsidRPr="00E07731">
              <w:rPr>
                <w:rFonts w:ascii="Calibri Light" w:eastAsia="Times New Roman" w:hAnsi="Calibri Light" w:cs="Calibri Light"/>
                <w:kern w:val="0"/>
                <w:sz w:val="21"/>
                <w:szCs w:val="21"/>
                <w:lang w:eastAsia="es-ES_tradnl" w:bidi="ar-SA"/>
              </w:rPr>
              <w:t>103.705</w:t>
            </w:r>
            <w:r w:rsidRPr="00E07731">
              <w:rPr>
                <w:rFonts w:ascii="Calibri Light" w:eastAsia="Times New Roman" w:hAnsi="Calibri Light" w:cs="Calibri Light"/>
                <w:kern w:val="0"/>
                <w:sz w:val="21"/>
                <w:szCs w:val="21"/>
                <w:vertAlign w:val="superscript"/>
                <w:lang w:eastAsia="es-ES_tradnl" w:bidi="ar-SA"/>
              </w:rPr>
              <w:t>1</w:t>
            </w:r>
          </w:p>
        </w:tc>
        <w:tc>
          <w:tcPr>
            <w:tcW w:w="1652" w:type="dxa"/>
            <w:vAlign w:val="center"/>
          </w:tcPr>
          <w:p w14:paraId="39BA97B9" w14:textId="77777777" w:rsidR="00E07731" w:rsidRPr="00E07731" w:rsidRDefault="00E07731" w:rsidP="00E07731">
            <w:pPr>
              <w:suppressAutoHyphens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1"/>
                <w:szCs w:val="21"/>
                <w:lang w:eastAsia="es-ES_tradnl" w:bidi="ar-SA"/>
              </w:rPr>
              <w:t>5.892</w:t>
            </w:r>
          </w:p>
        </w:tc>
        <w:tc>
          <w:tcPr>
            <w:tcW w:w="1537" w:type="dxa"/>
            <w:vAlign w:val="center"/>
          </w:tcPr>
          <w:p w14:paraId="465B71A4" w14:textId="77777777" w:rsidR="00E07731" w:rsidRPr="00E07731" w:rsidRDefault="00E07731" w:rsidP="00E07731">
            <w:pPr>
              <w:suppressAutoHyphens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0"/>
                <w:szCs w:val="20"/>
                <w:lang w:eastAsia="es-ES_tradnl" w:bidi="ar-SA"/>
              </w:rPr>
              <w:t>1.609</w:t>
            </w:r>
          </w:p>
        </w:tc>
        <w:tc>
          <w:tcPr>
            <w:tcW w:w="1469" w:type="dxa"/>
            <w:vAlign w:val="center"/>
          </w:tcPr>
          <w:p w14:paraId="3D238DD3" w14:textId="77777777" w:rsidR="00E07731" w:rsidRPr="00E07731" w:rsidRDefault="00E07731" w:rsidP="00E07731">
            <w:pPr>
              <w:suppressAutoHyphens w:val="0"/>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0"/>
                <w:szCs w:val="20"/>
                <w:lang w:eastAsia="es-ES_tradnl" w:bidi="ar-SA"/>
              </w:rPr>
              <w:t>803</w:t>
            </w:r>
          </w:p>
        </w:tc>
      </w:tr>
      <w:tr w:rsidR="00E07731" w:rsidRPr="00E07731" w14:paraId="7689040C" w14:textId="77777777" w:rsidTr="00E0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622CB92" w14:textId="77777777" w:rsidR="00E07731" w:rsidRPr="00E07731" w:rsidRDefault="00E07731" w:rsidP="00E07731">
            <w:pPr>
              <w:suppressAutoHyphens w:val="0"/>
              <w:spacing w:before="120" w:after="120" w:line="360" w:lineRule="auto"/>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2"/>
                <w:lang w:eastAsia="es-ES_tradnl" w:bidi="ar-SA"/>
              </w:rPr>
              <w:t>Formación Profesional de Grado Superior</w:t>
            </w:r>
          </w:p>
        </w:tc>
        <w:tc>
          <w:tcPr>
            <w:tcW w:w="1064" w:type="dxa"/>
            <w:vAlign w:val="center"/>
          </w:tcPr>
          <w:p w14:paraId="7FE85C34"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1"/>
                <w:szCs w:val="21"/>
                <w:lang w:eastAsia="es-ES_tradnl" w:bidi="ar-SA"/>
              </w:rPr>
              <w:t>129.198</w:t>
            </w:r>
            <w:r w:rsidRPr="00E07731">
              <w:rPr>
                <w:rFonts w:ascii="Calibri Light" w:eastAsia="Times New Roman" w:hAnsi="Calibri Light" w:cs="Calibri Light"/>
                <w:kern w:val="0"/>
                <w:sz w:val="21"/>
                <w:szCs w:val="21"/>
                <w:vertAlign w:val="superscript"/>
                <w:lang w:eastAsia="es-ES_tradnl" w:bidi="ar-SA"/>
              </w:rPr>
              <w:t>1</w:t>
            </w:r>
          </w:p>
        </w:tc>
        <w:tc>
          <w:tcPr>
            <w:tcW w:w="1652" w:type="dxa"/>
            <w:vAlign w:val="center"/>
          </w:tcPr>
          <w:p w14:paraId="102631A0"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1"/>
                <w:szCs w:val="21"/>
                <w:lang w:eastAsia="es-ES_tradnl" w:bidi="ar-SA"/>
              </w:rPr>
              <w:t>1.866</w:t>
            </w:r>
          </w:p>
        </w:tc>
        <w:tc>
          <w:tcPr>
            <w:tcW w:w="1537" w:type="dxa"/>
            <w:vAlign w:val="center"/>
          </w:tcPr>
          <w:p w14:paraId="244A8EFC"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0"/>
                <w:szCs w:val="20"/>
                <w:lang w:eastAsia="es-ES_tradnl" w:bidi="ar-SA"/>
              </w:rPr>
              <w:t>238</w:t>
            </w:r>
          </w:p>
        </w:tc>
        <w:tc>
          <w:tcPr>
            <w:tcW w:w="1469" w:type="dxa"/>
            <w:vAlign w:val="center"/>
          </w:tcPr>
          <w:p w14:paraId="5B5C1470" w14:textId="77777777" w:rsidR="00E07731" w:rsidRPr="00E07731" w:rsidRDefault="00E07731" w:rsidP="00E07731">
            <w:pPr>
              <w:suppressAutoHyphens w:val="0"/>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07731">
              <w:rPr>
                <w:rFonts w:ascii="Calibri Light" w:eastAsia="Times New Roman" w:hAnsi="Calibri Light" w:cs="Calibri Light"/>
                <w:kern w:val="0"/>
                <w:sz w:val="20"/>
                <w:szCs w:val="20"/>
                <w:lang w:eastAsia="es-ES_tradnl" w:bidi="ar-SA"/>
              </w:rPr>
              <w:t>284</w:t>
            </w:r>
          </w:p>
        </w:tc>
      </w:tr>
    </w:tbl>
    <w:p w14:paraId="275ABCBD" w14:textId="127ECD8E" w:rsidR="00E07731" w:rsidRPr="00C72B4B" w:rsidRDefault="00C72B4B" w:rsidP="00E82A01">
      <w:pPr>
        <w:rPr>
          <w:sz w:val="18"/>
          <w:lang w:val="es-ES_tradnl"/>
        </w:rPr>
      </w:pPr>
      <w:r w:rsidRPr="00C72B4B">
        <w:rPr>
          <w:sz w:val="18"/>
          <w:lang w:val="es-ES_tradnl"/>
        </w:rPr>
        <w:t xml:space="preserve">Elaboración propia. </w:t>
      </w:r>
    </w:p>
    <w:p w14:paraId="32825FB1" w14:textId="6481514D" w:rsidR="00E82A01" w:rsidRDefault="00407FD6" w:rsidP="00E82A01">
      <w:pPr>
        <w:rPr>
          <w:lang w:val="es-ES_tradnl"/>
        </w:rPr>
      </w:pPr>
      <w:r>
        <w:rPr>
          <w:lang w:val="es-ES_tradnl"/>
        </w:rPr>
        <w:t>Además,</w:t>
      </w:r>
      <w:r w:rsidR="00C72B4B">
        <w:rPr>
          <w:lang w:val="es-ES_tradnl"/>
        </w:rPr>
        <w:t xml:space="preserve"> como</w:t>
      </w:r>
      <w:r w:rsidR="00E82A01">
        <w:rPr>
          <w:lang w:val="es-ES_tradnl"/>
        </w:rPr>
        <w:t xml:space="preserve"> se puede comprobar en la siguiente tabla, d</w:t>
      </w:r>
      <w:r w:rsidR="00E82A01" w:rsidRPr="00E82A01">
        <w:rPr>
          <w:lang w:val="es-ES_tradnl"/>
        </w:rPr>
        <w:t>e acuerdo a los datos proporcionados por el Observatorio sobre discapacidad y mercado de trabajo en España (ODISMET) en 2019</w:t>
      </w:r>
      <w:r w:rsidR="00E82A01">
        <w:rPr>
          <w:lang w:val="es-ES_tradnl"/>
        </w:rPr>
        <w:t xml:space="preserve">, </w:t>
      </w:r>
      <w:r w:rsidR="00C72B4B">
        <w:rPr>
          <w:lang w:val="es-ES_tradnl"/>
        </w:rPr>
        <w:t xml:space="preserve">se corrobora que </w:t>
      </w:r>
      <w:r w:rsidR="00E82A01">
        <w:rPr>
          <w:lang w:val="es-ES_tradnl"/>
        </w:rPr>
        <w:t>el nivel de estudios que actualmente pueden alcanzar las personas con discapacidad intelectual</w:t>
      </w:r>
      <w:r w:rsidR="00C72B4B">
        <w:rPr>
          <w:lang w:val="es-ES_tradnl"/>
        </w:rPr>
        <w:t xml:space="preserve"> y del desarrollo</w:t>
      </w:r>
      <w:r w:rsidR="00E82A01">
        <w:rPr>
          <w:lang w:val="es-ES_tradnl"/>
        </w:rPr>
        <w:t xml:space="preserve"> en España está muy por debajo de la media, lo cual supone una enorme barrera al acceso al empleo</w:t>
      </w:r>
      <w:r w:rsidR="00032DCD">
        <w:rPr>
          <w:lang w:val="es-ES_tradnl"/>
        </w:rPr>
        <w:t xml:space="preserve"> digno y de calidad</w:t>
      </w:r>
      <w:r w:rsidR="00E82A01">
        <w:rPr>
          <w:lang w:val="es-ES_tradnl"/>
        </w:rPr>
        <w:t xml:space="preserve">. </w:t>
      </w:r>
    </w:p>
    <w:tbl>
      <w:tblPr>
        <w:tblStyle w:val="Tabladecuadrcula5oscura-nfasis62"/>
        <w:tblW w:w="0" w:type="auto"/>
        <w:tblLook w:val="04A0" w:firstRow="1" w:lastRow="0" w:firstColumn="1" w:lastColumn="0" w:noHBand="0" w:noVBand="1"/>
      </w:tblPr>
      <w:tblGrid>
        <w:gridCol w:w="2189"/>
        <w:gridCol w:w="2250"/>
        <w:gridCol w:w="2250"/>
        <w:gridCol w:w="1805"/>
      </w:tblGrid>
      <w:tr w:rsidR="00E82A01" w:rsidRPr="00E82A01" w14:paraId="7262B7BC" w14:textId="77777777" w:rsidTr="00E82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4E9DC9E3" w14:textId="77777777" w:rsidR="00E82A01" w:rsidRPr="00E82A01" w:rsidRDefault="00E82A01" w:rsidP="00E82A01">
            <w:pPr>
              <w:suppressAutoHyphens w:val="0"/>
              <w:spacing w:before="160" w:after="160" w:line="288" w:lineRule="auto"/>
              <w:jc w:val="center"/>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Nivel de estudios</w:t>
            </w:r>
          </w:p>
        </w:tc>
        <w:tc>
          <w:tcPr>
            <w:tcW w:w="2250" w:type="dxa"/>
            <w:vAlign w:val="center"/>
          </w:tcPr>
          <w:p w14:paraId="1656F956" w14:textId="77777777" w:rsidR="00E82A01" w:rsidRPr="00E82A01" w:rsidRDefault="00E82A01" w:rsidP="00E82A01">
            <w:pPr>
              <w:suppressAutoHyphens w:val="0"/>
              <w:spacing w:before="160" w:after="160" w:line="288"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Personas con discapacidad intelectual</w:t>
            </w:r>
          </w:p>
        </w:tc>
        <w:tc>
          <w:tcPr>
            <w:tcW w:w="2250" w:type="dxa"/>
            <w:vAlign w:val="center"/>
          </w:tcPr>
          <w:p w14:paraId="21A812FD" w14:textId="77777777" w:rsidR="00E82A01" w:rsidRPr="00E82A01" w:rsidRDefault="00E82A01" w:rsidP="00E82A01">
            <w:pPr>
              <w:suppressAutoHyphens w:val="0"/>
              <w:spacing w:before="160" w:after="160" w:line="288"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Personas con discapacidad</w:t>
            </w:r>
          </w:p>
        </w:tc>
        <w:tc>
          <w:tcPr>
            <w:tcW w:w="1805" w:type="dxa"/>
            <w:vAlign w:val="center"/>
          </w:tcPr>
          <w:p w14:paraId="47ED36F9" w14:textId="77777777" w:rsidR="00E82A01" w:rsidRPr="00E82A01" w:rsidRDefault="00E82A01" w:rsidP="00E82A01">
            <w:pPr>
              <w:suppressAutoHyphens w:val="0"/>
              <w:spacing w:before="160" w:after="160" w:line="288"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Personas sin discapacidad</w:t>
            </w:r>
          </w:p>
        </w:tc>
      </w:tr>
      <w:tr w:rsidR="00E82A01" w:rsidRPr="00E82A01" w14:paraId="4093C13E" w14:textId="77777777" w:rsidTr="00E82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502F99DD" w14:textId="77777777" w:rsidR="00E82A01" w:rsidRPr="00E82A01" w:rsidRDefault="00E82A01" w:rsidP="00E82A01">
            <w:pPr>
              <w:suppressAutoHyphens w:val="0"/>
              <w:spacing w:before="160" w:after="160" w:line="288" w:lineRule="auto"/>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lastRenderedPageBreak/>
              <w:t>Sin estudios</w:t>
            </w:r>
          </w:p>
        </w:tc>
        <w:tc>
          <w:tcPr>
            <w:tcW w:w="2250" w:type="dxa"/>
          </w:tcPr>
          <w:p w14:paraId="4D2E82C9" w14:textId="77777777" w:rsidR="00E82A01" w:rsidRPr="00E82A01" w:rsidRDefault="00E82A01" w:rsidP="00E82A01">
            <w:pPr>
              <w:suppressAutoHyphens w:val="0"/>
              <w:spacing w:before="160" w:after="160" w:line="288"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22.6%</w:t>
            </w:r>
          </w:p>
        </w:tc>
        <w:tc>
          <w:tcPr>
            <w:tcW w:w="2250" w:type="dxa"/>
          </w:tcPr>
          <w:p w14:paraId="0C5C2826" w14:textId="77777777" w:rsidR="00E82A01" w:rsidRPr="00E82A01" w:rsidRDefault="00E82A01" w:rsidP="00E82A01">
            <w:pPr>
              <w:suppressAutoHyphens w:val="0"/>
              <w:spacing w:before="160" w:after="160" w:line="288"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4,9%</w:t>
            </w:r>
          </w:p>
        </w:tc>
        <w:tc>
          <w:tcPr>
            <w:tcW w:w="1805" w:type="dxa"/>
          </w:tcPr>
          <w:p w14:paraId="467CE616" w14:textId="77777777" w:rsidR="00E82A01" w:rsidRPr="00E82A01" w:rsidRDefault="00E82A01" w:rsidP="00E82A01">
            <w:pPr>
              <w:suppressAutoHyphens w:val="0"/>
              <w:spacing w:before="160" w:after="160" w:line="288"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0.4%</w:t>
            </w:r>
          </w:p>
        </w:tc>
      </w:tr>
      <w:tr w:rsidR="00E82A01" w:rsidRPr="00E82A01" w14:paraId="0D70A574" w14:textId="77777777" w:rsidTr="00E82A01">
        <w:tc>
          <w:tcPr>
            <w:cnfStyle w:val="001000000000" w:firstRow="0" w:lastRow="0" w:firstColumn="1" w:lastColumn="0" w:oddVBand="0" w:evenVBand="0" w:oddHBand="0" w:evenHBand="0" w:firstRowFirstColumn="0" w:firstRowLastColumn="0" w:lastRowFirstColumn="0" w:lastRowLastColumn="0"/>
            <w:tcW w:w="2189" w:type="dxa"/>
          </w:tcPr>
          <w:p w14:paraId="7F694CE6" w14:textId="77777777" w:rsidR="00E82A01" w:rsidRPr="00E82A01" w:rsidRDefault="00E82A01" w:rsidP="00E82A01">
            <w:pPr>
              <w:suppressAutoHyphens w:val="0"/>
              <w:spacing w:before="160" w:after="160" w:line="288" w:lineRule="auto"/>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Primaria</w:t>
            </w:r>
          </w:p>
        </w:tc>
        <w:tc>
          <w:tcPr>
            <w:tcW w:w="2250" w:type="dxa"/>
          </w:tcPr>
          <w:p w14:paraId="05B80A8B" w14:textId="77777777" w:rsidR="00E82A01" w:rsidRPr="00E82A01" w:rsidRDefault="00E82A01" w:rsidP="00E82A01">
            <w:pPr>
              <w:suppressAutoHyphens w:val="0"/>
              <w:spacing w:before="160" w:after="160" w:line="288"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35.2%</w:t>
            </w:r>
          </w:p>
        </w:tc>
        <w:tc>
          <w:tcPr>
            <w:tcW w:w="2250" w:type="dxa"/>
          </w:tcPr>
          <w:p w14:paraId="00793B0F" w14:textId="77777777" w:rsidR="00E82A01" w:rsidRPr="00E82A01" w:rsidRDefault="00E82A01" w:rsidP="00E82A01">
            <w:pPr>
              <w:suppressAutoHyphens w:val="0"/>
              <w:spacing w:before="160" w:after="160" w:line="288"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19.1%</w:t>
            </w:r>
          </w:p>
        </w:tc>
        <w:tc>
          <w:tcPr>
            <w:tcW w:w="1805" w:type="dxa"/>
          </w:tcPr>
          <w:p w14:paraId="45DB69A4" w14:textId="77777777" w:rsidR="00E82A01" w:rsidRPr="00E82A01" w:rsidRDefault="00E82A01" w:rsidP="00E82A01">
            <w:pPr>
              <w:suppressAutoHyphens w:val="0"/>
              <w:spacing w:before="160" w:after="160" w:line="288"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7.1%</w:t>
            </w:r>
          </w:p>
        </w:tc>
      </w:tr>
      <w:tr w:rsidR="00E82A01" w:rsidRPr="00E82A01" w14:paraId="756B2FE7" w14:textId="77777777" w:rsidTr="00E82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35880F29" w14:textId="77777777" w:rsidR="00E82A01" w:rsidRPr="00E82A01" w:rsidRDefault="00E82A01" w:rsidP="00E82A01">
            <w:pPr>
              <w:suppressAutoHyphens w:val="0"/>
              <w:spacing w:before="160" w:after="160" w:line="288" w:lineRule="auto"/>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Secundaria</w:t>
            </w:r>
          </w:p>
        </w:tc>
        <w:tc>
          <w:tcPr>
            <w:tcW w:w="2250" w:type="dxa"/>
          </w:tcPr>
          <w:p w14:paraId="3FBA5E54" w14:textId="77777777" w:rsidR="00E82A01" w:rsidRPr="00E82A01" w:rsidRDefault="00E82A01" w:rsidP="00E82A01">
            <w:pPr>
              <w:suppressAutoHyphens w:val="0"/>
              <w:spacing w:before="160" w:after="160" w:line="288"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42.1%</w:t>
            </w:r>
          </w:p>
        </w:tc>
        <w:tc>
          <w:tcPr>
            <w:tcW w:w="2250" w:type="dxa"/>
          </w:tcPr>
          <w:p w14:paraId="6BC18C76" w14:textId="77777777" w:rsidR="00E82A01" w:rsidRPr="00E82A01" w:rsidRDefault="00E82A01" w:rsidP="00E82A01">
            <w:pPr>
              <w:suppressAutoHyphens w:val="0"/>
              <w:spacing w:before="160" w:after="160" w:line="288"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58.4%</w:t>
            </w:r>
          </w:p>
        </w:tc>
        <w:tc>
          <w:tcPr>
            <w:tcW w:w="1805" w:type="dxa"/>
          </w:tcPr>
          <w:p w14:paraId="7B3683CC" w14:textId="77777777" w:rsidR="00E82A01" w:rsidRPr="00E82A01" w:rsidRDefault="00E82A01" w:rsidP="00E82A01">
            <w:pPr>
              <w:suppressAutoHyphens w:val="0"/>
              <w:spacing w:before="160" w:after="160" w:line="288"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56.1%</w:t>
            </w:r>
          </w:p>
        </w:tc>
      </w:tr>
      <w:tr w:rsidR="00E82A01" w:rsidRPr="00E82A01" w14:paraId="1561DB26" w14:textId="77777777" w:rsidTr="00E82A01">
        <w:tc>
          <w:tcPr>
            <w:cnfStyle w:val="001000000000" w:firstRow="0" w:lastRow="0" w:firstColumn="1" w:lastColumn="0" w:oddVBand="0" w:evenVBand="0" w:oddHBand="0" w:evenHBand="0" w:firstRowFirstColumn="0" w:firstRowLastColumn="0" w:lastRowFirstColumn="0" w:lastRowLastColumn="0"/>
            <w:tcW w:w="2189" w:type="dxa"/>
          </w:tcPr>
          <w:p w14:paraId="2C19A86E" w14:textId="77777777" w:rsidR="00E82A01" w:rsidRPr="00E82A01" w:rsidRDefault="00E82A01" w:rsidP="00E82A01">
            <w:pPr>
              <w:suppressAutoHyphens w:val="0"/>
              <w:spacing w:before="160" w:after="160" w:line="288" w:lineRule="auto"/>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Superiores</w:t>
            </w:r>
          </w:p>
        </w:tc>
        <w:tc>
          <w:tcPr>
            <w:tcW w:w="2250" w:type="dxa"/>
          </w:tcPr>
          <w:p w14:paraId="6F5F5302" w14:textId="77777777" w:rsidR="00E82A01" w:rsidRPr="00E82A01" w:rsidRDefault="00E82A01" w:rsidP="00E82A01">
            <w:pPr>
              <w:suppressAutoHyphens w:val="0"/>
              <w:spacing w:before="160" w:after="160" w:line="288"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0.0%</w:t>
            </w:r>
          </w:p>
        </w:tc>
        <w:tc>
          <w:tcPr>
            <w:tcW w:w="2250" w:type="dxa"/>
          </w:tcPr>
          <w:p w14:paraId="370065C5" w14:textId="77777777" w:rsidR="00E82A01" w:rsidRPr="00E82A01" w:rsidRDefault="00E82A01" w:rsidP="00E82A01">
            <w:pPr>
              <w:suppressAutoHyphens w:val="0"/>
              <w:spacing w:before="160" w:after="160" w:line="288"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19.6%</w:t>
            </w:r>
          </w:p>
        </w:tc>
        <w:tc>
          <w:tcPr>
            <w:tcW w:w="1805" w:type="dxa"/>
          </w:tcPr>
          <w:p w14:paraId="254CFBBA" w14:textId="77777777" w:rsidR="00E82A01" w:rsidRPr="00E82A01" w:rsidRDefault="00E82A01" w:rsidP="00E82A01">
            <w:pPr>
              <w:suppressAutoHyphens w:val="0"/>
              <w:spacing w:before="160" w:after="160" w:line="288"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sz w:val="22"/>
                <w:lang w:eastAsia="es-ES_tradnl" w:bidi="ar-SA"/>
              </w:rPr>
            </w:pPr>
            <w:r w:rsidRPr="00E82A01">
              <w:rPr>
                <w:rFonts w:ascii="Calibri Light" w:eastAsia="Times New Roman" w:hAnsi="Calibri Light" w:cs="Calibri Light"/>
                <w:kern w:val="0"/>
                <w:sz w:val="22"/>
                <w:lang w:eastAsia="es-ES_tradnl" w:bidi="ar-SA"/>
              </w:rPr>
              <w:t>36.4%</w:t>
            </w:r>
          </w:p>
        </w:tc>
      </w:tr>
    </w:tbl>
    <w:p w14:paraId="66210CB4" w14:textId="1E8788F8" w:rsidR="00E82A01" w:rsidRPr="00E82A01" w:rsidRDefault="00E82A01" w:rsidP="00E82A01">
      <w:pPr>
        <w:rPr>
          <w:lang w:val="es-ES_tradnl"/>
        </w:rPr>
      </w:pPr>
      <w:r w:rsidRPr="00E82A01">
        <w:rPr>
          <w:lang w:val="es-ES_tradnl"/>
        </w:rPr>
        <w:t>No obstante, como se puede comprobar tampoco aparecen recogidos datos refe</w:t>
      </w:r>
      <w:r w:rsidR="00E07731">
        <w:rPr>
          <w:lang w:val="es-ES_tradnl"/>
        </w:rPr>
        <w:t xml:space="preserve">rido a la Formación Profesional a la que el proyecto de observación general da importancia fundamental en múltiples párrafos, en particular en el </w:t>
      </w:r>
      <w:r w:rsidR="00E07731" w:rsidRPr="006F12A0">
        <w:rPr>
          <w:b/>
          <w:lang w:val="es-ES_tradnl"/>
        </w:rPr>
        <w:t>párrafo 38.</w:t>
      </w:r>
      <w:r w:rsidR="00E07731">
        <w:rPr>
          <w:lang w:val="es-ES_tradnl"/>
        </w:rPr>
        <w:t xml:space="preserve"> </w:t>
      </w:r>
      <w:r w:rsidRPr="00E82A01">
        <w:rPr>
          <w:lang w:val="es-ES_tradnl"/>
        </w:rPr>
        <w:t xml:space="preserve"> </w:t>
      </w:r>
    </w:p>
    <w:p w14:paraId="7C6EBA07" w14:textId="75E085EE" w:rsidR="00156A77" w:rsidRDefault="00156A77" w:rsidP="00156A77">
      <w:pPr>
        <w:rPr>
          <w:lang w:val="es-ES_tradnl"/>
        </w:rPr>
      </w:pPr>
      <w:r w:rsidRPr="00156A77">
        <w:rPr>
          <w:lang w:val="es-ES_tradnl"/>
        </w:rPr>
        <w:t xml:space="preserve">En relación al </w:t>
      </w:r>
      <w:r w:rsidRPr="00156A77">
        <w:rPr>
          <w:b/>
          <w:lang w:val="es-ES_tradnl"/>
        </w:rPr>
        <w:t>acceso al empleo</w:t>
      </w:r>
      <w:r w:rsidRPr="00156A77">
        <w:rPr>
          <w:lang w:val="es-ES_tradnl"/>
        </w:rPr>
        <w:t xml:space="preserve">, </w:t>
      </w:r>
      <w:r w:rsidR="00E07731">
        <w:rPr>
          <w:lang w:val="es-ES_tradnl"/>
        </w:rPr>
        <w:t xml:space="preserve">y también </w:t>
      </w:r>
      <w:r w:rsidRPr="00156A77">
        <w:rPr>
          <w:lang w:val="es-ES_tradnl"/>
        </w:rPr>
        <w:t>de acuerdo a los últimos datos publicados por el Observatorio sobre discapacidad y mercado de trabajo en España (ODISMET) en 2019:</w:t>
      </w:r>
    </w:p>
    <w:tbl>
      <w:tblPr>
        <w:tblStyle w:val="Tabladecuadrcula5oscura-nfasis61"/>
        <w:tblW w:w="0" w:type="auto"/>
        <w:tblLook w:val="04A0" w:firstRow="1" w:lastRow="0" w:firstColumn="1" w:lastColumn="0" w:noHBand="0" w:noVBand="1"/>
      </w:tblPr>
      <w:tblGrid>
        <w:gridCol w:w="1904"/>
        <w:gridCol w:w="2343"/>
        <w:gridCol w:w="2343"/>
        <w:gridCol w:w="1904"/>
      </w:tblGrid>
      <w:tr w:rsidR="00156A77" w:rsidRPr="00156A77" w14:paraId="05BB0CB1" w14:textId="77777777" w:rsidTr="00156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14:paraId="3EE38891" w14:textId="77777777" w:rsidR="00156A77" w:rsidRPr="00156A77" w:rsidRDefault="00156A77" w:rsidP="00156A77">
            <w:pPr>
              <w:suppressAutoHyphens w:val="0"/>
              <w:spacing w:before="120" w:after="120" w:line="360" w:lineRule="auto"/>
              <w:rPr>
                <w:rFonts w:ascii="Calibri Light" w:eastAsia="Times New Roman" w:hAnsi="Calibri Light" w:cs="Calibri Light"/>
                <w:kern w:val="0"/>
                <w:sz w:val="22"/>
                <w:lang w:eastAsia="es-ES_tradnl" w:bidi="ar-SA"/>
              </w:rPr>
            </w:pPr>
          </w:p>
        </w:tc>
        <w:tc>
          <w:tcPr>
            <w:tcW w:w="2343" w:type="dxa"/>
          </w:tcPr>
          <w:p w14:paraId="39FAFD6A" w14:textId="77777777" w:rsidR="00156A77" w:rsidRPr="00156A77" w:rsidRDefault="00156A77" w:rsidP="00156A77">
            <w:pPr>
              <w:suppressAutoHyphens w:val="0"/>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Personas con discapacidad intelectual</w:t>
            </w:r>
          </w:p>
        </w:tc>
        <w:tc>
          <w:tcPr>
            <w:tcW w:w="2343" w:type="dxa"/>
          </w:tcPr>
          <w:p w14:paraId="6CD8A412" w14:textId="77777777" w:rsidR="00156A77" w:rsidRPr="00156A77" w:rsidRDefault="00156A77" w:rsidP="00156A77">
            <w:pPr>
              <w:suppressAutoHyphens w:val="0"/>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Personas con discapacidad</w:t>
            </w:r>
          </w:p>
        </w:tc>
        <w:tc>
          <w:tcPr>
            <w:tcW w:w="1904" w:type="dxa"/>
          </w:tcPr>
          <w:p w14:paraId="4E1B3B34" w14:textId="77777777" w:rsidR="00156A77" w:rsidRPr="00156A77" w:rsidRDefault="00156A77" w:rsidP="00156A77">
            <w:pPr>
              <w:suppressAutoHyphens w:val="0"/>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Personas sin discapacidad</w:t>
            </w:r>
          </w:p>
        </w:tc>
      </w:tr>
      <w:tr w:rsidR="00156A77" w:rsidRPr="00156A77" w14:paraId="4ADE65F6" w14:textId="77777777" w:rsidTr="0015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14:paraId="73E28AC2" w14:textId="77777777" w:rsidR="00156A77" w:rsidRPr="00156A77" w:rsidRDefault="00156A77" w:rsidP="00156A77">
            <w:pPr>
              <w:suppressAutoHyphens w:val="0"/>
              <w:spacing w:before="120" w:after="120" w:line="360" w:lineRule="auto"/>
              <w:rPr>
                <w:rFonts w:ascii="Calibri Light" w:eastAsia="Times New Roman" w:hAnsi="Calibri Light" w:cs="Calibri Light"/>
                <w:kern w:val="0"/>
                <w:sz w:val="22"/>
                <w:lang w:eastAsia="es-ES_tradnl" w:bidi="ar-SA"/>
              </w:rPr>
            </w:pPr>
            <w:r w:rsidRPr="00156A77">
              <w:rPr>
                <w:rFonts w:ascii="Calibri Light" w:eastAsia="Times New Roman" w:hAnsi="Calibri Light" w:cs="Calibri Light"/>
                <w:kern w:val="0"/>
                <w:sz w:val="22"/>
                <w:lang w:eastAsia="es-ES_tradnl" w:bidi="ar-SA"/>
              </w:rPr>
              <w:t>Población activa</w:t>
            </w:r>
          </w:p>
        </w:tc>
        <w:tc>
          <w:tcPr>
            <w:tcW w:w="2343" w:type="dxa"/>
          </w:tcPr>
          <w:p w14:paraId="54F237FA" w14:textId="77777777" w:rsidR="00156A77" w:rsidRPr="00156A77" w:rsidRDefault="00156A77" w:rsidP="00156A77">
            <w:pPr>
              <w:suppressAutoHyphens w:val="0"/>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lang w:eastAsia="es-ES_tradnl" w:bidi="ar-SA"/>
              </w:rPr>
            </w:pPr>
          </w:p>
        </w:tc>
        <w:tc>
          <w:tcPr>
            <w:tcW w:w="2343" w:type="dxa"/>
          </w:tcPr>
          <w:p w14:paraId="6B5A4344" w14:textId="77777777" w:rsidR="00156A77" w:rsidRPr="00156A77" w:rsidRDefault="00156A77" w:rsidP="00156A77">
            <w:pPr>
              <w:suppressAutoHyphens w:val="0"/>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lang w:eastAsia="es-ES_tradnl" w:bidi="ar-SA"/>
              </w:rPr>
            </w:pPr>
          </w:p>
        </w:tc>
        <w:tc>
          <w:tcPr>
            <w:tcW w:w="1904" w:type="dxa"/>
          </w:tcPr>
          <w:p w14:paraId="00D3728E" w14:textId="77777777" w:rsidR="00156A77" w:rsidRPr="00156A77" w:rsidRDefault="00156A77" w:rsidP="00156A77">
            <w:pPr>
              <w:suppressAutoHyphens w:val="0"/>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lang w:eastAsia="es-ES_tradnl" w:bidi="ar-SA"/>
              </w:rPr>
            </w:pPr>
          </w:p>
        </w:tc>
      </w:tr>
      <w:tr w:rsidR="00156A77" w:rsidRPr="00156A77" w14:paraId="1DBE56B8" w14:textId="77777777" w:rsidTr="00156A77">
        <w:tc>
          <w:tcPr>
            <w:cnfStyle w:val="001000000000" w:firstRow="0" w:lastRow="0" w:firstColumn="1" w:lastColumn="0" w:oddVBand="0" w:evenVBand="0" w:oddHBand="0" w:evenHBand="0" w:firstRowFirstColumn="0" w:firstRowLastColumn="0" w:lastRowFirstColumn="0" w:lastRowLastColumn="0"/>
            <w:tcW w:w="1904" w:type="dxa"/>
          </w:tcPr>
          <w:p w14:paraId="50FA66EF" w14:textId="77777777" w:rsidR="00156A77" w:rsidRPr="00156A77" w:rsidRDefault="00156A77" w:rsidP="00156A77">
            <w:pPr>
              <w:suppressAutoHyphens w:val="0"/>
              <w:spacing w:before="120" w:after="120" w:line="360" w:lineRule="auto"/>
              <w:rPr>
                <w:rFonts w:ascii="Calibri Light" w:eastAsia="Times New Roman" w:hAnsi="Calibri Light" w:cs="Calibri Light"/>
                <w:kern w:val="0"/>
                <w:sz w:val="22"/>
                <w:lang w:eastAsia="es-ES_tradnl" w:bidi="ar-SA"/>
              </w:rPr>
            </w:pPr>
            <w:r w:rsidRPr="00156A77">
              <w:rPr>
                <w:rFonts w:ascii="Calibri Light" w:eastAsia="Times New Roman" w:hAnsi="Calibri Light" w:cs="Calibri Light"/>
                <w:kern w:val="0"/>
                <w:sz w:val="22"/>
                <w:lang w:eastAsia="es-ES_tradnl" w:bidi="ar-SA"/>
              </w:rPr>
              <w:t>Población inactiva</w:t>
            </w:r>
          </w:p>
        </w:tc>
        <w:tc>
          <w:tcPr>
            <w:tcW w:w="2343" w:type="dxa"/>
          </w:tcPr>
          <w:p w14:paraId="314BB897" w14:textId="77777777" w:rsidR="00156A77" w:rsidRPr="00156A77" w:rsidRDefault="00156A77" w:rsidP="00156A77">
            <w:pPr>
              <w:suppressAutoHyphens w:val="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41%</w:t>
            </w:r>
          </w:p>
        </w:tc>
        <w:tc>
          <w:tcPr>
            <w:tcW w:w="2343" w:type="dxa"/>
          </w:tcPr>
          <w:p w14:paraId="40F5438F" w14:textId="77777777" w:rsidR="00156A77" w:rsidRPr="00156A77" w:rsidRDefault="00156A77" w:rsidP="00156A77">
            <w:pPr>
              <w:suppressAutoHyphens w:val="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66%</w:t>
            </w:r>
          </w:p>
        </w:tc>
        <w:tc>
          <w:tcPr>
            <w:tcW w:w="1904" w:type="dxa"/>
          </w:tcPr>
          <w:p w14:paraId="1C2DA276" w14:textId="77777777" w:rsidR="00156A77" w:rsidRPr="00156A77" w:rsidRDefault="00156A77" w:rsidP="00156A77">
            <w:pPr>
              <w:suppressAutoHyphens w:val="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22.3%</w:t>
            </w:r>
          </w:p>
        </w:tc>
      </w:tr>
      <w:tr w:rsidR="00156A77" w:rsidRPr="00156A77" w14:paraId="03367D29" w14:textId="77777777" w:rsidTr="0015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14:paraId="2A11A01F" w14:textId="77777777" w:rsidR="00156A77" w:rsidRPr="00156A77" w:rsidRDefault="00156A77" w:rsidP="00156A77">
            <w:pPr>
              <w:suppressAutoHyphens w:val="0"/>
              <w:spacing w:before="120" w:after="120" w:line="360" w:lineRule="auto"/>
              <w:rPr>
                <w:rFonts w:ascii="Calibri Light" w:eastAsia="Times New Roman" w:hAnsi="Calibri Light" w:cs="Calibri Light"/>
                <w:kern w:val="0"/>
                <w:sz w:val="22"/>
                <w:lang w:eastAsia="es-ES_tradnl" w:bidi="ar-SA"/>
              </w:rPr>
            </w:pPr>
            <w:r w:rsidRPr="00156A77">
              <w:rPr>
                <w:rFonts w:ascii="Calibri Light" w:eastAsia="Times New Roman" w:hAnsi="Calibri Light" w:cs="Calibri Light"/>
                <w:kern w:val="0"/>
                <w:sz w:val="22"/>
                <w:lang w:eastAsia="es-ES_tradnl" w:bidi="ar-SA"/>
              </w:rPr>
              <w:t>Tasa de actividad</w:t>
            </w:r>
          </w:p>
        </w:tc>
        <w:tc>
          <w:tcPr>
            <w:tcW w:w="2343" w:type="dxa"/>
          </w:tcPr>
          <w:p w14:paraId="01387F7C" w14:textId="77777777" w:rsidR="00156A77" w:rsidRPr="00156A77" w:rsidRDefault="00156A77" w:rsidP="00156A77">
            <w:pPr>
              <w:suppressAutoHyphens w:val="0"/>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30.3%</w:t>
            </w:r>
          </w:p>
        </w:tc>
        <w:tc>
          <w:tcPr>
            <w:tcW w:w="2343" w:type="dxa"/>
          </w:tcPr>
          <w:p w14:paraId="6F7F70B1" w14:textId="77777777" w:rsidR="00156A77" w:rsidRPr="00156A77" w:rsidRDefault="00156A77" w:rsidP="00156A77">
            <w:pPr>
              <w:suppressAutoHyphens w:val="0"/>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34%</w:t>
            </w:r>
          </w:p>
        </w:tc>
        <w:tc>
          <w:tcPr>
            <w:tcW w:w="1904" w:type="dxa"/>
          </w:tcPr>
          <w:p w14:paraId="07131C6F" w14:textId="77777777" w:rsidR="00156A77" w:rsidRPr="00156A77" w:rsidRDefault="00156A77" w:rsidP="00156A77">
            <w:pPr>
              <w:suppressAutoHyphens w:val="0"/>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77.7%</w:t>
            </w:r>
          </w:p>
        </w:tc>
      </w:tr>
      <w:tr w:rsidR="00156A77" w:rsidRPr="00156A77" w14:paraId="5A277406" w14:textId="77777777" w:rsidTr="00156A77">
        <w:tc>
          <w:tcPr>
            <w:cnfStyle w:val="001000000000" w:firstRow="0" w:lastRow="0" w:firstColumn="1" w:lastColumn="0" w:oddVBand="0" w:evenVBand="0" w:oddHBand="0" w:evenHBand="0" w:firstRowFirstColumn="0" w:firstRowLastColumn="0" w:lastRowFirstColumn="0" w:lastRowLastColumn="0"/>
            <w:tcW w:w="1904" w:type="dxa"/>
          </w:tcPr>
          <w:p w14:paraId="5C6C2F29" w14:textId="77777777" w:rsidR="00156A77" w:rsidRPr="00156A77" w:rsidRDefault="00156A77" w:rsidP="00156A77">
            <w:pPr>
              <w:suppressAutoHyphens w:val="0"/>
              <w:spacing w:before="120" w:after="120" w:line="360" w:lineRule="auto"/>
              <w:rPr>
                <w:rFonts w:ascii="Calibri Light" w:eastAsia="Times New Roman" w:hAnsi="Calibri Light" w:cs="Calibri Light"/>
                <w:kern w:val="0"/>
                <w:sz w:val="22"/>
                <w:lang w:eastAsia="es-ES_tradnl" w:bidi="ar-SA"/>
              </w:rPr>
            </w:pPr>
            <w:r w:rsidRPr="00156A77">
              <w:rPr>
                <w:rFonts w:ascii="Calibri Light" w:eastAsia="Times New Roman" w:hAnsi="Calibri Light" w:cs="Calibri Light"/>
                <w:kern w:val="0"/>
                <w:sz w:val="22"/>
                <w:lang w:eastAsia="es-ES_tradnl" w:bidi="ar-SA"/>
              </w:rPr>
              <w:t>Tasa de empleo</w:t>
            </w:r>
          </w:p>
        </w:tc>
        <w:tc>
          <w:tcPr>
            <w:tcW w:w="2343" w:type="dxa"/>
          </w:tcPr>
          <w:p w14:paraId="3D5A2A9D" w14:textId="77777777" w:rsidR="00156A77" w:rsidRPr="00156A77" w:rsidRDefault="00156A77" w:rsidP="00156A77">
            <w:pPr>
              <w:suppressAutoHyphens w:val="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20.4%</w:t>
            </w:r>
          </w:p>
        </w:tc>
        <w:tc>
          <w:tcPr>
            <w:tcW w:w="2343" w:type="dxa"/>
          </w:tcPr>
          <w:p w14:paraId="47219709" w14:textId="77777777" w:rsidR="00156A77" w:rsidRPr="00156A77" w:rsidRDefault="00156A77" w:rsidP="00156A77">
            <w:pPr>
              <w:suppressAutoHyphens w:val="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25.9%</w:t>
            </w:r>
          </w:p>
        </w:tc>
        <w:tc>
          <w:tcPr>
            <w:tcW w:w="1904" w:type="dxa"/>
          </w:tcPr>
          <w:p w14:paraId="6EAC117A" w14:textId="77777777" w:rsidR="00156A77" w:rsidRPr="00156A77" w:rsidRDefault="00156A77" w:rsidP="00156A77">
            <w:pPr>
              <w:suppressAutoHyphens w:val="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66.9%</w:t>
            </w:r>
          </w:p>
        </w:tc>
      </w:tr>
      <w:tr w:rsidR="00156A77" w:rsidRPr="00156A77" w14:paraId="13ECA72C" w14:textId="77777777" w:rsidTr="0015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14:paraId="369AEA04" w14:textId="77777777" w:rsidR="00156A77" w:rsidRPr="00156A77" w:rsidRDefault="00156A77" w:rsidP="00156A77">
            <w:pPr>
              <w:suppressAutoHyphens w:val="0"/>
              <w:spacing w:before="120" w:after="120" w:line="360" w:lineRule="auto"/>
              <w:rPr>
                <w:rFonts w:ascii="Calibri Light" w:eastAsia="Times New Roman" w:hAnsi="Calibri Light" w:cs="Calibri Light"/>
                <w:kern w:val="0"/>
                <w:sz w:val="22"/>
                <w:lang w:eastAsia="es-ES_tradnl" w:bidi="ar-SA"/>
              </w:rPr>
            </w:pPr>
            <w:r w:rsidRPr="00156A77">
              <w:rPr>
                <w:rFonts w:ascii="Calibri Light" w:eastAsia="Times New Roman" w:hAnsi="Calibri Light" w:cs="Calibri Light"/>
                <w:kern w:val="0"/>
                <w:sz w:val="22"/>
                <w:lang w:eastAsia="es-ES_tradnl" w:bidi="ar-SA"/>
              </w:rPr>
              <w:t>Tasa de paro</w:t>
            </w:r>
          </w:p>
        </w:tc>
        <w:tc>
          <w:tcPr>
            <w:tcW w:w="2343" w:type="dxa"/>
          </w:tcPr>
          <w:p w14:paraId="70105B24" w14:textId="77777777" w:rsidR="00156A77" w:rsidRPr="00156A77" w:rsidRDefault="00156A77" w:rsidP="00156A77">
            <w:pPr>
              <w:suppressAutoHyphens w:val="0"/>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lang w:eastAsia="es-ES_tradnl" w:bidi="ar-SA"/>
              </w:rPr>
            </w:pPr>
          </w:p>
        </w:tc>
        <w:tc>
          <w:tcPr>
            <w:tcW w:w="2343" w:type="dxa"/>
          </w:tcPr>
          <w:p w14:paraId="3E855D0E" w14:textId="77777777" w:rsidR="00156A77" w:rsidRPr="00156A77" w:rsidRDefault="00156A77" w:rsidP="00156A77">
            <w:pPr>
              <w:suppressAutoHyphens w:val="0"/>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23.9%</w:t>
            </w:r>
          </w:p>
        </w:tc>
        <w:tc>
          <w:tcPr>
            <w:tcW w:w="1904" w:type="dxa"/>
          </w:tcPr>
          <w:p w14:paraId="1D4FA7FF" w14:textId="77777777" w:rsidR="00156A77" w:rsidRPr="00156A77" w:rsidRDefault="00156A77" w:rsidP="00156A77">
            <w:pPr>
              <w:suppressAutoHyphens w:val="0"/>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kern w:val="0"/>
                <w:lang w:eastAsia="es-ES_tradnl" w:bidi="ar-SA"/>
              </w:rPr>
            </w:pPr>
            <w:r w:rsidRPr="00156A77">
              <w:rPr>
                <w:rFonts w:ascii="Calibri Light" w:eastAsia="Times New Roman" w:hAnsi="Calibri Light" w:cs="Calibri Light"/>
                <w:kern w:val="0"/>
                <w:lang w:eastAsia="es-ES_tradnl" w:bidi="ar-SA"/>
              </w:rPr>
              <w:t>13.9%</w:t>
            </w:r>
          </w:p>
        </w:tc>
      </w:tr>
    </w:tbl>
    <w:p w14:paraId="78D60C09" w14:textId="2171EBCB" w:rsidR="00156A77" w:rsidRPr="00156A77" w:rsidRDefault="00C72B4B" w:rsidP="00156A77">
      <w:pPr>
        <w:suppressAutoHyphens w:val="0"/>
        <w:spacing w:before="0" w:after="0" w:line="240" w:lineRule="auto"/>
        <w:jc w:val="left"/>
        <w:rPr>
          <w:rFonts w:ascii="Calibri Light" w:eastAsia="Times New Roman" w:hAnsi="Calibri Light" w:cs="Calibri Light"/>
          <w:kern w:val="0"/>
          <w:lang w:eastAsia="es-ES_tradnl" w:bidi="ar-SA"/>
        </w:rPr>
      </w:pPr>
      <w:r>
        <w:rPr>
          <w:rFonts w:ascii="Calibri Light" w:eastAsia="Times New Roman" w:hAnsi="Calibri Light" w:cs="Calibri Light"/>
          <w:kern w:val="0"/>
          <w:lang w:eastAsia="es-ES_tradnl" w:bidi="ar-SA"/>
        </w:rPr>
        <w:t xml:space="preserve">Elaboración propia de acuerdo a los datos del ODISMET 2019. </w:t>
      </w:r>
    </w:p>
    <w:p w14:paraId="4698B94B" w14:textId="77777777" w:rsidR="00156A77" w:rsidRPr="00156A77" w:rsidRDefault="00156A77" w:rsidP="00156A77">
      <w:pPr>
        <w:rPr>
          <w:lang w:val="es-ES_tradnl"/>
        </w:rPr>
      </w:pPr>
      <w:r w:rsidRPr="00156A77">
        <w:rPr>
          <w:lang w:val="es-ES_tradnl"/>
        </w:rPr>
        <w:t xml:space="preserve">Tal y como se puede observar, las tasas de inactividad de las personas con discapacidad intelectual doblan al de personas sin discapacidad. Además, en relación a la actividad están 47 puntos por debajo de la población sin discapacidad y 4 puntos por debajo del conjunto de la población con discapacidad; y en relación al empleo, nuevamente se encuentran de las personas con discapacidad intelectual 45.5 puntos porcentuales por debajo de la población general y 5.5 puntos por debajo por debajo del conjunto de las personas con discapacidad.  </w:t>
      </w:r>
    </w:p>
    <w:p w14:paraId="6C094E2E" w14:textId="6F7A0364" w:rsidR="00156A77" w:rsidRPr="00156A77" w:rsidRDefault="00156A77" w:rsidP="00156A77">
      <w:pPr>
        <w:rPr>
          <w:lang w:val="es-ES_tradnl"/>
        </w:rPr>
      </w:pPr>
      <w:r w:rsidRPr="00156A77">
        <w:rPr>
          <w:lang w:val="es-ES_tradnl"/>
        </w:rPr>
        <w:t>Además, debido a la baja cualificación estos suelen ser empleos de baja calidad y con sueldos muy inferiores a la media de la población</w:t>
      </w:r>
      <w:r w:rsidR="00C72B4B">
        <w:rPr>
          <w:lang w:val="es-ES_tradnl"/>
        </w:rPr>
        <w:t>. Por ejemplo, de acuerdo a datos de ODISMET, el salario medio de las personas con discapacidad intelectual en 2018 era de 787,4€ frente a los 1.328,7 de las personas con discapacidad física</w:t>
      </w:r>
      <w:r w:rsidR="00AD0B2E">
        <w:rPr>
          <w:lang w:val="es-ES_tradnl"/>
        </w:rPr>
        <w:t xml:space="preserve"> </w:t>
      </w:r>
      <w:r w:rsidR="00C72B4B">
        <w:rPr>
          <w:lang w:val="es-ES_tradnl"/>
        </w:rPr>
        <w:t xml:space="preserve">o </w:t>
      </w:r>
      <w:r w:rsidR="00AD0B2E">
        <w:rPr>
          <w:lang w:val="es-ES_tradnl"/>
        </w:rPr>
        <w:t xml:space="preserve">los </w:t>
      </w:r>
      <w:r w:rsidR="00C72B4B">
        <w:rPr>
          <w:lang w:val="es-ES_tradnl"/>
        </w:rPr>
        <w:t>1.438,9</w:t>
      </w:r>
      <w:r w:rsidR="00AD0B2E">
        <w:rPr>
          <w:lang w:val="es-ES_tradnl"/>
        </w:rPr>
        <w:t>€</w:t>
      </w:r>
      <w:r w:rsidR="00C72B4B">
        <w:rPr>
          <w:lang w:val="es-ES_tradnl"/>
        </w:rPr>
        <w:t xml:space="preserve"> de las pers</w:t>
      </w:r>
      <w:r w:rsidR="00AD0B2E">
        <w:rPr>
          <w:lang w:val="es-ES_tradnl"/>
        </w:rPr>
        <w:t>onas con discapacidad sensorial</w:t>
      </w:r>
      <w:r w:rsidRPr="00156A77">
        <w:rPr>
          <w:lang w:val="es-ES_tradnl"/>
        </w:rPr>
        <w:t>.</w:t>
      </w:r>
    </w:p>
    <w:p w14:paraId="02B89049" w14:textId="096DBCFB" w:rsidR="00156A77" w:rsidRDefault="00156A77" w:rsidP="00156A77">
      <w:pPr>
        <w:rPr>
          <w:lang w:val="es-ES_tradnl"/>
        </w:rPr>
      </w:pPr>
      <w:r w:rsidRPr="00156A77">
        <w:rPr>
          <w:lang w:val="es-ES_tradnl"/>
        </w:rPr>
        <w:t xml:space="preserve">Las mayores tasas de contratación a personas con discapacidad intelectual están en los sectores más elementales y precarizados: </w:t>
      </w:r>
      <w:r w:rsidR="00AD0B2E">
        <w:rPr>
          <w:lang w:val="es-ES_tradnl"/>
        </w:rPr>
        <w:t>l</w:t>
      </w:r>
      <w:r w:rsidRPr="00156A77">
        <w:rPr>
          <w:lang w:val="es-ES_tradnl"/>
        </w:rPr>
        <w:t xml:space="preserve">impieza, </w:t>
      </w:r>
      <w:r w:rsidR="00AD0B2E">
        <w:rPr>
          <w:lang w:val="es-ES_tradnl"/>
        </w:rPr>
        <w:t>p</w:t>
      </w:r>
      <w:r w:rsidRPr="00156A77">
        <w:rPr>
          <w:lang w:val="es-ES_tradnl"/>
        </w:rPr>
        <w:t xml:space="preserve">eones de las industrias manufactureras, </w:t>
      </w:r>
      <w:r w:rsidR="00AD0B2E">
        <w:rPr>
          <w:lang w:val="es-ES_tradnl"/>
        </w:rPr>
        <w:t>c</w:t>
      </w:r>
      <w:r w:rsidRPr="00156A77">
        <w:rPr>
          <w:lang w:val="es-ES_tradnl"/>
        </w:rPr>
        <w:t xml:space="preserve">onserjes de edificios y </w:t>
      </w:r>
      <w:r w:rsidR="00AD0B2E">
        <w:rPr>
          <w:lang w:val="es-ES_tradnl"/>
        </w:rPr>
        <w:t>empleados de ventas de apuestas.</w:t>
      </w:r>
    </w:p>
    <w:p w14:paraId="51F796AA" w14:textId="77777777" w:rsidR="009432A9" w:rsidRPr="00156A77" w:rsidRDefault="009432A9" w:rsidP="00156A77">
      <w:pPr>
        <w:rPr>
          <w:lang w:val="es-ES_tradnl"/>
        </w:rPr>
      </w:pPr>
    </w:p>
    <w:p w14:paraId="7647D53B" w14:textId="6AECF812" w:rsidR="00AE5F4A" w:rsidRPr="009432A9" w:rsidRDefault="00AE5F4A" w:rsidP="000C4876">
      <w:pPr>
        <w:pStyle w:val="Heading2"/>
        <w:rPr>
          <w:color w:val="339933"/>
          <w:sz w:val="32"/>
          <w:lang w:val="es-ES_tradnl"/>
        </w:rPr>
      </w:pPr>
      <w:r w:rsidRPr="009432A9">
        <w:rPr>
          <w:color w:val="339933"/>
          <w:sz w:val="32"/>
          <w:lang w:val="es-ES_tradnl"/>
        </w:rPr>
        <w:t xml:space="preserve">3.- Observaciones al texto </w:t>
      </w:r>
      <w:r w:rsidR="00AD0B2E" w:rsidRPr="009432A9">
        <w:rPr>
          <w:color w:val="339933"/>
          <w:sz w:val="32"/>
          <w:lang w:val="es-ES_tradnl"/>
        </w:rPr>
        <w:t>del proyecto</w:t>
      </w:r>
      <w:r w:rsidR="000940EA" w:rsidRPr="009432A9">
        <w:rPr>
          <w:color w:val="339933"/>
          <w:sz w:val="32"/>
          <w:lang w:val="es-ES_tradnl"/>
        </w:rPr>
        <w:t xml:space="preserve"> de observación general</w:t>
      </w:r>
    </w:p>
    <w:p w14:paraId="2DAB2740" w14:textId="07388BEC" w:rsidR="003B3122" w:rsidRDefault="00AD0B2E" w:rsidP="00096E72">
      <w:r w:rsidRPr="00AD0B2E">
        <w:t xml:space="preserve">Desde </w:t>
      </w:r>
      <w:r>
        <w:t>Plena inclusión</w:t>
      </w:r>
      <w:r w:rsidRPr="00AD0B2E">
        <w:t xml:space="preserve"> valoramos positivamente la consulta pública lanzada por el Comité sobre los Derechos de las Personas con Discapacidad en relación con el borrador de Observación General sobre el artículo 27</w:t>
      </w:r>
      <w:r>
        <w:t xml:space="preserve"> sobre el derecho al trabajo y al empleo</w:t>
      </w:r>
      <w:r w:rsidRPr="00AD0B2E">
        <w:t xml:space="preserve"> de la </w:t>
      </w:r>
      <w:r>
        <w:t xml:space="preserve">Convención sobre los derechos de las personas con discapacidad y </w:t>
      </w:r>
      <w:r w:rsidR="00032DCD">
        <w:t xml:space="preserve">le </w:t>
      </w:r>
      <w:r>
        <w:t xml:space="preserve">hacemos llegar las siguientes observaciones a los diferentes párrafos del proyecto: </w:t>
      </w:r>
    </w:p>
    <w:p w14:paraId="17160638" w14:textId="77777777" w:rsidR="00AD0B2E" w:rsidRPr="00AD0B2E" w:rsidRDefault="00AD0B2E" w:rsidP="00AD0B2E">
      <w:pPr>
        <w:rPr>
          <w:b/>
          <w:bCs/>
          <w:color w:val="339933"/>
          <w:u w:val="single"/>
        </w:rPr>
      </w:pPr>
      <w:r w:rsidRPr="00AD0B2E">
        <w:rPr>
          <w:b/>
          <w:bCs/>
          <w:color w:val="339933"/>
          <w:u w:val="single"/>
        </w:rPr>
        <w:t>Primera: párrafo 3</w:t>
      </w:r>
    </w:p>
    <w:p w14:paraId="42F944FF" w14:textId="77777777" w:rsidR="00AD0B2E" w:rsidRPr="00AD0B2E" w:rsidRDefault="00AD0B2E" w:rsidP="00AD0B2E">
      <w:pPr>
        <w:ind w:left="709"/>
        <w:rPr>
          <w:i/>
        </w:rPr>
      </w:pPr>
      <w:r w:rsidRPr="00AD0B2E">
        <w:rPr>
          <w:i/>
        </w:rPr>
        <w:t>3.</w:t>
      </w:r>
      <w:r w:rsidRPr="00AD0B2E">
        <w:rPr>
          <w:i/>
        </w:rPr>
        <w:tab/>
        <w:t xml:space="preserve">El trabajo y el empleo </w:t>
      </w:r>
      <w:r w:rsidRPr="00AD0B2E">
        <w:rPr>
          <w:b/>
          <w:i/>
          <w:color w:val="339933"/>
          <w:u w:val="single"/>
        </w:rPr>
        <w:t>decente</w:t>
      </w:r>
      <w:r w:rsidRPr="00AD0B2E">
        <w:rPr>
          <w:i/>
        </w:rPr>
        <w:t xml:space="preserve"> y significativos son esenciales para la seguridad económica de una persona, su salud física y mental, su bienestar personal y su sentido de identidad. Sin embargo, el Comité es consciente de que un sistema de valores conocido como capacitismo afecta […]</w:t>
      </w:r>
    </w:p>
    <w:p w14:paraId="68BFDBF5" w14:textId="529F796C" w:rsidR="00AD0B2E" w:rsidRPr="00AD0B2E" w:rsidRDefault="00AD0B2E" w:rsidP="00AD0B2E">
      <w:r w:rsidRPr="00AD0B2E">
        <w:rPr>
          <w:b/>
          <w:bCs/>
        </w:rPr>
        <w:t>Justificación:</w:t>
      </w:r>
      <w:r>
        <w:rPr>
          <w:b/>
          <w:bCs/>
        </w:rPr>
        <w:t xml:space="preserve"> </w:t>
      </w:r>
      <w:r w:rsidRPr="00AD0B2E">
        <w:t>El concepto de trabajo decente debe aparecer en este apartado con el pleno significado y los pilares en los que se basa la OIT:  “la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mujeres y hombres.”</w:t>
      </w:r>
    </w:p>
    <w:p w14:paraId="6488C0B2" w14:textId="77777777" w:rsidR="00AD0B2E" w:rsidRPr="00AD0B2E" w:rsidRDefault="00AD0B2E" w:rsidP="00AD0B2E">
      <w:pPr>
        <w:rPr>
          <w:b/>
          <w:bCs/>
          <w:color w:val="339933"/>
          <w:u w:val="single"/>
        </w:rPr>
      </w:pPr>
      <w:r w:rsidRPr="00AD0B2E">
        <w:rPr>
          <w:b/>
          <w:bCs/>
          <w:color w:val="339933"/>
          <w:u w:val="single"/>
        </w:rPr>
        <w:t>Segunda: párrafo 3</w:t>
      </w:r>
    </w:p>
    <w:p w14:paraId="6D555D81" w14:textId="7DE1D44F" w:rsidR="00AD0B2E" w:rsidRPr="00814E5D" w:rsidRDefault="00814E5D" w:rsidP="00814E5D">
      <w:pPr>
        <w:ind w:left="709"/>
        <w:rPr>
          <w:i/>
        </w:rPr>
      </w:pPr>
      <w:r w:rsidRPr="00814E5D">
        <w:rPr>
          <w:i/>
        </w:rPr>
        <w:t xml:space="preserve">3. </w:t>
      </w:r>
      <w:r w:rsidR="00AD0B2E" w:rsidRPr="00814E5D">
        <w:rPr>
          <w:i/>
        </w:rPr>
        <w:t xml:space="preserve">El trabajo y el empleo significativos […] El capacitismo es la base de los prejuicios sociales y conduce a la desigualdad y a la discriminación de las personas con discapacidad, ya que informa la legislación, las políticas y las </w:t>
      </w:r>
      <w:r w:rsidR="00AD0B2E" w:rsidRPr="00814E5D">
        <w:rPr>
          <w:b/>
          <w:i/>
          <w:color w:val="339933"/>
          <w:u w:val="single"/>
        </w:rPr>
        <w:t>prácticas segregadoras</w:t>
      </w:r>
      <w:r w:rsidR="00AD0B2E" w:rsidRPr="00814E5D">
        <w:rPr>
          <w:i/>
          <w:color w:val="339933"/>
        </w:rPr>
        <w:t xml:space="preserve"> </w:t>
      </w:r>
      <w:r w:rsidR="00AD0B2E" w:rsidRPr="00814E5D">
        <w:rPr>
          <w:i/>
          <w:strike/>
        </w:rPr>
        <w:t>como el empleo segregado, por ejemplo los "talleres protegidos"</w:t>
      </w:r>
      <w:r w:rsidR="00AD0B2E" w:rsidRPr="00814E5D">
        <w:rPr>
          <w:i/>
        </w:rPr>
        <w:t>, o puede dar lugar a la participación involuntaria en la economía informal.</w:t>
      </w:r>
    </w:p>
    <w:p w14:paraId="008621AC" w14:textId="516D92D3" w:rsidR="00AD0B2E" w:rsidRPr="00AD0B2E" w:rsidRDefault="00AD0B2E" w:rsidP="00AD0B2E">
      <w:r w:rsidRPr="00AD0B2E">
        <w:rPr>
          <w:b/>
          <w:bCs/>
        </w:rPr>
        <w:t>Justificación:</w:t>
      </w:r>
      <w:r>
        <w:rPr>
          <w:b/>
          <w:bCs/>
        </w:rPr>
        <w:t xml:space="preserve"> </w:t>
      </w:r>
      <w:r w:rsidRPr="00AD0B2E">
        <w:t>Las prácticas segregadoras pueden producirse en múltiples ámbitos tal y como se recoge en la propia Observación General e incluso, en algunas situaciones más, no recogidas específicamente como las situaciones de segregación horizontal y vertical. Creemos preferible una referencia que aluda a toda práctica segregadora.</w:t>
      </w:r>
    </w:p>
    <w:p w14:paraId="0D18E836" w14:textId="77777777" w:rsidR="00814E5D" w:rsidRDefault="00814E5D" w:rsidP="00814E5D">
      <w:pPr>
        <w:rPr>
          <w:b/>
          <w:bCs/>
          <w:u w:val="single"/>
        </w:rPr>
      </w:pPr>
    </w:p>
    <w:p w14:paraId="35186C58" w14:textId="367A4E41" w:rsidR="00814E5D" w:rsidRPr="00814E5D" w:rsidRDefault="00814E5D" w:rsidP="00814E5D">
      <w:pPr>
        <w:rPr>
          <w:b/>
          <w:bCs/>
          <w:color w:val="339933"/>
          <w:u w:val="single"/>
        </w:rPr>
      </w:pPr>
      <w:r w:rsidRPr="00814E5D">
        <w:rPr>
          <w:b/>
          <w:bCs/>
          <w:color w:val="339933"/>
          <w:u w:val="single"/>
        </w:rPr>
        <w:t>Tercera: párrafo 4</w:t>
      </w:r>
    </w:p>
    <w:p w14:paraId="05013D92" w14:textId="2C785159" w:rsidR="00814E5D" w:rsidRPr="00814E5D" w:rsidRDefault="00814E5D" w:rsidP="00814E5D">
      <w:pPr>
        <w:ind w:left="709"/>
        <w:rPr>
          <w:i/>
        </w:rPr>
      </w:pPr>
      <w:r w:rsidRPr="00814E5D">
        <w:rPr>
          <w:i/>
        </w:rPr>
        <w:t xml:space="preserve">4. Además del capacitismo, […] Las personas con discapacidad se enfrentan a altas tasas </w:t>
      </w:r>
      <w:r w:rsidRPr="00814E5D">
        <w:rPr>
          <w:b/>
          <w:i/>
          <w:color w:val="339933"/>
          <w:u w:val="single"/>
        </w:rPr>
        <w:t>de inactividad</w:t>
      </w:r>
      <w:r w:rsidRPr="00814E5D">
        <w:rPr>
          <w:i/>
          <w:color w:val="339933"/>
        </w:rPr>
        <w:t xml:space="preserve"> </w:t>
      </w:r>
      <w:r w:rsidRPr="00814E5D">
        <w:rPr>
          <w:i/>
        </w:rPr>
        <w:t xml:space="preserve">y de desempleo, a salarios más bajos, </w:t>
      </w:r>
      <w:r w:rsidRPr="00814E5D">
        <w:rPr>
          <w:b/>
          <w:i/>
          <w:color w:val="339933"/>
          <w:u w:val="single"/>
        </w:rPr>
        <w:t>a situaciones de segregación ocupacional</w:t>
      </w:r>
      <w:r w:rsidRPr="00814E5D">
        <w:rPr>
          <w:i/>
        </w:rPr>
        <w:t>, a la inestabilidad, a estándares más bajos en las condiciones de contratación, a la falta de accesibilidad al entorno laboral y al hecho de que también tienen menos probabilidades de acceder a puestos directivos cuando tienen un empleo formal, situaciones que se agravan en el caso de las mujeres con discapacidad</w:t>
      </w:r>
      <w:r>
        <w:rPr>
          <w:i/>
        </w:rPr>
        <w:t xml:space="preserve"> </w:t>
      </w:r>
      <w:r w:rsidRPr="00814E5D">
        <w:rPr>
          <w:b/>
          <w:i/>
          <w:color w:val="339933"/>
          <w:u w:val="single"/>
        </w:rPr>
        <w:t>o de las personas con discapacidad intelectual y del desarollo</w:t>
      </w:r>
      <w:r w:rsidRPr="00814E5D">
        <w:rPr>
          <w:b/>
          <w:i/>
          <w:u w:val="single"/>
        </w:rPr>
        <w:t>.</w:t>
      </w:r>
      <w:r w:rsidRPr="00814E5D">
        <w:rPr>
          <w:i/>
        </w:rPr>
        <w:t xml:space="preserve"> […].</w:t>
      </w:r>
    </w:p>
    <w:p w14:paraId="728E1304" w14:textId="11F0CE81" w:rsidR="00814E5D" w:rsidRPr="00814E5D" w:rsidRDefault="00814E5D" w:rsidP="00814E5D">
      <w:r w:rsidRPr="00814E5D">
        <w:rPr>
          <w:b/>
          <w:bCs/>
        </w:rPr>
        <w:t>Justificación:</w:t>
      </w:r>
      <w:r>
        <w:rPr>
          <w:b/>
          <w:bCs/>
        </w:rPr>
        <w:t xml:space="preserve"> </w:t>
      </w:r>
      <w:r w:rsidRPr="00814E5D">
        <w:t>Es especialmente preocupante, no solo el alto nivel de desempleo, sino el elevadísimo número de personas con discapacidad que no tienen trabajo, que forzosamente están y permanecen inactivas. Que no tienen trabajo, ni formal ni informal, y que no lo buscan, en muchas ocasiones, como consecuencia del desánimo ante las escasas oportunidades laborales y ante los intentos fallidos de lograr un empleo o no conseguir mantenerlo en el tiempo.</w:t>
      </w:r>
    </w:p>
    <w:p w14:paraId="4F7C6648" w14:textId="5B9A821E" w:rsidR="00814E5D" w:rsidRDefault="00814E5D" w:rsidP="00814E5D">
      <w:r w:rsidRPr="00814E5D">
        <w:t>La segregación ocupacional (vertical y horizontal) por razón de discapacidad es también una barrera y una situación de desigualdad que provoca, además, consecuencias en la permanencia de otras desigualdades en los mercados laborales (niveles salariales, promoción profesional, etc.).</w:t>
      </w:r>
    </w:p>
    <w:p w14:paraId="517EA0F9" w14:textId="11B13145" w:rsidR="00814E5D" w:rsidRPr="00814E5D" w:rsidRDefault="00814E5D" w:rsidP="00814E5D">
      <w:r>
        <w:t>Por otro lado, tal y como se ha justificado en el apartado 2 del presente documento, en relación tanto al nivel de formación como al empleo, la situación de las personas con discapacidad intelectual y del desarrollo (personas con autismo, parálisis cerebral y otros) es la peor con mucha diferencia con respecto a las demás discapacidades, por lo que solicitamos al Comité que refleje esta situación en alguna parte de la Observación Gen</w:t>
      </w:r>
      <w:r w:rsidR="00526E6F">
        <w:t xml:space="preserve">eral y la necesidad de medidas de acción positiva específicamente dirigidas a mejorar su situación actual. </w:t>
      </w:r>
    </w:p>
    <w:p w14:paraId="60438CEA" w14:textId="4062F3D3" w:rsidR="00AD0B2E" w:rsidRDefault="00AD0B2E" w:rsidP="00096E72">
      <w:pPr>
        <w:rPr>
          <w:lang w:val="es-ES_tradnl"/>
        </w:rPr>
      </w:pPr>
    </w:p>
    <w:p w14:paraId="7517309A" w14:textId="740ABE0A" w:rsidR="00526E6F" w:rsidRPr="00526E6F" w:rsidRDefault="00526E6F" w:rsidP="00526E6F">
      <w:pPr>
        <w:rPr>
          <w:b/>
          <w:bCs/>
          <w:color w:val="339933"/>
          <w:u w:val="single"/>
        </w:rPr>
      </w:pPr>
      <w:r w:rsidRPr="00526E6F">
        <w:rPr>
          <w:b/>
          <w:bCs/>
          <w:color w:val="339933"/>
          <w:u w:val="single"/>
        </w:rPr>
        <w:t xml:space="preserve">Cuarta: nuevo párrafo entre el 4 y el 5 o ampliación del párrafo 4. </w:t>
      </w:r>
    </w:p>
    <w:p w14:paraId="16581A6B" w14:textId="7E123E95" w:rsidR="00526E6F" w:rsidRPr="00526E6F" w:rsidRDefault="00526E6F" w:rsidP="00526E6F">
      <w:pPr>
        <w:ind w:left="709"/>
        <w:rPr>
          <w:b/>
          <w:i/>
          <w:color w:val="339933"/>
        </w:rPr>
      </w:pPr>
      <w:r w:rsidRPr="00526E6F">
        <w:rPr>
          <w:i/>
          <w:color w:val="339933"/>
        </w:rPr>
        <w:t xml:space="preserve">5.(nuevo) La incorporación al mercado de trabajo permite a las personas con discapacidad el acceso a la dimensión económica de la sociedad, así como a las dimensiones social, política o cultural. No obstante, el modelo de economía de mercado imperante basado en la oferta y la demanda y la libre competencia en la que los agentes económicos se centran exclusivamente en la búsqueda del beneficio económico y el incremento en el rendimiento laboral, sin prestar atención al desarrollo de es un modelo que excluye a determinados colectivos, </w:t>
      </w:r>
      <w:r>
        <w:rPr>
          <w:i/>
          <w:color w:val="339933"/>
        </w:rPr>
        <w:t>personas mayores, jóvenes, mujeres o p</w:t>
      </w:r>
      <w:r w:rsidRPr="00526E6F">
        <w:rPr>
          <w:i/>
          <w:color w:val="339933"/>
        </w:rPr>
        <w:t>ersonas con discapacidad, que afrontan graves dificultades de acceso a la formación e inserción laboral lo que unido al capacitismo tiene como resultado que únicamente pueden acceder a empleos temporales o de baja calidad.</w:t>
      </w:r>
    </w:p>
    <w:p w14:paraId="07DE920E" w14:textId="7FEEEF6A" w:rsidR="00526E6F" w:rsidRPr="00526E6F" w:rsidRDefault="00526E6F" w:rsidP="00526E6F">
      <w:r w:rsidRPr="00526E6F">
        <w:rPr>
          <w:b/>
        </w:rPr>
        <w:t>Justificación</w:t>
      </w:r>
      <w:r>
        <w:rPr>
          <w:b/>
        </w:rPr>
        <w:t xml:space="preserve">: </w:t>
      </w:r>
      <w:r w:rsidRPr="00526E6F">
        <w:t>Consideramos necesario realizar alguna mención al modelo de economía de mercado porque consideramos que también tiene mucho que ver con la exclusión laboral de determinados colectivos agravado por los estereotipos y prejuicios derivados del capacitismo.</w:t>
      </w:r>
      <w:r>
        <w:rPr>
          <w:b/>
        </w:rPr>
        <w:t xml:space="preserve">  </w:t>
      </w:r>
      <w:r w:rsidRPr="00526E6F">
        <w:t xml:space="preserve">El nivel de desempleo de las personas con discapacidad intelectual y del desarrollo es elevado y las condiciones de trabajo en la empresa ordinaria son cada vez más exigentes, a la par nos encontramos con sistemas educativos que siguen siendo una barrera para muchas personas con discapacidad intelectual y del desarrollo, lo que no permite que estas puedan formarse y cultivar sus capacidades por lo que muchos de sus talentos están siendo desaprovechados. </w:t>
      </w:r>
    </w:p>
    <w:p w14:paraId="2F30BB26" w14:textId="533C1E27" w:rsidR="00526E6F" w:rsidRDefault="00526E6F" w:rsidP="00096E72">
      <w:pPr>
        <w:rPr>
          <w:lang w:val="es-ES_tradnl"/>
        </w:rPr>
      </w:pPr>
    </w:p>
    <w:p w14:paraId="11294D45" w14:textId="717D1567" w:rsidR="00526E6F" w:rsidRPr="00526E6F" w:rsidRDefault="00526E6F" w:rsidP="00526E6F">
      <w:pPr>
        <w:rPr>
          <w:b/>
          <w:bCs/>
          <w:color w:val="339933"/>
          <w:u w:val="single"/>
        </w:rPr>
      </w:pPr>
      <w:r w:rsidRPr="00526E6F">
        <w:rPr>
          <w:b/>
          <w:bCs/>
          <w:color w:val="339933"/>
          <w:u w:val="single"/>
        </w:rPr>
        <w:t>Quinta: párrafo 14</w:t>
      </w:r>
    </w:p>
    <w:p w14:paraId="788609D5" w14:textId="0A4BA9C1" w:rsidR="00526E6F" w:rsidRPr="00526E6F" w:rsidRDefault="00526E6F" w:rsidP="00526E6F">
      <w:pPr>
        <w:ind w:left="709"/>
        <w:rPr>
          <w:i/>
        </w:rPr>
      </w:pPr>
      <w:r>
        <w:rPr>
          <w:i/>
        </w:rPr>
        <w:t xml:space="preserve">14. </w:t>
      </w:r>
      <w:r w:rsidR="00B703FF">
        <w:rPr>
          <w:i/>
        </w:rPr>
        <w:t>A pesar de algunos avances,</w:t>
      </w:r>
      <w:r w:rsidRPr="00526E6F">
        <w:rPr>
          <w:i/>
        </w:rPr>
        <w:t xml:space="preserve"> el acceso al mercado laboral abierto y la segregación siguen siendo los mayores retos para las personas con discapacidad. La denegación de ajustes razonables, los lugares de trabajo inaccesibles </w:t>
      </w:r>
      <w:r w:rsidRPr="00B703FF">
        <w:rPr>
          <w:b/>
          <w:i/>
          <w:color w:val="339933"/>
          <w:u w:val="single"/>
        </w:rPr>
        <w:t>tanto física como cognitivamente</w:t>
      </w:r>
      <w:r w:rsidRPr="00B703FF">
        <w:rPr>
          <w:i/>
          <w:color w:val="339933"/>
        </w:rPr>
        <w:t xml:space="preserve"> </w:t>
      </w:r>
      <w:r w:rsidRPr="00526E6F">
        <w:rPr>
          <w:i/>
        </w:rPr>
        <w:t>y el acoso […]</w:t>
      </w:r>
    </w:p>
    <w:p w14:paraId="5705299A" w14:textId="5611CC44" w:rsidR="00B703FF" w:rsidRPr="00B703FF" w:rsidRDefault="00526E6F" w:rsidP="00B703FF">
      <w:r w:rsidRPr="00B703FF">
        <w:rPr>
          <w:b/>
        </w:rPr>
        <w:t>Justificación:</w:t>
      </w:r>
      <w:r w:rsidR="00B703FF">
        <w:rPr>
          <w:b/>
        </w:rPr>
        <w:t xml:space="preserve"> </w:t>
      </w:r>
      <w:r w:rsidR="00B703FF" w:rsidRPr="00B703FF">
        <w:t xml:space="preserve">Desde Plena inclusión consideramos necesario que el Comité realice hincapié en que cuando se habla de accesibilidad se incluye la </w:t>
      </w:r>
      <w:r w:rsidR="00B703FF">
        <w:t xml:space="preserve">accesibilidad cognitiva, ya que nuestra experiencia práctica es que existe un desconocimiento generalizado sobre la obligación de que los </w:t>
      </w:r>
      <w:r w:rsidR="00B703FF" w:rsidRPr="00B703FF">
        <w:t xml:space="preserve">entornos, procesos, actividades, bienes, productos, servicios, objetos o instrumentos, </w:t>
      </w:r>
      <w:r w:rsidR="00B703FF">
        <w:t>herramientas y dispositivos permita</w:t>
      </w:r>
      <w:r w:rsidR="00B703FF" w:rsidRPr="00B703FF">
        <w:t>n la fácil</w:t>
      </w:r>
      <w:r w:rsidR="00B703FF">
        <w:t xml:space="preserve"> comprensión y la comunicación. Ello tiene como consecuencia que existan dos realidades paralelas respecto a la accesibilidad, siendo plenamente aceptada por la sociedad y reglamentada la necesidad de accesibilidad física o sensorial, pero negándose la obligación de que el entorno resulte de fácil comprensión para todas las personas. </w:t>
      </w:r>
    </w:p>
    <w:p w14:paraId="0977504D" w14:textId="77777777" w:rsidR="00951BE6" w:rsidRPr="00951BE6" w:rsidRDefault="00951BE6" w:rsidP="00951BE6">
      <w:pPr>
        <w:rPr>
          <w:b/>
          <w:bCs/>
          <w:color w:val="339933"/>
          <w:u w:val="single"/>
        </w:rPr>
      </w:pPr>
      <w:r w:rsidRPr="00951BE6">
        <w:rPr>
          <w:b/>
          <w:bCs/>
          <w:color w:val="339933"/>
          <w:u w:val="single"/>
        </w:rPr>
        <w:t>Sexta: párrafo 18</w:t>
      </w:r>
    </w:p>
    <w:p w14:paraId="415056E4" w14:textId="77777777" w:rsidR="00951BE6" w:rsidRPr="00951BE6" w:rsidRDefault="00951BE6" w:rsidP="00951BE6">
      <w:pPr>
        <w:ind w:left="709"/>
        <w:rPr>
          <w:i/>
          <w:lang w:eastAsia="es-ES" w:bidi="ar-SA"/>
        </w:rPr>
      </w:pPr>
      <w:r w:rsidRPr="00951BE6">
        <w:rPr>
          <w:i/>
          <w:lang w:eastAsia="es-ES" w:bidi="ar-SA"/>
        </w:rPr>
        <w:t>18.</w:t>
      </w:r>
      <w:r w:rsidRPr="00951BE6">
        <w:rPr>
          <w:i/>
          <w:lang w:eastAsia="es-ES" w:bidi="ar-SA"/>
        </w:rPr>
        <w:tab/>
        <w:t xml:space="preserve">Los talleres protegidos para personas con discapacidad no deben considerarse como una medida de realización progresiva del derecho al trabajo, que sólo se evidencia en el empleo en un mercado laboral abierto e inclusivo. Es importante no confundir los talleres protegidos con las cooperativas </w:t>
      </w:r>
      <w:r w:rsidRPr="00951BE6">
        <w:rPr>
          <w:b/>
          <w:i/>
          <w:color w:val="339933"/>
          <w:u w:val="single"/>
          <w:lang w:eastAsia="es-ES" w:bidi="ar-SA"/>
        </w:rPr>
        <w:t>integradas por personas con discapacidad</w:t>
      </w:r>
      <w:r w:rsidRPr="00951BE6">
        <w:rPr>
          <w:i/>
          <w:lang w:eastAsia="es-ES" w:bidi="ar-SA"/>
        </w:rPr>
        <w:t xml:space="preserve">, o los empleos </w:t>
      </w:r>
      <w:r w:rsidRPr="00951BE6">
        <w:rPr>
          <w:b/>
          <w:i/>
          <w:color w:val="339933"/>
          <w:u w:val="single"/>
          <w:lang w:eastAsia="es-ES" w:bidi="ar-SA"/>
        </w:rPr>
        <w:t>generados en iniciativas empresariales promovidas</w:t>
      </w:r>
      <w:r w:rsidRPr="00951BE6">
        <w:rPr>
          <w:i/>
          <w:lang w:eastAsia="es-ES" w:bidi="ar-SA"/>
        </w:rPr>
        <w:t xml:space="preserve">, organizadas o dirigidas por personas con discapacidad </w:t>
      </w:r>
      <w:r w:rsidRPr="00951BE6">
        <w:rPr>
          <w:b/>
          <w:i/>
          <w:color w:val="339933"/>
          <w:u w:val="single"/>
          <w:lang w:eastAsia="es-ES" w:bidi="ar-SA"/>
        </w:rPr>
        <w:t>o las entidades que las representan</w:t>
      </w:r>
      <w:r w:rsidRPr="00951BE6">
        <w:rPr>
          <w:i/>
          <w:lang w:eastAsia="es-ES" w:bidi="ar-SA"/>
        </w:rPr>
        <w:t xml:space="preserve"> en las que se respeta </w:t>
      </w:r>
      <w:r w:rsidRPr="00951BE6">
        <w:rPr>
          <w:i/>
          <w:strike/>
          <w:color w:val="339933"/>
          <w:lang w:eastAsia="es-ES" w:bidi="ar-SA"/>
        </w:rPr>
        <w:t>generalmente</w:t>
      </w:r>
      <w:r w:rsidRPr="00951BE6">
        <w:rPr>
          <w:i/>
          <w:lang w:eastAsia="es-ES" w:bidi="ar-SA"/>
        </w:rPr>
        <w:t xml:space="preserve"> la legislación laboral </w:t>
      </w:r>
      <w:r w:rsidRPr="00951BE6">
        <w:rPr>
          <w:b/>
          <w:i/>
          <w:color w:val="339933"/>
          <w:u w:val="single"/>
          <w:lang w:eastAsia="es-ES" w:bidi="ar-SA"/>
        </w:rPr>
        <w:t>y se enmarcan en el ámbito de la economía social, configurándose como empresas sociales de inclusión laboral.</w:t>
      </w:r>
    </w:p>
    <w:p w14:paraId="35846164" w14:textId="212653E4" w:rsidR="00951BE6" w:rsidRPr="00951BE6" w:rsidRDefault="00951BE6" w:rsidP="00951BE6">
      <w:pPr>
        <w:rPr>
          <w:color w:val="339933"/>
          <w:lang w:eastAsia="es-ES" w:bidi="ar-SA"/>
        </w:rPr>
      </w:pPr>
      <w:r w:rsidRPr="00951BE6">
        <w:rPr>
          <w:b/>
          <w:bCs/>
          <w:lang w:eastAsia="es-ES" w:bidi="ar-SA"/>
        </w:rPr>
        <w:t>Justificación:</w:t>
      </w:r>
      <w:r>
        <w:rPr>
          <w:b/>
          <w:bCs/>
          <w:lang w:eastAsia="es-ES" w:bidi="ar-SA"/>
        </w:rPr>
        <w:t xml:space="preserve"> </w:t>
      </w:r>
      <w:r w:rsidRPr="00951BE6">
        <w:rPr>
          <w:lang w:eastAsia="es-ES" w:bidi="ar-SA"/>
        </w:rPr>
        <w:t>Actualmente se están impulsando nuevas “economías” y otras formas de empresa (empresas sociales), en el marco de la economía social con valores y principios propios que priman a la persona sobre el beneficio, aportan soluciones a la desigualdad que provoca el sistema y aseguran los derechos individuales y colectivos de las personas trabajadoras. Estamos ante una gran variedad de fórmulas, creadas en diversos contextos nacionales y de bienestar social, con valores, características y objetivos comunes, que combinan actividad económica sostenible y un impacto social positivo.</w:t>
      </w:r>
    </w:p>
    <w:p w14:paraId="0BC0BCA5" w14:textId="77777777" w:rsidR="003023E5" w:rsidRDefault="003023E5" w:rsidP="003023E5">
      <w:pPr>
        <w:rPr>
          <w:b/>
          <w:u w:val="single"/>
          <w:lang w:eastAsia="es-ES" w:bidi="ar-SA"/>
        </w:rPr>
      </w:pPr>
    </w:p>
    <w:p w14:paraId="14B7B828" w14:textId="4278F0ED" w:rsidR="003023E5" w:rsidRPr="003023E5" w:rsidRDefault="003023E5" w:rsidP="003023E5">
      <w:pPr>
        <w:rPr>
          <w:b/>
          <w:color w:val="339933"/>
          <w:u w:val="single"/>
          <w:lang w:eastAsia="es-ES" w:bidi="ar-SA"/>
        </w:rPr>
      </w:pPr>
      <w:r w:rsidRPr="003023E5">
        <w:rPr>
          <w:b/>
          <w:color w:val="339933"/>
          <w:u w:val="single"/>
          <w:lang w:eastAsia="es-ES" w:bidi="ar-SA"/>
        </w:rPr>
        <w:t xml:space="preserve">Séptima: Añadir al final del párrafo 21. </w:t>
      </w:r>
    </w:p>
    <w:p w14:paraId="67208177" w14:textId="4432E0B0" w:rsidR="003023E5" w:rsidRPr="003023E5" w:rsidRDefault="003023E5" w:rsidP="003023E5">
      <w:pPr>
        <w:ind w:left="709"/>
        <w:rPr>
          <w:b/>
          <w:i/>
          <w:color w:val="339933"/>
          <w:u w:val="single"/>
          <w:lang w:eastAsia="es-ES" w:bidi="ar-SA"/>
        </w:rPr>
      </w:pPr>
      <w:r w:rsidRPr="003023E5">
        <w:rPr>
          <w:i/>
          <w:lang w:eastAsia="es-ES" w:bidi="ar-SA"/>
        </w:rPr>
        <w:t xml:space="preserve">21. […] por no poder entrar al edificio. </w:t>
      </w:r>
      <w:r w:rsidRPr="003023E5">
        <w:rPr>
          <w:b/>
          <w:i/>
          <w:color w:val="339933"/>
          <w:u w:val="single"/>
          <w:lang w:eastAsia="es-ES" w:bidi="ar-SA"/>
        </w:rPr>
        <w:t>Los procesos de selección que no incorporan medidas de accesibilidad universal y diseño para todos, también pueden estar excluyendo a las personas con discapacidad intelectual y del desarrollo. Es fundamental que los procesos de acceso al empleo</w:t>
      </w:r>
      <w:r>
        <w:rPr>
          <w:b/>
          <w:i/>
          <w:color w:val="339933"/>
          <w:u w:val="single"/>
          <w:lang w:eastAsia="es-ES" w:bidi="ar-SA"/>
        </w:rPr>
        <w:t>,</w:t>
      </w:r>
      <w:r w:rsidRPr="003023E5">
        <w:rPr>
          <w:b/>
          <w:i/>
          <w:color w:val="339933"/>
          <w:u w:val="single"/>
          <w:lang w:eastAsia="es-ES" w:bidi="ar-SA"/>
        </w:rPr>
        <w:t xml:space="preserve"> tanto en la administración pública como en la empresa privada</w:t>
      </w:r>
      <w:r>
        <w:rPr>
          <w:b/>
          <w:i/>
          <w:color w:val="339933"/>
          <w:u w:val="single"/>
          <w:lang w:eastAsia="es-ES" w:bidi="ar-SA"/>
        </w:rPr>
        <w:t>,</w:t>
      </w:r>
      <w:r w:rsidRPr="003023E5">
        <w:rPr>
          <w:b/>
          <w:i/>
          <w:color w:val="339933"/>
          <w:u w:val="single"/>
          <w:lang w:eastAsia="es-ES" w:bidi="ar-SA"/>
        </w:rPr>
        <w:t xml:space="preserve"> estén adaptados y se diseñen pensando en todas las personas. Los procesos de acceso al empleo personalizados, con itinerarios centrados en la persona y que se diseñan en procesos de colaboración entre las entidades representativas de las personas con discapacidad y las empresas o administraciones públicas han de promoverse. </w:t>
      </w:r>
    </w:p>
    <w:p w14:paraId="3A673AE9" w14:textId="25651442" w:rsidR="003023E5" w:rsidRPr="003023E5" w:rsidRDefault="003023E5" w:rsidP="003023E5">
      <w:pPr>
        <w:rPr>
          <w:lang w:eastAsia="es-ES" w:bidi="ar-SA"/>
        </w:rPr>
      </w:pPr>
      <w:r w:rsidRPr="003023E5">
        <w:rPr>
          <w:b/>
          <w:lang w:eastAsia="es-ES" w:bidi="ar-SA"/>
        </w:rPr>
        <w:t>Justificación:</w:t>
      </w:r>
      <w:r>
        <w:rPr>
          <w:b/>
          <w:lang w:eastAsia="es-ES" w:bidi="ar-SA"/>
        </w:rPr>
        <w:t xml:space="preserve"> </w:t>
      </w:r>
      <w:r w:rsidRPr="003023E5">
        <w:rPr>
          <w:lang w:eastAsia="es-ES" w:bidi="ar-SA"/>
        </w:rPr>
        <w:t xml:space="preserve">Hemos visto como el adaptar procesos de selección en el ámbito del empleo público para personas con discapacidad intelectual ha permitido su acceso en el sector público y tenemos experiencia que avala que la colaboración entre el tercer sector y la empresa privada en el diseño de procesos de selección que incorporan la accesibilidad universal, facilitan el acceso al empleo de las personas con discapacidad intelectual y del desarrollo. </w:t>
      </w:r>
    </w:p>
    <w:p w14:paraId="786619E8" w14:textId="5960F1DE" w:rsidR="00FE6217" w:rsidRPr="00FE6217" w:rsidRDefault="00FE6217" w:rsidP="00FE6217">
      <w:pPr>
        <w:rPr>
          <w:b/>
          <w:color w:val="339933"/>
          <w:u w:val="single"/>
          <w:lang w:eastAsia="es-ES" w:bidi="ar-SA"/>
        </w:rPr>
      </w:pPr>
      <w:r w:rsidRPr="00FE6217">
        <w:rPr>
          <w:b/>
          <w:color w:val="339933"/>
          <w:u w:val="single"/>
          <w:lang w:eastAsia="es-ES" w:bidi="ar-SA"/>
        </w:rPr>
        <w:t>Octava: Párrafo 34:</w:t>
      </w:r>
    </w:p>
    <w:p w14:paraId="7FFCCC25" w14:textId="04BDD403" w:rsidR="00FE6217" w:rsidRPr="00FE6217" w:rsidRDefault="00FE6217" w:rsidP="00FE6217">
      <w:pPr>
        <w:ind w:left="709"/>
        <w:rPr>
          <w:b/>
          <w:i/>
          <w:color w:val="339933"/>
          <w:u w:val="single"/>
          <w:lang w:eastAsia="es-ES" w:bidi="ar-SA"/>
        </w:rPr>
      </w:pPr>
      <w:r w:rsidRPr="00FE6217">
        <w:rPr>
          <w:i/>
          <w:lang w:eastAsia="es-ES" w:bidi="ar-SA"/>
        </w:rPr>
        <w:t>…derecho al trabajo.</w:t>
      </w:r>
      <w:r w:rsidRPr="00FE6217">
        <w:rPr>
          <w:b/>
          <w:lang w:eastAsia="es-ES" w:bidi="ar-SA"/>
        </w:rPr>
        <w:t xml:space="preserve"> </w:t>
      </w:r>
      <w:r w:rsidRPr="00FE6217">
        <w:rPr>
          <w:b/>
          <w:i/>
          <w:color w:val="339933"/>
          <w:u w:val="single"/>
          <w:lang w:eastAsia="es-ES" w:bidi="ar-SA"/>
        </w:rPr>
        <w:t>Además, se debería promover la sensibilización y formación de estos defensores para incrementar su conocimiento sobre las necesidades de las personas con discapacidad</w:t>
      </w:r>
      <w:r>
        <w:rPr>
          <w:b/>
          <w:i/>
          <w:color w:val="339933"/>
          <w:u w:val="single"/>
          <w:lang w:eastAsia="es-ES" w:bidi="ar-SA"/>
        </w:rPr>
        <w:t xml:space="preserve"> en el ámbito del empleo y el trabajo, así como fomentar la participación de personas con discapacidad en los sindicatos</w:t>
      </w:r>
      <w:r w:rsidRPr="00FE6217">
        <w:rPr>
          <w:b/>
          <w:i/>
          <w:color w:val="339933"/>
          <w:u w:val="single"/>
          <w:lang w:eastAsia="es-ES" w:bidi="ar-SA"/>
        </w:rPr>
        <w:t xml:space="preserve">. </w:t>
      </w:r>
    </w:p>
    <w:p w14:paraId="10DE1FE9" w14:textId="5F683A12" w:rsidR="003023E5" w:rsidRDefault="00FE6217" w:rsidP="00FE6217">
      <w:pPr>
        <w:rPr>
          <w:lang w:eastAsia="es-ES" w:bidi="ar-SA"/>
        </w:rPr>
      </w:pPr>
      <w:r w:rsidRPr="00FE6217">
        <w:rPr>
          <w:b/>
          <w:lang w:eastAsia="es-ES" w:bidi="ar-SA"/>
        </w:rPr>
        <w:t>Justificación:</w:t>
      </w:r>
      <w:r>
        <w:rPr>
          <w:b/>
          <w:lang w:eastAsia="es-ES" w:bidi="ar-SA"/>
        </w:rPr>
        <w:t xml:space="preserve"> </w:t>
      </w:r>
      <w:r w:rsidRPr="00FE6217">
        <w:rPr>
          <w:lang w:eastAsia="es-ES" w:bidi="ar-SA"/>
        </w:rPr>
        <w:t xml:space="preserve">Se constata el desconocimiento de los sindicatos en lo </w:t>
      </w:r>
      <w:r w:rsidR="00382256" w:rsidRPr="00FE6217">
        <w:rPr>
          <w:lang w:eastAsia="es-ES" w:bidi="ar-SA"/>
        </w:rPr>
        <w:t>que,</w:t>
      </w:r>
      <w:r w:rsidRPr="00FE6217">
        <w:rPr>
          <w:lang w:eastAsia="es-ES" w:bidi="ar-SA"/>
        </w:rPr>
        <w:t xml:space="preserve"> a derechos de los y las trabajadoras con discapacidad, por lo que es preciso fomentar tanto su formación como garantizar la participación de personas con discapacidad en los órganos sindicales. </w:t>
      </w:r>
    </w:p>
    <w:p w14:paraId="7CD4C3DC" w14:textId="77777777" w:rsidR="00052AE5" w:rsidRPr="00052AE5" w:rsidRDefault="00052AE5" w:rsidP="00052AE5">
      <w:pPr>
        <w:rPr>
          <w:b/>
          <w:color w:val="339933"/>
          <w:u w:val="single"/>
          <w:lang w:eastAsia="es-ES" w:bidi="ar-SA"/>
        </w:rPr>
      </w:pPr>
    </w:p>
    <w:p w14:paraId="4711EEA6" w14:textId="6AF557E3" w:rsidR="00052AE5" w:rsidRPr="00052AE5" w:rsidRDefault="00052AE5" w:rsidP="00052AE5">
      <w:pPr>
        <w:rPr>
          <w:b/>
          <w:color w:val="339933"/>
          <w:u w:val="single"/>
          <w:lang w:eastAsia="es-ES" w:bidi="ar-SA"/>
        </w:rPr>
      </w:pPr>
      <w:r>
        <w:rPr>
          <w:b/>
          <w:color w:val="339933"/>
          <w:u w:val="single"/>
          <w:lang w:eastAsia="es-ES" w:bidi="ar-SA"/>
        </w:rPr>
        <w:t>Novena: párrafo 37</w:t>
      </w:r>
    </w:p>
    <w:p w14:paraId="15FD41AE" w14:textId="77777777" w:rsidR="00052AE5" w:rsidRPr="00052AE5" w:rsidRDefault="00052AE5" w:rsidP="00052AE5">
      <w:pPr>
        <w:ind w:left="709"/>
        <w:rPr>
          <w:b/>
          <w:i/>
          <w:color w:val="339933"/>
          <w:u w:val="single"/>
          <w:lang w:eastAsia="es-ES" w:bidi="ar-SA"/>
        </w:rPr>
      </w:pPr>
      <w:r w:rsidRPr="00052AE5">
        <w:rPr>
          <w:i/>
          <w:lang w:eastAsia="es-ES" w:bidi="ar-SA"/>
        </w:rPr>
        <w:t xml:space="preserve">…ajustes razonables contemplados en el convenio. </w:t>
      </w:r>
      <w:r w:rsidRPr="00052AE5">
        <w:rPr>
          <w:b/>
          <w:i/>
          <w:color w:val="339933"/>
          <w:u w:val="single"/>
          <w:lang w:eastAsia="es-ES" w:bidi="ar-SA"/>
        </w:rPr>
        <w:t xml:space="preserve">Además, estos convenios colectivos han de ofrecerse en formatos accesibles para todos los trabajadores y trabajadoras, incluyendo también medidas de accesibilidad cognitiva como la lectura fácil. </w:t>
      </w:r>
    </w:p>
    <w:p w14:paraId="5C01880A" w14:textId="0A3911FB" w:rsidR="00FE6217" w:rsidRDefault="00052AE5" w:rsidP="00052AE5">
      <w:pPr>
        <w:rPr>
          <w:lang w:eastAsia="es-ES" w:bidi="ar-SA"/>
        </w:rPr>
      </w:pPr>
      <w:r w:rsidRPr="00052AE5">
        <w:rPr>
          <w:b/>
          <w:lang w:eastAsia="es-ES" w:bidi="ar-SA"/>
        </w:rPr>
        <w:t xml:space="preserve">Justificación: </w:t>
      </w:r>
      <w:r>
        <w:rPr>
          <w:lang w:eastAsia="es-ES" w:bidi="ar-SA"/>
        </w:rPr>
        <w:t xml:space="preserve">Es necesario garantizar que los trabajadores y trabajadoras con dificultades de comprensión pueden acceder a la información sobre sus obligaciones y derechos laborales en formatos comprensibles y adecuados. </w:t>
      </w:r>
    </w:p>
    <w:p w14:paraId="3C990726" w14:textId="77777777" w:rsidR="00032DCD" w:rsidRDefault="00032DCD" w:rsidP="00052AE5">
      <w:pPr>
        <w:rPr>
          <w:lang w:eastAsia="es-ES" w:bidi="ar-SA"/>
        </w:rPr>
      </w:pPr>
    </w:p>
    <w:p w14:paraId="791FDE06" w14:textId="3C12E99D" w:rsidR="00032DCD" w:rsidRPr="00032DCD" w:rsidRDefault="00032DCD" w:rsidP="00052AE5">
      <w:pPr>
        <w:rPr>
          <w:b/>
          <w:color w:val="339933"/>
          <w:u w:val="single"/>
          <w:lang w:eastAsia="es-ES" w:bidi="ar-SA"/>
        </w:rPr>
      </w:pPr>
      <w:r w:rsidRPr="00032DCD">
        <w:rPr>
          <w:b/>
          <w:color w:val="339933"/>
          <w:u w:val="single"/>
          <w:lang w:eastAsia="es-ES" w:bidi="ar-SA"/>
        </w:rPr>
        <w:t>Décima: párrafo 46</w:t>
      </w:r>
    </w:p>
    <w:p w14:paraId="162086DF" w14:textId="033A3515" w:rsidR="006259B7" w:rsidRPr="007A7A38" w:rsidRDefault="007A7A38" w:rsidP="007A7A38">
      <w:pPr>
        <w:ind w:left="709"/>
        <w:rPr>
          <w:i/>
        </w:rPr>
      </w:pPr>
      <w:r w:rsidRPr="007A7A38">
        <w:rPr>
          <w:i/>
        </w:rPr>
        <w:t xml:space="preserve">46.[…] </w:t>
      </w:r>
      <w:r w:rsidR="006259B7" w:rsidRPr="007A7A38">
        <w:rPr>
          <w:i/>
        </w:rPr>
        <w:t>Otras medidas de acción afirmativa podrían incluir la financiación específica para promover el empleo de las personas con discapacidad, como las modificaciones del entorno de trabajo, las ayudas salariales a los aprendices, las deducciones fiscales en las nóminas y las subvenciones salariales</w:t>
      </w:r>
      <w:r w:rsidR="006259B7" w:rsidRPr="003070E7">
        <w:rPr>
          <w:b/>
          <w:i/>
          <w:u w:val="single"/>
        </w:rPr>
        <w:t>.</w:t>
      </w:r>
      <w:r w:rsidR="003070E7" w:rsidRPr="003070E7">
        <w:rPr>
          <w:b/>
          <w:i/>
          <w:u w:val="single"/>
        </w:rPr>
        <w:t xml:space="preserve"> </w:t>
      </w:r>
      <w:r w:rsidR="003070E7" w:rsidRPr="003070E7">
        <w:rPr>
          <w:b/>
          <w:i/>
          <w:color w:val="339933"/>
          <w:u w:val="single"/>
        </w:rPr>
        <w:t>Los Estados Parte también establecerán financiación que permita realizar procesos de tránsito a modalidades de empleo inclusivas.</w:t>
      </w:r>
    </w:p>
    <w:p w14:paraId="7D875256" w14:textId="5435774D" w:rsidR="00032DCD" w:rsidRPr="00032DCD" w:rsidRDefault="00032DCD" w:rsidP="007A7A38">
      <w:pPr>
        <w:ind w:left="709"/>
        <w:rPr>
          <w:b/>
          <w:i/>
          <w:color w:val="339933"/>
          <w:u w:val="single"/>
        </w:rPr>
      </w:pPr>
      <w:r w:rsidRPr="00032DCD">
        <w:rPr>
          <w:b/>
          <w:i/>
          <w:color w:val="339933"/>
          <w:u w:val="single"/>
        </w:rPr>
        <w:t>De igual manera, las medidas de acción positiva pueden ir dirigidas a financiar la creación de metodologías innovadoras que permitan la inserción laboral de las personas con discapacidad fomentando itinerarios personalizados</w:t>
      </w:r>
      <w:r w:rsidR="007A7A38">
        <w:rPr>
          <w:b/>
          <w:i/>
          <w:color w:val="339933"/>
          <w:u w:val="single"/>
        </w:rPr>
        <w:t xml:space="preserve"> y flexibles</w:t>
      </w:r>
      <w:r w:rsidRPr="00032DCD">
        <w:rPr>
          <w:b/>
          <w:i/>
          <w:color w:val="339933"/>
          <w:u w:val="single"/>
        </w:rPr>
        <w:t xml:space="preserve"> que reflejen</w:t>
      </w:r>
      <w:r w:rsidR="007A7A38">
        <w:rPr>
          <w:b/>
          <w:i/>
          <w:color w:val="339933"/>
          <w:u w:val="single"/>
        </w:rPr>
        <w:t xml:space="preserve"> proyectos de vida profesional o la financiación de profesionales de apoyo en el puesto de trabajo.</w:t>
      </w:r>
    </w:p>
    <w:p w14:paraId="39D60C45" w14:textId="64D09B37" w:rsidR="00032DCD" w:rsidRPr="003070E7" w:rsidRDefault="00032DCD" w:rsidP="00032DCD">
      <w:r w:rsidRPr="00032DCD">
        <w:rPr>
          <w:b/>
          <w:u w:val="single"/>
        </w:rPr>
        <w:t xml:space="preserve">Justificación: </w:t>
      </w:r>
      <w:r w:rsidR="003070E7" w:rsidRPr="003070E7">
        <w:t>Los Estados Parte en su obligación de hacer deberán dedicar financiación que permita realizar procesos de tránsito a modalidades de empleo inclusivas.</w:t>
      </w:r>
      <w:r w:rsidR="003070E7">
        <w:t xml:space="preserve"> </w:t>
      </w:r>
      <w:r w:rsidR="003070E7" w:rsidRPr="003070E7">
        <w:t>Además,</w:t>
      </w:r>
      <w:r w:rsidR="003070E7">
        <w:rPr>
          <w:b/>
          <w:u w:val="single"/>
        </w:rPr>
        <w:t xml:space="preserve"> </w:t>
      </w:r>
      <w:r w:rsidR="003070E7" w:rsidRPr="003070E7">
        <w:t>e</w:t>
      </w:r>
      <w:r w:rsidRPr="003070E7">
        <w:t xml:space="preserve">s necesario </w:t>
      </w:r>
      <w:r w:rsidR="007A7A38" w:rsidRPr="003070E7">
        <w:t xml:space="preserve">que los Estados Parte inviertan en investigación e innovación en el ámbito de la inserción laboral de personas con discapacidad, especialmente aquellas que debido a que presentan necesidades de apoyo más intensas, tienen mucho más limitado todavía el acceso al mercado laboral. </w:t>
      </w:r>
    </w:p>
    <w:p w14:paraId="5A0B505A" w14:textId="77777777" w:rsidR="00032DCD" w:rsidRPr="00FC18FE" w:rsidRDefault="00032DCD" w:rsidP="006259B7">
      <w:pPr>
        <w:rPr>
          <w:b/>
          <w:u w:val="single"/>
        </w:rPr>
      </w:pPr>
    </w:p>
    <w:p w14:paraId="201770B6" w14:textId="1A0425E9" w:rsidR="00052AE5" w:rsidRPr="00052AE5" w:rsidRDefault="009432A9" w:rsidP="00052AE5">
      <w:pPr>
        <w:rPr>
          <w:b/>
          <w:color w:val="339933"/>
          <w:u w:val="single"/>
          <w:lang w:eastAsia="es-ES" w:bidi="ar-SA"/>
        </w:rPr>
      </w:pPr>
      <w:r>
        <w:rPr>
          <w:b/>
          <w:color w:val="339933"/>
          <w:u w:val="single"/>
          <w:lang w:eastAsia="es-ES" w:bidi="ar-SA"/>
        </w:rPr>
        <w:t>Undé</w:t>
      </w:r>
      <w:r w:rsidR="00052AE5">
        <w:rPr>
          <w:b/>
          <w:color w:val="339933"/>
          <w:u w:val="single"/>
          <w:lang w:eastAsia="es-ES" w:bidi="ar-SA"/>
        </w:rPr>
        <w:t>cima: párrafo 47 nuevo apartado d)</w:t>
      </w:r>
    </w:p>
    <w:p w14:paraId="3E4BB5A8" w14:textId="5904CAE7" w:rsidR="00052AE5" w:rsidRPr="00D538D4" w:rsidRDefault="00052AE5" w:rsidP="00052AE5">
      <w:pPr>
        <w:ind w:left="709"/>
        <w:rPr>
          <w:b/>
          <w:i/>
          <w:color w:val="339933"/>
          <w:u w:val="single"/>
          <w:lang w:eastAsia="es-ES" w:bidi="ar-SA"/>
        </w:rPr>
      </w:pPr>
      <w:r w:rsidRPr="00D538D4">
        <w:rPr>
          <w:b/>
          <w:i/>
          <w:color w:val="339933"/>
          <w:u w:val="single"/>
          <w:lang w:eastAsia="es-ES" w:bidi="ar-SA"/>
        </w:rPr>
        <w:t xml:space="preserve">d.) Los estados parte deben apoyar a las empresas privadas que desarrollen modelos de negocio y de desarrollo empresarial más centrados en el desarrollo personal y en la contribución que el empleo tiene para mejorar las vidas de las personas y no tanto en el mero beneficio económico. </w:t>
      </w:r>
    </w:p>
    <w:p w14:paraId="54E1C2CC" w14:textId="2BDDAF82" w:rsidR="00052AE5" w:rsidRDefault="00D538D4" w:rsidP="00D538D4">
      <w:pPr>
        <w:rPr>
          <w:lang w:eastAsia="es-ES" w:bidi="ar-SA"/>
        </w:rPr>
      </w:pPr>
      <w:r w:rsidRPr="00D538D4">
        <w:rPr>
          <w:b/>
          <w:lang w:eastAsia="es-ES" w:bidi="ar-SA"/>
        </w:rPr>
        <w:t xml:space="preserve">Justificación: </w:t>
      </w:r>
      <w:r w:rsidRPr="00D538D4">
        <w:rPr>
          <w:lang w:eastAsia="es-ES" w:bidi="ar-SA"/>
        </w:rPr>
        <w:t>Es</w:t>
      </w:r>
      <w:r>
        <w:rPr>
          <w:lang w:eastAsia="es-ES" w:bidi="ar-SA"/>
        </w:rPr>
        <w:t xml:space="preserve"> necesario incentivar empresas con políticas de personas que fomenten el desarrollo personal de todas las personas con enfoques basados en el valor de la contribución de las personas con discapacidad. </w:t>
      </w:r>
    </w:p>
    <w:p w14:paraId="72A2D34F" w14:textId="77777777" w:rsidR="003070E7" w:rsidRDefault="003070E7" w:rsidP="00D538D4">
      <w:pPr>
        <w:rPr>
          <w:lang w:eastAsia="es-ES" w:bidi="ar-SA"/>
        </w:rPr>
      </w:pPr>
    </w:p>
    <w:p w14:paraId="0F3EDD42" w14:textId="06D15D0B" w:rsidR="003070E7" w:rsidRPr="003070E7" w:rsidRDefault="009432A9" w:rsidP="003070E7">
      <w:pPr>
        <w:rPr>
          <w:b/>
          <w:color w:val="339933"/>
          <w:u w:val="single"/>
          <w:lang w:eastAsia="es-ES" w:bidi="ar-SA"/>
        </w:rPr>
      </w:pPr>
      <w:r>
        <w:rPr>
          <w:b/>
          <w:color w:val="339933"/>
          <w:u w:val="single"/>
          <w:lang w:eastAsia="es-ES" w:bidi="ar-SA"/>
        </w:rPr>
        <w:t>Duodécima</w:t>
      </w:r>
      <w:r w:rsidR="003070E7" w:rsidRPr="003070E7">
        <w:rPr>
          <w:b/>
          <w:color w:val="339933"/>
          <w:u w:val="single"/>
          <w:lang w:eastAsia="es-ES" w:bidi="ar-SA"/>
        </w:rPr>
        <w:t>: párrafo 87</w:t>
      </w:r>
    </w:p>
    <w:p w14:paraId="79BAF175" w14:textId="77777777" w:rsidR="003070E7" w:rsidRPr="003070E7" w:rsidRDefault="003070E7" w:rsidP="003070E7">
      <w:pPr>
        <w:ind w:left="709"/>
        <w:rPr>
          <w:i/>
          <w:color w:val="339933"/>
          <w:u w:val="single"/>
          <w:lang w:eastAsia="es-ES" w:bidi="ar-SA"/>
        </w:rPr>
      </w:pPr>
      <w:r w:rsidRPr="003070E7">
        <w:rPr>
          <w:i/>
          <w:lang w:eastAsia="es-ES" w:bidi="ar-SA"/>
        </w:rPr>
        <w:t>87.</w:t>
      </w:r>
      <w:r w:rsidRPr="003070E7">
        <w:rPr>
          <w:i/>
          <w:lang w:eastAsia="es-ES" w:bidi="ar-SA"/>
        </w:rPr>
        <w:tab/>
        <w:t xml:space="preserve"> El artículo 18, sobre la libertad de circulación, incluye la garantía de que el derecho al trabajo de las personas con discapacidad no se restrinja a su lugar de residencia, por ejemplo, garantizando </w:t>
      </w:r>
      <w:r w:rsidRPr="003070E7">
        <w:rPr>
          <w:i/>
          <w:strike/>
          <w:color w:val="339933"/>
          <w:lang w:eastAsia="es-ES" w:bidi="ar-SA"/>
        </w:rPr>
        <w:t>que las ayudas para promover el empleo de las personas no estén vinculadas a organismos gubernamentales con un alcance geográfico específico.</w:t>
      </w:r>
      <w:r w:rsidRPr="003070E7">
        <w:rPr>
          <w:i/>
          <w:lang w:eastAsia="es-ES" w:bidi="ar-SA"/>
        </w:rPr>
        <w:t xml:space="preserve"> </w:t>
      </w:r>
      <w:r w:rsidRPr="003070E7">
        <w:rPr>
          <w:i/>
          <w:color w:val="339933"/>
          <w:u w:val="single"/>
          <w:lang w:eastAsia="es-ES" w:bidi="ar-SA"/>
        </w:rPr>
        <w:t>la adopción de medidas de acción afirmativa que promuevan la movilidad geográfica.</w:t>
      </w:r>
    </w:p>
    <w:p w14:paraId="6D829F74" w14:textId="77777777" w:rsidR="003070E7" w:rsidRDefault="003070E7" w:rsidP="003070E7">
      <w:pPr>
        <w:rPr>
          <w:b/>
          <w:bCs/>
          <w:lang w:eastAsia="es-ES" w:bidi="ar-SA"/>
        </w:rPr>
      </w:pPr>
    </w:p>
    <w:p w14:paraId="461F7B45" w14:textId="77777777" w:rsidR="003070E7" w:rsidRDefault="003070E7" w:rsidP="003070E7">
      <w:pPr>
        <w:rPr>
          <w:b/>
          <w:bCs/>
          <w:lang w:eastAsia="es-ES" w:bidi="ar-SA"/>
        </w:rPr>
      </w:pPr>
    </w:p>
    <w:p w14:paraId="13CE1675" w14:textId="328C2977" w:rsidR="003070E7" w:rsidRPr="003070E7" w:rsidRDefault="003070E7" w:rsidP="003070E7">
      <w:pPr>
        <w:rPr>
          <w:b/>
          <w:bCs/>
          <w:lang w:eastAsia="es-ES" w:bidi="ar-SA"/>
        </w:rPr>
      </w:pPr>
      <w:r w:rsidRPr="003070E7">
        <w:rPr>
          <w:b/>
          <w:bCs/>
          <w:lang w:eastAsia="es-ES" w:bidi="ar-SA"/>
        </w:rPr>
        <w:t>Justificación:</w:t>
      </w:r>
    </w:p>
    <w:p w14:paraId="40A6EC45" w14:textId="7B516736" w:rsidR="003070E7" w:rsidRDefault="003070E7" w:rsidP="003070E7">
      <w:pPr>
        <w:rPr>
          <w:lang w:eastAsia="es-ES" w:bidi="ar-SA"/>
        </w:rPr>
      </w:pPr>
      <w:r w:rsidRPr="003070E7">
        <w:rPr>
          <w:lang w:eastAsia="es-ES" w:bidi="ar-SA"/>
        </w:rPr>
        <w:t>Al referir un ejemplo, consideramos más oportuno establecer una medida de acción positiva que puede tener un impacto positivo en la promoción de la movilidad geográfica de los trabajadores con discapacidad.</w:t>
      </w:r>
    </w:p>
    <w:p w14:paraId="3A962FA4" w14:textId="77777777" w:rsidR="003070E7" w:rsidRDefault="003070E7" w:rsidP="003070E7">
      <w:pPr>
        <w:rPr>
          <w:b/>
          <w:bCs/>
          <w:u w:val="single"/>
          <w:lang w:eastAsia="es-ES" w:bidi="ar-SA"/>
        </w:rPr>
      </w:pPr>
    </w:p>
    <w:p w14:paraId="34C4F731" w14:textId="249E33CD" w:rsidR="003070E7" w:rsidRPr="003070E7" w:rsidRDefault="009432A9" w:rsidP="003070E7">
      <w:pPr>
        <w:rPr>
          <w:b/>
          <w:bCs/>
          <w:color w:val="339933"/>
          <w:u w:val="single"/>
          <w:lang w:eastAsia="es-ES" w:bidi="ar-SA"/>
        </w:rPr>
      </w:pPr>
      <w:r>
        <w:rPr>
          <w:b/>
          <w:bCs/>
          <w:color w:val="339933"/>
          <w:u w:val="single"/>
          <w:lang w:eastAsia="es-ES" w:bidi="ar-SA"/>
        </w:rPr>
        <w:t>Decimotercera</w:t>
      </w:r>
      <w:r w:rsidR="003070E7" w:rsidRPr="003070E7">
        <w:rPr>
          <w:b/>
          <w:bCs/>
          <w:color w:val="339933"/>
          <w:u w:val="single"/>
          <w:lang w:eastAsia="es-ES" w:bidi="ar-SA"/>
        </w:rPr>
        <w:t>: párrafo 88</w:t>
      </w:r>
    </w:p>
    <w:p w14:paraId="034BEB98" w14:textId="6219FA6C" w:rsidR="003070E7" w:rsidRPr="003070E7" w:rsidRDefault="003070E7" w:rsidP="003070E7">
      <w:pPr>
        <w:ind w:left="709"/>
        <w:rPr>
          <w:i/>
          <w:lang w:eastAsia="es-ES" w:bidi="ar-SA"/>
        </w:rPr>
      </w:pPr>
      <w:r>
        <w:rPr>
          <w:i/>
          <w:lang w:eastAsia="es-ES" w:bidi="ar-SA"/>
        </w:rPr>
        <w:t xml:space="preserve">88. </w:t>
      </w:r>
      <w:r w:rsidRPr="003070E7">
        <w:rPr>
          <w:i/>
          <w:lang w:eastAsia="es-ES" w:bidi="ar-SA"/>
        </w:rPr>
        <w:t>El artículo 19, sobre la vida independiente y la inclusión en la comunidad, exige a los Estados Partes que proporcionen apoyo individualizado, incluida la asistencia personal que permita a las personas con discapacidad realizar actividades laborales</w:t>
      </w:r>
      <w:r w:rsidRPr="003070E7">
        <w:rPr>
          <w:i/>
          <w:vertAlign w:val="superscript"/>
          <w:lang w:eastAsia="es-ES" w:bidi="ar-SA"/>
        </w:rPr>
        <w:footnoteReference w:id="2"/>
      </w:r>
      <w:r w:rsidRPr="003070E7">
        <w:rPr>
          <w:i/>
          <w:lang w:eastAsia="es-ES" w:bidi="ar-SA"/>
        </w:rPr>
        <w:t xml:space="preserve">. Además, la asistencia personal prestada como apoyo a la vida independiente debe ser reconocida en el trabajo </w:t>
      </w:r>
      <w:r w:rsidRPr="003070E7">
        <w:rPr>
          <w:b/>
          <w:i/>
          <w:color w:val="339933"/>
          <w:u w:val="single"/>
          <w:lang w:eastAsia="es-ES" w:bidi="ar-SA"/>
        </w:rPr>
        <w:t>y en los procesos formativos desarrollados durante el ciclo de vida laboral</w:t>
      </w:r>
      <w:r w:rsidRPr="003070E7">
        <w:rPr>
          <w:i/>
          <w:lang w:eastAsia="es-ES" w:bidi="ar-SA"/>
        </w:rPr>
        <w:t xml:space="preserve">, incluso en las situaciones en que la presten familiares u otros asociados de las personas con discapacidad. Los Estados Partes deben asignar recursos y realizar progresivamente la prestación pública de servicios de apoyo individualizados, incluida la asistencia personal. </w:t>
      </w:r>
    </w:p>
    <w:p w14:paraId="1299E310" w14:textId="77777777" w:rsidR="003070E7" w:rsidRPr="003070E7" w:rsidRDefault="003070E7" w:rsidP="003070E7">
      <w:pPr>
        <w:rPr>
          <w:b/>
          <w:bCs/>
          <w:lang w:eastAsia="es-ES" w:bidi="ar-SA"/>
        </w:rPr>
      </w:pPr>
      <w:r w:rsidRPr="003070E7">
        <w:rPr>
          <w:b/>
          <w:bCs/>
          <w:lang w:eastAsia="es-ES" w:bidi="ar-SA"/>
        </w:rPr>
        <w:t>Justificación:</w:t>
      </w:r>
    </w:p>
    <w:p w14:paraId="34A8A32C" w14:textId="77777777" w:rsidR="003070E7" w:rsidRPr="003070E7" w:rsidRDefault="003070E7" w:rsidP="003070E7">
      <w:pPr>
        <w:rPr>
          <w:lang w:eastAsia="es-ES" w:bidi="ar-SA"/>
        </w:rPr>
      </w:pPr>
      <w:r w:rsidRPr="003070E7">
        <w:rPr>
          <w:lang w:eastAsia="es-ES" w:bidi="ar-SA"/>
        </w:rPr>
        <w:t>En caso de ser necesario estos apoyos también deberían estar previstos para la participación en igualdad de oportunidades en las acciones formativas desarrolladas durante el ciclo de vida laboral para promover el acceso al empleo, mantenimiento del mismos, desarrollo profesional y la adquisición de nuevas habilidades y competencias profesionales.</w:t>
      </w:r>
    </w:p>
    <w:p w14:paraId="7CF17C4C" w14:textId="77777777" w:rsidR="003070E7" w:rsidRPr="003070E7" w:rsidRDefault="003070E7" w:rsidP="003070E7">
      <w:pPr>
        <w:rPr>
          <w:lang w:eastAsia="es-ES" w:bidi="ar-SA"/>
        </w:rPr>
      </w:pPr>
    </w:p>
    <w:p w14:paraId="73EE4854" w14:textId="77777777" w:rsidR="003070E7" w:rsidRPr="00D538D4" w:rsidRDefault="003070E7" w:rsidP="00D538D4">
      <w:pPr>
        <w:rPr>
          <w:lang w:eastAsia="es-ES" w:bidi="ar-SA"/>
        </w:rPr>
      </w:pPr>
    </w:p>
    <w:p w14:paraId="6F02BD19" w14:textId="77777777" w:rsidR="00052AE5" w:rsidRPr="00052AE5" w:rsidRDefault="00052AE5" w:rsidP="00052AE5">
      <w:pPr>
        <w:rPr>
          <w:lang w:eastAsia="es-ES" w:bidi="ar-SA"/>
        </w:rPr>
      </w:pPr>
    </w:p>
    <w:p w14:paraId="2EAC860B" w14:textId="2B9F1D5A" w:rsidR="0004097C" w:rsidRDefault="0004097C" w:rsidP="0004097C">
      <w:pPr>
        <w:pStyle w:val="ListParagraph"/>
        <w:ind w:left="76"/>
        <w:jc w:val="left"/>
      </w:pPr>
    </w:p>
    <w:p w14:paraId="2E0E1D7A" w14:textId="0FFBFCF0" w:rsidR="003070E7" w:rsidRPr="003070E7" w:rsidRDefault="003070E7" w:rsidP="003070E7">
      <w:pPr>
        <w:rPr>
          <w:b/>
          <w:bCs/>
          <w:color w:val="339933"/>
          <w:u w:val="single"/>
          <w:lang w:eastAsia="es-ES" w:bidi="ar-SA"/>
        </w:rPr>
      </w:pPr>
      <w:r>
        <w:rPr>
          <w:b/>
          <w:bCs/>
          <w:color w:val="339933"/>
          <w:u w:val="single"/>
          <w:lang w:eastAsia="es-ES" w:bidi="ar-SA"/>
        </w:rPr>
        <w:t>D</w:t>
      </w:r>
      <w:r w:rsidR="009432A9">
        <w:rPr>
          <w:b/>
          <w:bCs/>
          <w:color w:val="339933"/>
          <w:u w:val="single"/>
          <w:lang w:eastAsia="es-ES" w:bidi="ar-SA"/>
        </w:rPr>
        <w:t>e</w:t>
      </w:r>
      <w:r>
        <w:rPr>
          <w:b/>
          <w:bCs/>
          <w:color w:val="339933"/>
          <w:u w:val="single"/>
          <w:lang w:eastAsia="es-ES" w:bidi="ar-SA"/>
        </w:rPr>
        <w:t>cimo</w:t>
      </w:r>
      <w:r w:rsidR="009432A9">
        <w:rPr>
          <w:b/>
          <w:bCs/>
          <w:color w:val="339933"/>
          <w:u w:val="single"/>
          <w:lang w:eastAsia="es-ES" w:bidi="ar-SA"/>
        </w:rPr>
        <w:t>cuarta</w:t>
      </w:r>
      <w:r w:rsidRPr="003070E7">
        <w:rPr>
          <w:b/>
          <w:bCs/>
          <w:color w:val="339933"/>
          <w:u w:val="single"/>
          <w:lang w:eastAsia="es-ES" w:bidi="ar-SA"/>
        </w:rPr>
        <w:t>: párrafo 97</w:t>
      </w:r>
    </w:p>
    <w:p w14:paraId="6E8DAA7C" w14:textId="77777777" w:rsidR="003070E7" w:rsidRPr="003070E7" w:rsidRDefault="003070E7" w:rsidP="003070E7">
      <w:pPr>
        <w:pStyle w:val="ListParagraph"/>
        <w:ind w:left="1418"/>
        <w:rPr>
          <w:bCs/>
          <w:i/>
        </w:rPr>
      </w:pPr>
      <w:r w:rsidRPr="003070E7">
        <w:rPr>
          <w:bCs/>
          <w:i/>
        </w:rPr>
        <w:t>97.- […]</w:t>
      </w:r>
    </w:p>
    <w:p w14:paraId="4BD236BB" w14:textId="77777777" w:rsidR="003070E7" w:rsidRPr="003070E7" w:rsidRDefault="003070E7" w:rsidP="003070E7">
      <w:pPr>
        <w:pStyle w:val="ListParagraph"/>
        <w:ind w:left="1418"/>
        <w:jc w:val="left"/>
        <w:rPr>
          <w:bCs/>
          <w:i/>
        </w:rPr>
      </w:pPr>
      <w:r w:rsidRPr="003070E7">
        <w:rPr>
          <w:bCs/>
          <w:i/>
        </w:rPr>
        <w:t>g.</w:t>
      </w:r>
      <w:r w:rsidRPr="003070E7">
        <w:rPr>
          <w:bCs/>
          <w:i/>
        </w:rPr>
        <w:tab/>
        <w:t>Eliminar progresivamente los talleres protegidos</w:t>
      </w:r>
      <w:r w:rsidRPr="003070E7">
        <w:rPr>
          <w:b/>
          <w:bCs/>
          <w:i/>
          <w:color w:val="339933"/>
          <w:u w:val="single"/>
        </w:rPr>
        <w:t>, entendidos en virtud de la caracterización de esta Observación General, analizando previamente su configuración real como tales y salvaguardando las realidades que no se corresponden con ese sistema de empleo,</w:t>
      </w:r>
      <w:r w:rsidRPr="003070E7">
        <w:rPr>
          <w:bCs/>
          <w:i/>
          <w:color w:val="339933"/>
        </w:rPr>
        <w:t xml:space="preserve"> </w:t>
      </w:r>
      <w:r w:rsidRPr="003070E7">
        <w:rPr>
          <w:bCs/>
          <w:i/>
        </w:rPr>
        <w:t>adoptando planes de acción concretos, con recursos, plazos y mecanismos de seguimiento que garanticen la rápida transición de los talleres protegidos a la inclusión en el mercado laboral. En el caso de las personas con discapacidad que permanezcan en talleres protegidos, los Estados Partes deben […]</w:t>
      </w:r>
    </w:p>
    <w:p w14:paraId="0E1320DA" w14:textId="53637490" w:rsidR="003070E7" w:rsidRDefault="003070E7" w:rsidP="0004097C">
      <w:pPr>
        <w:pStyle w:val="ListParagraph"/>
        <w:ind w:left="76"/>
        <w:jc w:val="left"/>
        <w:rPr>
          <w:b/>
          <w:bCs/>
        </w:rPr>
      </w:pPr>
    </w:p>
    <w:p w14:paraId="6E014AC9" w14:textId="628528C6" w:rsidR="000940EA" w:rsidRPr="000940EA" w:rsidRDefault="000940EA" w:rsidP="000940EA">
      <w:pPr>
        <w:pStyle w:val="ListParagraph"/>
        <w:ind w:left="76"/>
        <w:rPr>
          <w:bCs/>
        </w:rPr>
      </w:pPr>
      <w:r w:rsidRPr="000940EA">
        <w:rPr>
          <w:b/>
          <w:bCs/>
        </w:rPr>
        <w:t>Justificación:</w:t>
      </w:r>
      <w:r w:rsidRPr="000940EA">
        <w:rPr>
          <w:bCs/>
        </w:rPr>
        <w:t xml:space="preserve"> La propia Observación General, entendemos que al margen de su denominación, ha caracterizado determinados prácticas y experiencias, que caracterizan los talleres protegido y, a la vez, llama la atención sobre otras realidades que no deben ser confundidas con los talleres protegidos, la propuesta de eliminar progresivamente estos talleres debe requerir un paso previo de identificación de si confluyen o no las características de su construcción de identidad y la clara diferenciación con otras realidades.</w:t>
      </w:r>
    </w:p>
    <w:p w14:paraId="297B8843" w14:textId="77777777" w:rsidR="000940EA" w:rsidRPr="000940EA" w:rsidRDefault="000940EA" w:rsidP="000940EA">
      <w:pPr>
        <w:pStyle w:val="ListParagraph"/>
        <w:ind w:left="76"/>
        <w:rPr>
          <w:bCs/>
        </w:rPr>
      </w:pPr>
    </w:p>
    <w:p w14:paraId="7BEEA159" w14:textId="32C7E6ED" w:rsidR="000940EA" w:rsidRDefault="000940EA" w:rsidP="000940EA">
      <w:pPr>
        <w:pStyle w:val="ListParagraph"/>
        <w:ind w:left="785"/>
        <w:jc w:val="right"/>
      </w:pPr>
      <w:r>
        <w:t>Madrid, a 3 de diciembre de 2021</w:t>
      </w:r>
    </w:p>
    <w:p w14:paraId="247739FC" w14:textId="77777777" w:rsidR="003070E7" w:rsidRDefault="003070E7" w:rsidP="0004097C">
      <w:pPr>
        <w:pStyle w:val="ListParagraph"/>
        <w:ind w:left="76"/>
        <w:jc w:val="left"/>
        <w:rPr>
          <w:b/>
          <w:bCs/>
        </w:rPr>
      </w:pPr>
    </w:p>
    <w:p w14:paraId="1235D8DE" w14:textId="059390B2" w:rsidR="0004097C" w:rsidRPr="00570CA3" w:rsidRDefault="000940EA" w:rsidP="0004097C">
      <w:pPr>
        <w:pStyle w:val="ListParagraph"/>
        <w:ind w:left="76"/>
        <w:jc w:val="left"/>
        <w:rPr>
          <w:b/>
          <w:bCs/>
        </w:rPr>
      </w:pPr>
      <w:r>
        <w:rPr>
          <w:b/>
          <w:bCs/>
        </w:rPr>
        <w:t xml:space="preserve">Personas </w:t>
      </w:r>
      <w:r w:rsidR="0004097C" w:rsidRPr="00570CA3">
        <w:rPr>
          <w:b/>
          <w:bCs/>
        </w:rPr>
        <w:t xml:space="preserve">de contacto: </w:t>
      </w:r>
    </w:p>
    <w:p w14:paraId="4F6E1CD1" w14:textId="7897320D" w:rsidR="000940EA" w:rsidRDefault="000940EA" w:rsidP="0004097C">
      <w:pPr>
        <w:pStyle w:val="ListParagraph"/>
        <w:ind w:left="76"/>
        <w:jc w:val="left"/>
      </w:pPr>
      <w:r>
        <w:t xml:space="preserve">Silvia Muñoz: </w:t>
      </w:r>
      <w:hyperlink r:id="rId11" w:history="1">
        <w:r w:rsidRPr="00D52489">
          <w:rPr>
            <w:rStyle w:val="Hyperlink"/>
          </w:rPr>
          <w:t>silviamunoz@plenainclusion.org</w:t>
        </w:r>
      </w:hyperlink>
      <w:r>
        <w:t xml:space="preserve"> </w:t>
      </w:r>
    </w:p>
    <w:p w14:paraId="622A1202" w14:textId="66C656A8" w:rsidR="0004097C" w:rsidRPr="00FE172A" w:rsidRDefault="0004097C" w:rsidP="0004097C">
      <w:pPr>
        <w:pStyle w:val="ListParagraph"/>
        <w:ind w:left="76"/>
        <w:jc w:val="left"/>
        <w:rPr>
          <w:lang w:val="fr-FR"/>
        </w:rPr>
      </w:pPr>
      <w:r w:rsidRPr="00FE172A">
        <w:rPr>
          <w:lang w:val="fr-FR"/>
        </w:rPr>
        <w:t>Inés de Araoz</w:t>
      </w:r>
      <w:r w:rsidR="000940EA" w:rsidRPr="00FE172A">
        <w:rPr>
          <w:lang w:val="fr-FR"/>
        </w:rPr>
        <w:t xml:space="preserve">: </w:t>
      </w:r>
      <w:hyperlink r:id="rId12" w:history="1">
        <w:r w:rsidR="000940EA" w:rsidRPr="00FE172A">
          <w:rPr>
            <w:rStyle w:val="Hyperlink"/>
            <w:lang w:val="fr-FR"/>
          </w:rPr>
          <w:t>asesoriajuridica@plenainclusion.org</w:t>
        </w:r>
      </w:hyperlink>
    </w:p>
    <w:sectPr w:rsidR="0004097C" w:rsidRPr="00FE172A" w:rsidSect="00B63CAA">
      <w:headerReference w:type="default" r:id="rId13"/>
      <w:footerReference w:type="default" r:id="rId14"/>
      <w:pgSz w:w="11906" w:h="16838"/>
      <w:pgMar w:top="1701" w:right="1134" w:bottom="816" w:left="1134" w:header="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25601" w14:textId="77777777" w:rsidR="00326408" w:rsidRDefault="00326408">
      <w:pPr>
        <w:spacing w:line="240" w:lineRule="auto"/>
      </w:pPr>
      <w:r>
        <w:separator/>
      </w:r>
    </w:p>
  </w:endnote>
  <w:endnote w:type="continuationSeparator" w:id="0">
    <w:p w14:paraId="0730F2CE" w14:textId="77777777" w:rsidR="00326408" w:rsidRDefault="00326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CJK SC Regular">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9F5B" w14:textId="75BD9909" w:rsidR="004E24CC" w:rsidRDefault="009B4362" w:rsidP="00943DEA">
    <w:pPr>
      <w:pStyle w:val="Footer"/>
    </w:pPr>
    <w:r>
      <w:rPr>
        <w:noProof/>
        <w:lang w:val="en-GB" w:eastAsia="en-GB" w:bidi="ar-SA"/>
      </w:rPr>
      <mc:AlternateContent>
        <mc:Choice Requires="wps">
          <w:drawing>
            <wp:anchor distT="0" distB="0" distL="114300" distR="114300" simplePos="0" relativeHeight="251659776" behindDoc="0" locked="0" layoutInCell="1" allowOverlap="1" wp14:anchorId="54F5B12E" wp14:editId="7F08BB17">
              <wp:simplePos x="0" y="0"/>
              <wp:positionH relativeFrom="margin">
                <wp:posOffset>4443730</wp:posOffset>
              </wp:positionH>
              <wp:positionV relativeFrom="page">
                <wp:posOffset>10251440</wp:posOffset>
              </wp:positionV>
              <wp:extent cx="1661795" cy="323215"/>
              <wp:effectExtent l="0" t="0" r="14605" b="635"/>
              <wp:wrapTight wrapText="bothSides">
                <wp:wrapPolygon edited="0">
                  <wp:start x="0" y="0"/>
                  <wp:lineTo x="0" y="20369"/>
                  <wp:lineTo x="21542" y="20369"/>
                  <wp:lineTo x="21542" y="0"/>
                  <wp:lineTo x="0" y="0"/>
                </wp:wrapPolygon>
              </wp:wrapTight>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1795" cy="323215"/>
                      </a:xfrm>
                      <a:prstGeom prst="rect">
                        <a:avLst/>
                      </a:prstGeom>
                      <a:noFill/>
                      <a:ln>
                        <a:noFill/>
                      </a:ln>
                    </wps:spPr>
                    <wps:txbx>
                      <w:txbxContent>
                        <w:p w14:paraId="43ED6042" w14:textId="2EF4B518" w:rsidR="00A7615E" w:rsidRPr="005F3FA2" w:rsidRDefault="00A7615E" w:rsidP="005F3FA2">
                          <w:pPr>
                            <w:pStyle w:val="Footer"/>
                            <w:spacing w:line="240" w:lineRule="auto"/>
                            <w:rPr>
                              <w:b w:val="0"/>
                              <w:bCs/>
                              <w:sz w:val="20"/>
                              <w:szCs w:val="20"/>
                            </w:rPr>
                          </w:pPr>
                          <w:r w:rsidRPr="005F3FA2">
                            <w:rPr>
                              <w:b w:val="0"/>
                              <w:bCs/>
                              <w:sz w:val="20"/>
                              <w:szCs w:val="20"/>
                            </w:rPr>
                            <w:t xml:space="preserve">Página </w:t>
                          </w:r>
                          <w:r w:rsidRPr="005F3FA2">
                            <w:rPr>
                              <w:b w:val="0"/>
                              <w:bCs/>
                              <w:sz w:val="20"/>
                              <w:szCs w:val="20"/>
                            </w:rPr>
                            <w:fldChar w:fldCharType="begin"/>
                          </w:r>
                          <w:r w:rsidRPr="005F3FA2">
                            <w:rPr>
                              <w:b w:val="0"/>
                              <w:bCs/>
                              <w:sz w:val="20"/>
                              <w:szCs w:val="20"/>
                            </w:rPr>
                            <w:instrText xml:space="preserve"> PAGE </w:instrText>
                          </w:r>
                          <w:r w:rsidRPr="005F3FA2">
                            <w:rPr>
                              <w:b w:val="0"/>
                              <w:bCs/>
                              <w:sz w:val="20"/>
                              <w:szCs w:val="20"/>
                            </w:rPr>
                            <w:fldChar w:fldCharType="separate"/>
                          </w:r>
                          <w:r w:rsidR="00FE172A">
                            <w:rPr>
                              <w:b w:val="0"/>
                              <w:bCs/>
                              <w:noProof/>
                              <w:sz w:val="20"/>
                              <w:szCs w:val="20"/>
                            </w:rPr>
                            <w:t>6</w:t>
                          </w:r>
                          <w:r w:rsidRPr="005F3FA2">
                            <w:rPr>
                              <w:b w:val="0"/>
                              <w:bCs/>
                              <w:sz w:val="20"/>
                              <w:szCs w:val="20"/>
                            </w:rPr>
                            <w:fldChar w:fldCharType="end"/>
                          </w:r>
                          <w:r w:rsidRPr="005F3FA2">
                            <w:rPr>
                              <w:b w:val="0"/>
                              <w:bCs/>
                              <w:sz w:val="20"/>
                              <w:szCs w:val="20"/>
                            </w:rPr>
                            <w:t xml:space="preserve"> de </w:t>
                          </w:r>
                          <w:r w:rsidR="008324B9" w:rsidRPr="005F3FA2">
                            <w:rPr>
                              <w:b w:val="0"/>
                              <w:bCs/>
                              <w:sz w:val="20"/>
                              <w:szCs w:val="20"/>
                            </w:rPr>
                            <w:fldChar w:fldCharType="begin"/>
                          </w:r>
                          <w:r w:rsidR="008324B9" w:rsidRPr="005F3FA2">
                            <w:rPr>
                              <w:b w:val="0"/>
                              <w:bCs/>
                              <w:sz w:val="20"/>
                              <w:szCs w:val="20"/>
                            </w:rPr>
                            <w:instrText xml:space="preserve"> NUMPAGES </w:instrText>
                          </w:r>
                          <w:r w:rsidR="008324B9" w:rsidRPr="005F3FA2">
                            <w:rPr>
                              <w:b w:val="0"/>
                              <w:bCs/>
                              <w:sz w:val="20"/>
                              <w:szCs w:val="20"/>
                            </w:rPr>
                            <w:fldChar w:fldCharType="separate"/>
                          </w:r>
                          <w:r w:rsidR="00FE172A">
                            <w:rPr>
                              <w:b w:val="0"/>
                              <w:bCs/>
                              <w:noProof/>
                              <w:sz w:val="20"/>
                              <w:szCs w:val="20"/>
                            </w:rPr>
                            <w:t>12</w:t>
                          </w:r>
                          <w:r w:rsidR="008324B9" w:rsidRPr="005F3FA2">
                            <w:rPr>
                              <w:b w:val="0"/>
                              <w:bCs/>
                              <w:noProof/>
                              <w:sz w:val="20"/>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5B12E" id="_x0000_t202" coordsize="21600,21600" o:spt="202" path="m,l,21600r21600,l21600,xe">
              <v:stroke joinstyle="miter"/>
              <v:path gradientshapeok="t" o:connecttype="rect"/>
            </v:shapetype>
            <v:shape id="Text Box 8" o:spid="_x0000_s1028" type="#_x0000_t202" style="position:absolute;left:0;text-align:left;margin-left:349.9pt;margin-top:807.2pt;width:130.85pt;height:25.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" filled="f" stroked="f">
              <v:path arrowok="t"/>
              <v:textbox inset="0,0,0,0">
                <w:txbxContent>
                  <w:p w14:paraId="43ED6042" w14:textId="2EF4B518" w:rsidR="00A7615E" w:rsidRPr="005F3FA2" w:rsidRDefault="00A7615E" w:rsidP="005F3FA2">
                    <w:pPr>
                      <w:pStyle w:val="Footer"/>
                      <w:spacing w:line="240" w:lineRule="auto"/>
                      <w:rPr>
                        <w:b w:val="0"/>
                        <w:bCs/>
                        <w:sz w:val="20"/>
                        <w:szCs w:val="20"/>
                      </w:rPr>
                    </w:pPr>
                    <w:r w:rsidRPr="005F3FA2">
                      <w:rPr>
                        <w:b w:val="0"/>
                        <w:bCs/>
                        <w:sz w:val="20"/>
                        <w:szCs w:val="20"/>
                      </w:rPr>
                      <w:t xml:space="preserve">Página </w:t>
                    </w:r>
                    <w:r w:rsidRPr="005F3FA2">
                      <w:rPr>
                        <w:b w:val="0"/>
                        <w:bCs/>
                        <w:sz w:val="20"/>
                        <w:szCs w:val="20"/>
                      </w:rPr>
                      <w:fldChar w:fldCharType="begin"/>
                    </w:r>
                    <w:r w:rsidRPr="005F3FA2">
                      <w:rPr>
                        <w:b w:val="0"/>
                        <w:bCs/>
                        <w:sz w:val="20"/>
                        <w:szCs w:val="20"/>
                      </w:rPr>
                      <w:instrText xml:space="preserve"> PAGE </w:instrText>
                    </w:r>
                    <w:r w:rsidRPr="005F3FA2">
                      <w:rPr>
                        <w:b w:val="0"/>
                        <w:bCs/>
                        <w:sz w:val="20"/>
                        <w:szCs w:val="20"/>
                      </w:rPr>
                      <w:fldChar w:fldCharType="separate"/>
                    </w:r>
                    <w:r w:rsidR="00FE172A">
                      <w:rPr>
                        <w:b w:val="0"/>
                        <w:bCs/>
                        <w:noProof/>
                        <w:sz w:val="20"/>
                        <w:szCs w:val="20"/>
                      </w:rPr>
                      <w:t>6</w:t>
                    </w:r>
                    <w:r w:rsidRPr="005F3FA2">
                      <w:rPr>
                        <w:b w:val="0"/>
                        <w:bCs/>
                        <w:sz w:val="20"/>
                        <w:szCs w:val="20"/>
                      </w:rPr>
                      <w:fldChar w:fldCharType="end"/>
                    </w:r>
                    <w:r w:rsidRPr="005F3FA2">
                      <w:rPr>
                        <w:b w:val="0"/>
                        <w:bCs/>
                        <w:sz w:val="20"/>
                        <w:szCs w:val="20"/>
                      </w:rPr>
                      <w:t xml:space="preserve"> de </w:t>
                    </w:r>
                    <w:r w:rsidR="008324B9" w:rsidRPr="005F3FA2">
                      <w:rPr>
                        <w:b w:val="0"/>
                        <w:bCs/>
                        <w:sz w:val="20"/>
                        <w:szCs w:val="20"/>
                      </w:rPr>
                      <w:fldChar w:fldCharType="begin"/>
                    </w:r>
                    <w:r w:rsidR="008324B9" w:rsidRPr="005F3FA2">
                      <w:rPr>
                        <w:b w:val="0"/>
                        <w:bCs/>
                        <w:sz w:val="20"/>
                        <w:szCs w:val="20"/>
                      </w:rPr>
                      <w:instrText xml:space="preserve"> NUMPAGES </w:instrText>
                    </w:r>
                    <w:r w:rsidR="008324B9" w:rsidRPr="005F3FA2">
                      <w:rPr>
                        <w:b w:val="0"/>
                        <w:bCs/>
                        <w:sz w:val="20"/>
                        <w:szCs w:val="20"/>
                      </w:rPr>
                      <w:fldChar w:fldCharType="separate"/>
                    </w:r>
                    <w:r w:rsidR="00FE172A">
                      <w:rPr>
                        <w:b w:val="0"/>
                        <w:bCs/>
                        <w:noProof/>
                        <w:sz w:val="20"/>
                        <w:szCs w:val="20"/>
                      </w:rPr>
                      <w:t>12</w:t>
                    </w:r>
                    <w:r w:rsidR="008324B9" w:rsidRPr="005F3FA2">
                      <w:rPr>
                        <w:b w:val="0"/>
                        <w:bCs/>
                        <w:noProof/>
                        <w:sz w:val="20"/>
                        <w:szCs w:val="20"/>
                      </w:rPr>
                      <w:fldChar w:fldCharType="end"/>
                    </w:r>
                  </w:p>
                </w:txbxContent>
              </v:textbox>
              <w10:wrap type="tight" anchorx="margin" anchory="page"/>
            </v:shape>
          </w:pict>
        </mc:Fallback>
      </mc:AlternateContent>
    </w:r>
    <w:r>
      <w:rPr>
        <w:noProof/>
        <w:lang w:val="en-GB" w:eastAsia="en-GB" w:bidi="ar-SA"/>
      </w:rPr>
      <mc:AlternateContent>
        <mc:Choice Requires="wps">
          <w:drawing>
            <wp:anchor distT="0" distB="0" distL="114300" distR="114300" simplePos="0" relativeHeight="251660800" behindDoc="0" locked="0" layoutInCell="1" allowOverlap="1" wp14:anchorId="767FE612" wp14:editId="0CFE5A25">
              <wp:simplePos x="0" y="0"/>
              <wp:positionH relativeFrom="margin">
                <wp:posOffset>0</wp:posOffset>
              </wp:positionH>
              <wp:positionV relativeFrom="page">
                <wp:posOffset>10256520</wp:posOffset>
              </wp:positionV>
              <wp:extent cx="5116830" cy="313690"/>
              <wp:effectExtent l="0" t="0" r="7620" b="10160"/>
              <wp:wrapTight wrapText="bothSides">
                <wp:wrapPolygon edited="0">
                  <wp:start x="0" y="0"/>
                  <wp:lineTo x="0" y="20988"/>
                  <wp:lineTo x="21552" y="20988"/>
                  <wp:lineTo x="21552" y="0"/>
                  <wp:lineTo x="0" y="0"/>
                </wp:wrapPolygon>
              </wp:wrapTight>
              <wp:docPr id="18" name="Text Box 8" descr="Trebol con hojas verdes de diferentes tonalidades " title="Imagen de trébol basada en el logo de plen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6830" cy="313690"/>
                      </a:xfrm>
                      <a:prstGeom prst="rect">
                        <a:avLst/>
                      </a:prstGeom>
                      <a:noFill/>
                      <a:ln>
                        <a:noFill/>
                      </a:ln>
                    </wps:spPr>
                    <wps:txbx>
                      <w:txbxContent>
                        <w:p w14:paraId="59461DC5" w14:textId="71F0FEA8" w:rsidR="005F3FA2" w:rsidRPr="005F3FA2" w:rsidRDefault="00FE172A" w:rsidP="005F3FA2">
                          <w:pPr>
                            <w:pStyle w:val="Piedepgina2"/>
                            <w:spacing w:before="0" w:after="0" w:line="240" w:lineRule="auto"/>
                            <w:rPr>
                              <w:color w:val="5EB345"/>
                              <w:u w:val="single"/>
                            </w:rPr>
                          </w:pPr>
                          <w:hyperlink r:id="rId1" w:history="1">
                            <w:r w:rsidR="00FB0764" w:rsidRPr="00097FFA">
                              <w:rPr>
                                <w:rStyle w:val="Hyperlink"/>
                              </w:rPr>
                              <w:t>www.plenainclusion.org</w:t>
                            </w:r>
                          </w:hyperlink>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7FE612" id="_x0000_s1029" type="#_x0000_t202" alt="Título: Imagen de trébol basada en el logo de plena  - Descripción: Trebol con hojas verdes de diferentes tonalidades " style="position:absolute;left:0;text-align:left;margin-left:0;margin-top:807.6pt;width:402.9pt;height:24.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" filled="f" stroked="f">
              <v:path arrowok="t"/>
              <v:textbox inset="0,0,0,0">
                <w:txbxContent>
                  <w:p w14:paraId="59461DC5" w14:textId="71F0FEA8" w:rsidR="005F3FA2" w:rsidRPr="005F3FA2" w:rsidRDefault="00BF68A0" w:rsidP="005F3FA2">
                    <w:pPr>
                      <w:pStyle w:val="Piedepgina2"/>
                      <w:spacing w:before="0" w:after="0" w:line="240" w:lineRule="auto"/>
                      <w:rPr>
                        <w:color w:val="5EB345"/>
                        <w:u w:val="single"/>
                      </w:rPr>
                    </w:pPr>
                    <w:hyperlink r:id="rId2" w:history="1">
                      <w:r w:rsidR="00FB0764" w:rsidRPr="00097FFA">
                        <w:rPr>
                          <w:rStyle w:val="Hipervnculo"/>
                        </w:rPr>
                        <w:t>www.plenainclusion.org</w:t>
                      </w:r>
                    </w:hyperlink>
                  </w:p>
                </w:txbxContent>
              </v:textbox>
              <w10:wrap type="tight" anchorx="margin" anchory="page"/>
            </v:shape>
          </w:pict>
        </mc:Fallback>
      </mc:AlternateContent>
    </w:r>
    <w:r w:rsidR="00555945">
      <w:rPr>
        <w:noProof/>
        <w:lang w:val="en-GB" w:eastAsia="en-GB" w:bidi="ar-SA"/>
      </w:rPr>
      <mc:AlternateContent>
        <mc:Choice Requires="wps">
          <w:drawing>
            <wp:anchor distT="0" distB="0" distL="114300" distR="114300" simplePos="0" relativeHeight="251657728" behindDoc="0" locked="0" layoutInCell="1" allowOverlap="1" wp14:anchorId="5A5B2D18" wp14:editId="14D4E96D">
              <wp:simplePos x="0" y="0"/>
              <wp:positionH relativeFrom="page">
                <wp:posOffset>0</wp:posOffset>
              </wp:positionH>
              <wp:positionV relativeFrom="page">
                <wp:posOffset>10169525</wp:posOffset>
              </wp:positionV>
              <wp:extent cx="7611745" cy="535940"/>
              <wp:effectExtent l="0" t="0" r="8255" b="0"/>
              <wp:wrapTight wrapText="bothSides">
                <wp:wrapPolygon edited="0">
                  <wp:start x="0" y="0"/>
                  <wp:lineTo x="0" y="20730"/>
                  <wp:lineTo x="21569" y="20730"/>
                  <wp:lineTo x="21569" y="0"/>
                  <wp:lineTo x="0" y="0"/>
                </wp:wrapPolygon>
              </wp:wrapTight>
              <wp:docPr id="305" name="Rectangl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11745" cy="535940"/>
                      </a:xfrm>
                      <a:prstGeom prst="rect">
                        <a:avLst/>
                      </a:prstGeom>
                      <a:solidFill>
                        <a:schemeClr val="bg1">
                          <a:lumMod val="9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6DCF6" id="Rectangle 2" o:spid="_x0000_s1026" style="position:absolute;margin-left:0;margin-top:800.75pt;width:599.35pt;height:42.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" fillcolor="#f2f2f2 [3052]" stroked="f">
              <v:path arrowok="t"/>
              <v:textbox inset=",7.2pt,,7.2pt"/>
              <w10:wrap type="tight"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DC1E" w14:textId="77777777" w:rsidR="00326408" w:rsidRDefault="00326408">
      <w:pPr>
        <w:spacing w:line="240" w:lineRule="auto"/>
      </w:pPr>
      <w:r>
        <w:separator/>
      </w:r>
    </w:p>
  </w:footnote>
  <w:footnote w:type="continuationSeparator" w:id="0">
    <w:p w14:paraId="39E205E9" w14:textId="77777777" w:rsidR="00326408" w:rsidRDefault="00326408">
      <w:pPr>
        <w:spacing w:line="240" w:lineRule="auto"/>
      </w:pPr>
      <w:r>
        <w:continuationSeparator/>
      </w:r>
    </w:p>
  </w:footnote>
  <w:footnote w:id="1">
    <w:p w14:paraId="60DF4A4D" w14:textId="77777777" w:rsidR="00032DCD" w:rsidRDefault="00E07731" w:rsidP="00E07731">
      <w:pPr>
        <w:pStyle w:val="FootnoteText"/>
        <w:rPr>
          <w:rFonts w:cs="Calibri Light"/>
        </w:rPr>
      </w:pPr>
      <w:r>
        <w:rPr>
          <w:rStyle w:val="FootnoteReference"/>
        </w:rPr>
        <w:footnoteRef/>
      </w:r>
      <w:r>
        <w:t xml:space="preserve"> </w:t>
      </w:r>
      <w:r w:rsidRPr="00E07731">
        <w:rPr>
          <w:rFonts w:cs="Calibri Light"/>
        </w:rPr>
        <w:t xml:space="preserve">Recuperado el 22 de marzo de 2021. </w:t>
      </w:r>
    </w:p>
    <w:p w14:paraId="049736D4" w14:textId="7EF6E5EA" w:rsidR="00E07731" w:rsidRPr="00FE172A" w:rsidRDefault="00E07731" w:rsidP="00E07731">
      <w:pPr>
        <w:pStyle w:val="FootnoteText"/>
        <w:rPr>
          <w:lang w:val="en-GB"/>
        </w:rPr>
      </w:pPr>
      <w:r w:rsidRPr="00FE172A">
        <w:rPr>
          <w:rFonts w:cs="Calibri Light"/>
          <w:lang w:val="en-GB"/>
        </w:rPr>
        <w:t xml:space="preserve">Disponible en: </w:t>
      </w:r>
      <w:hyperlink r:id="rId1" w:history="1">
        <w:r w:rsidRPr="00FE172A">
          <w:rPr>
            <w:rStyle w:val="Hyperlink"/>
            <w:rFonts w:cs="Calibri Light"/>
            <w:lang w:val="en-GB"/>
          </w:rPr>
          <w:t>http://ntic.educacion.es/cee/informe2020/i20cee-informe.pdf</w:t>
        </w:r>
      </w:hyperlink>
      <w:r w:rsidRPr="00FE172A">
        <w:rPr>
          <w:rFonts w:cs="Calibri Light"/>
          <w:lang w:val="en-GB"/>
        </w:rPr>
        <w:t xml:space="preserve"> </w:t>
      </w:r>
    </w:p>
  </w:footnote>
  <w:footnote w:id="2">
    <w:p w14:paraId="4AAD2DB8" w14:textId="77777777" w:rsidR="003070E7" w:rsidRPr="00FE172A" w:rsidRDefault="003070E7" w:rsidP="003070E7">
      <w:pPr>
        <w:pStyle w:val="FootnoteText"/>
        <w:rPr>
          <w:lang w:val="en-GB"/>
        </w:rPr>
      </w:pPr>
      <w:r>
        <w:rPr>
          <w:rStyle w:val="FootnoteReference"/>
        </w:rPr>
        <w:footnoteRef/>
      </w:r>
      <w:r w:rsidRPr="00FE172A">
        <w:rPr>
          <w:lang w:val="en-GB"/>
        </w:rPr>
        <w:t xml:space="preserve"> CRPD General Comment No.5 (2017) on living independently and being included in the community, para.91.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D801" w14:textId="5E97BC60" w:rsidR="00E9134B" w:rsidRDefault="00C14544" w:rsidP="0003025A">
    <w:pPr>
      <w:tabs>
        <w:tab w:val="left" w:pos="742"/>
      </w:tabs>
    </w:pPr>
    <w:r>
      <w:rPr>
        <w:noProof/>
        <w:lang w:val="en-GB" w:eastAsia="en-GB" w:bidi="ar-SA"/>
      </w:rPr>
      <mc:AlternateContent>
        <mc:Choice Requires="wps">
          <w:drawing>
            <wp:anchor distT="0" distB="0" distL="114300" distR="114300" simplePos="0" relativeHeight="251655680" behindDoc="0" locked="0" layoutInCell="1" allowOverlap="1" wp14:anchorId="217B1EA8" wp14:editId="652A6C71">
              <wp:simplePos x="0" y="0"/>
              <wp:positionH relativeFrom="margin">
                <wp:align>left</wp:align>
              </wp:positionH>
              <wp:positionV relativeFrom="page">
                <wp:posOffset>-116840</wp:posOffset>
              </wp:positionV>
              <wp:extent cx="4922520" cy="825500"/>
              <wp:effectExtent l="0" t="0" r="11430" b="12700"/>
              <wp:wrapTight wrapText="bothSides">
                <wp:wrapPolygon edited="0">
                  <wp:start x="0" y="0"/>
                  <wp:lineTo x="0" y="21434"/>
                  <wp:lineTo x="21567" y="21434"/>
                  <wp:lineTo x="21567"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2520" cy="825500"/>
                      </a:xfrm>
                      <a:prstGeom prst="rect">
                        <a:avLst/>
                      </a:prstGeom>
                      <a:noFill/>
                      <a:ln>
                        <a:noFill/>
                      </a:ln>
                    </wps:spPr>
                    <wps:txbx>
                      <w:txbxContent>
                        <w:p w14:paraId="6C792EAB" w14:textId="7566CBA2" w:rsidR="001A0577" w:rsidRPr="009422FA" w:rsidRDefault="001A0577" w:rsidP="003B3122">
                          <w:pPr>
                            <w:pStyle w:val="Nota"/>
                            <w:rPr>
                              <w:sz w:val="22"/>
                              <w:lang w:val="es-ES"/>
                            </w:rPr>
                          </w:pPr>
                          <w:r w:rsidRPr="009422FA">
                            <w:rPr>
                              <w:sz w:val="22"/>
                              <w:lang w:val="es-ES"/>
                            </w:rPr>
                            <w:t xml:space="preserve">Observaciones al </w:t>
                          </w:r>
                          <w:r w:rsidR="009422FA" w:rsidRPr="009422FA">
                            <w:rPr>
                              <w:sz w:val="22"/>
                              <w:lang w:val="es-ES"/>
                            </w:rPr>
                            <w:t>Proyecto de OG sobre el artículo 27 relativo al derecho de las personas con discapacidad al empleo y al trabajo</w:t>
                          </w:r>
                        </w:p>
                        <w:p w14:paraId="10036649" w14:textId="5C52B867" w:rsidR="002550B0" w:rsidRPr="009422FA" w:rsidRDefault="002550B0">
                          <w:pPr>
                            <w:rPr>
                              <w:sz w:val="20"/>
                              <w:lang w:val="es-ES_tradnl"/>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B1EA8" id="_x0000_t202" coordsize="21600,21600" o:spt="202" path="m,l,21600r21600,l21600,xe">
              <v:stroke joinstyle="miter"/>
              <v:path gradientshapeok="t" o:connecttype="rect"/>
            </v:shapetype>
            <v:shape id="Text Box 4" o:spid="_x0000_s1026" type="#_x0000_t202" style="position:absolute;left:0;text-align:left;margin-left:0;margin-top:-9.2pt;width:387.6pt;height:6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" filled="f" stroked="f">
              <v:path arrowok="t"/>
              <v:textbox inset="0,0,0,0">
                <w:txbxContent>
                  <w:p w14:paraId="6C792EAB" w14:textId="7566CBA2" w:rsidR="001A0577" w:rsidRPr="009422FA" w:rsidRDefault="001A0577" w:rsidP="003B3122">
                    <w:pPr>
                      <w:pStyle w:val="Nota"/>
                      <w:rPr>
                        <w:sz w:val="22"/>
                        <w:lang w:val="es-ES"/>
                      </w:rPr>
                    </w:pPr>
                    <w:r w:rsidRPr="009422FA">
                      <w:rPr>
                        <w:sz w:val="22"/>
                        <w:lang w:val="es-ES"/>
                      </w:rPr>
                      <w:t xml:space="preserve">Observaciones al </w:t>
                    </w:r>
                    <w:r w:rsidR="009422FA" w:rsidRPr="009422FA">
                      <w:rPr>
                        <w:sz w:val="22"/>
                        <w:lang w:val="es-ES"/>
                      </w:rPr>
                      <w:t>Proyecto de OG sobre el artículo 27 relativo al derecho de las personas con discapacidad al empleo y al trabajo</w:t>
                    </w:r>
                  </w:p>
                  <w:p w14:paraId="10036649" w14:textId="5C52B867" w:rsidR="002550B0" w:rsidRPr="009422FA" w:rsidRDefault="002550B0">
                    <w:pPr>
                      <w:rPr>
                        <w:sz w:val="20"/>
                        <w:lang w:val="es-ES_tradnl"/>
                      </w:rPr>
                    </w:pPr>
                  </w:p>
                </w:txbxContent>
              </v:textbox>
              <w10:wrap type="tight" anchorx="margin" anchory="page"/>
            </v:shape>
          </w:pict>
        </mc:Fallback>
      </mc:AlternateContent>
    </w:r>
    <w:r w:rsidR="005F3FA2">
      <w:rPr>
        <w:noProof/>
        <w:color w:val="355762"/>
        <w:lang w:val="en-GB" w:eastAsia="en-GB" w:bidi="ar-SA"/>
      </w:rPr>
      <w:drawing>
        <wp:anchor distT="0" distB="0" distL="114300" distR="114300" simplePos="0" relativeHeight="251656704" behindDoc="0" locked="0" layoutInCell="1" allowOverlap="1" wp14:anchorId="41446C60" wp14:editId="3428FE9C">
          <wp:simplePos x="0" y="0"/>
          <wp:positionH relativeFrom="margin">
            <wp:align>right</wp:align>
          </wp:positionH>
          <wp:positionV relativeFrom="page">
            <wp:posOffset>271145</wp:posOffset>
          </wp:positionV>
          <wp:extent cx="805512" cy="277308"/>
          <wp:effectExtent l="0" t="0" r="0" b="889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512" cy="277308"/>
                  </a:xfrm>
                  <a:prstGeom prst="rect">
                    <a:avLst/>
                  </a:prstGeom>
                  <a:noFill/>
                  <a:ln>
                    <a:noFill/>
                  </a:ln>
                </pic:spPr>
              </pic:pic>
            </a:graphicData>
          </a:graphic>
          <wp14:sizeRelH relativeFrom="page">
            <wp14:pctWidth>0</wp14:pctWidth>
          </wp14:sizeRelH>
          <wp14:sizeRelV relativeFrom="page">
            <wp14:pctHeight>0</wp14:pctHeight>
          </wp14:sizeRelV>
        </wp:anchor>
      </w:drawing>
    </w:r>
    <w:r w:rsidR="005F3FA2">
      <w:rPr>
        <w:noProof/>
        <w:lang w:val="en-GB" w:eastAsia="en-GB" w:bidi="ar-SA"/>
      </w:rPr>
      <mc:AlternateContent>
        <mc:Choice Requires="wps">
          <w:drawing>
            <wp:anchor distT="0" distB="0" distL="114300" distR="114300" simplePos="0" relativeHeight="251654656" behindDoc="0" locked="0" layoutInCell="1" allowOverlap="1" wp14:anchorId="40A855AB" wp14:editId="23BC6A56">
              <wp:simplePos x="0" y="0"/>
              <wp:positionH relativeFrom="page">
                <wp:posOffset>0</wp:posOffset>
              </wp:positionH>
              <wp:positionV relativeFrom="paragraph">
                <wp:posOffset>6350</wp:posOffset>
              </wp:positionV>
              <wp:extent cx="7611745" cy="806450"/>
              <wp:effectExtent l="0" t="0" r="8255" b="0"/>
              <wp:wrapNone/>
              <wp:docPr id="15" name="Rectángulo 1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7611745" cy="806450"/>
                      </a:xfrm>
                      <a:prstGeom prst="rect">
                        <a:avLst/>
                      </a:prstGeom>
                      <a:solidFill>
                        <a:srgbClr val="F4F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1F198" id="Rectángulo 15" o:spid="_x0000_s1026" style="position:absolute;margin-left:0;margin-top:.5pt;width:599.35pt;height:6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" fillcolor="#f4f4f4" stroked="f" strokeweight="1pt">
              <w10:wrap anchorx="page"/>
            </v:rect>
          </w:pict>
        </mc:Fallback>
      </mc:AlternateContent>
    </w:r>
    <w:r w:rsidR="00555945">
      <w:rPr>
        <w:noProof/>
        <w:lang w:val="en-GB" w:eastAsia="en-GB" w:bidi="ar-SA"/>
      </w:rPr>
      <mc:AlternateContent>
        <mc:Choice Requires="wps">
          <w:drawing>
            <wp:anchor distT="0" distB="0" distL="114300" distR="114300" simplePos="0" relativeHeight="251658752" behindDoc="0" locked="0" layoutInCell="1" allowOverlap="1" wp14:anchorId="6E4ADE31" wp14:editId="0E48198C">
              <wp:simplePos x="0" y="0"/>
              <wp:positionH relativeFrom="page">
                <wp:posOffset>6116955</wp:posOffset>
              </wp:positionH>
              <wp:positionV relativeFrom="page">
                <wp:posOffset>297815</wp:posOffset>
              </wp:positionV>
              <wp:extent cx="960755" cy="274955"/>
              <wp:effectExtent l="0" t="0" r="0" b="0"/>
              <wp:wrapTight wrapText="bothSides">
                <wp:wrapPolygon edited="0">
                  <wp:start x="0" y="0"/>
                  <wp:lineTo x="0" y="20952"/>
                  <wp:lineTo x="21414" y="20952"/>
                  <wp:lineTo x="21414" y="0"/>
                  <wp:lineTo x="0" y="0"/>
                </wp:wrapPolygon>
              </wp:wrapT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755" cy="274955"/>
                      </a:xfrm>
                      <a:prstGeom prst="rect">
                        <a:avLst/>
                      </a:prstGeom>
                      <a:noFill/>
                      <a:ln>
                        <a:noFill/>
                      </a:ln>
                    </wps:spPr>
                    <wps:txbx>
                      <w:txbxContent>
                        <w:p w14:paraId="073C6CB2" w14:textId="77777777" w:rsidR="007B79DD" w:rsidRPr="00551CC4" w:rsidRDefault="007B79DD" w:rsidP="007B79DD">
                          <w:pPr>
                            <w:jc w:val="right"/>
                            <w:rPr>
                              <w:b/>
                              <w:bCs/>
                              <w:color w:val="FFFFFF"/>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DE31" id="_x0000_s1027" type="#_x0000_t202" style="position:absolute;left:0;text-align:left;margin-left:481.65pt;margin-top:23.45pt;width:75.65pt;height:2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" filled="f" stroked="f">
              <v:path arrowok="t"/>
              <v:textbox inset="0,0,0,0">
                <w:txbxContent>
                  <w:p w14:paraId="073C6CB2" w14:textId="77777777" w:rsidR="007B79DD" w:rsidRPr="00551CC4" w:rsidRDefault="007B79DD" w:rsidP="007B79DD">
                    <w:pPr>
                      <w:jc w:val="right"/>
                      <w:rPr>
                        <w:b/>
                        <w:bCs/>
                        <w:color w:val="FFFFFF"/>
                        <w:szCs w:val="28"/>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CCD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18A3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C629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502B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BA2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EE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E4B6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1E4D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AE4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8AB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7C01"/>
    <w:multiLevelType w:val="multilevel"/>
    <w:tmpl w:val="F0DA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EC6C1E"/>
    <w:multiLevelType w:val="hybridMultilevel"/>
    <w:tmpl w:val="11A8D0D4"/>
    <w:lvl w:ilvl="0" w:tplc="04F8FCD0">
      <w:start w:val="1"/>
      <w:numFmt w:val="bullet"/>
      <w:pStyle w:val="List"/>
      <w:lvlText w:val=""/>
      <w:lvlJc w:val="left"/>
      <w:pPr>
        <w:ind w:left="720" w:hanging="360"/>
      </w:pPr>
      <w:rPr>
        <w:rFonts w:ascii="Symbol" w:hAnsi="Symbol" w:hint="default"/>
        <w:color w:val="81C063"/>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AB43E7E"/>
    <w:multiLevelType w:val="hybridMultilevel"/>
    <w:tmpl w:val="66149352"/>
    <w:lvl w:ilvl="0" w:tplc="4ABA20E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E1D3332"/>
    <w:multiLevelType w:val="hybridMultilevel"/>
    <w:tmpl w:val="50DA4216"/>
    <w:lvl w:ilvl="0" w:tplc="AA38D3EE">
      <w:start w:val="1"/>
      <w:numFmt w:val="bullet"/>
      <w:pStyle w:val="Lista-1"/>
      <w:lvlText w:val=""/>
      <w:lvlJc w:val="left"/>
      <w:pPr>
        <w:ind w:left="720" w:hanging="360"/>
      </w:pPr>
      <w:rPr>
        <w:rFonts w:ascii="Wingdings" w:hAnsi="Wingdings" w:hint="default"/>
        <w:color w:val="FF8B02"/>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CEE1811"/>
    <w:multiLevelType w:val="multilevel"/>
    <w:tmpl w:val="E2C64FB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1D3D6007"/>
    <w:multiLevelType w:val="multilevel"/>
    <w:tmpl w:val="BB60EF90"/>
    <w:lvl w:ilvl="0">
      <w:start w:val="1"/>
      <w:numFmt w:val="bullet"/>
      <w:lvlText w:val=""/>
      <w:lvlJc w:val="left"/>
      <w:pPr>
        <w:ind w:left="720" w:hanging="360"/>
      </w:pPr>
      <w:rPr>
        <w:rFonts w:ascii="Symbol" w:hAnsi="Symbol" w:hint="default"/>
        <w:color w:val="81C0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E84FF8"/>
    <w:multiLevelType w:val="hybridMultilevel"/>
    <w:tmpl w:val="ACB07762"/>
    <w:lvl w:ilvl="0" w:tplc="9C504C7C">
      <w:start w:val="1"/>
      <w:numFmt w:val="decimal"/>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229268A8"/>
    <w:multiLevelType w:val="multilevel"/>
    <w:tmpl w:val="A40E1C0C"/>
    <w:lvl w:ilvl="0">
      <w:start w:val="1"/>
      <w:numFmt w:val="decimal"/>
      <w:lvlText w:val="%1."/>
      <w:lvlJc w:val="left"/>
      <w:pPr>
        <w:ind w:left="720" w:hanging="360"/>
      </w:pPr>
      <w:rPr>
        <w:rFonts w:hint="default"/>
        <w:color w:val="FF8B02"/>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2577092F"/>
    <w:multiLevelType w:val="hybridMultilevel"/>
    <w:tmpl w:val="23E8CA36"/>
    <w:lvl w:ilvl="0" w:tplc="0C0A0005">
      <w:start w:val="1"/>
      <w:numFmt w:val="bullet"/>
      <w:lvlText w:val=""/>
      <w:lvlJc w:val="left"/>
      <w:pPr>
        <w:ind w:left="720" w:hanging="360"/>
      </w:pPr>
      <w:rPr>
        <w:rFonts w:ascii="Wingdings" w:hAnsi="Wingdings" w:hint="default"/>
        <w:color w:val="81C063"/>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27E3EA7"/>
    <w:multiLevelType w:val="hybridMultilevel"/>
    <w:tmpl w:val="98A471F2"/>
    <w:lvl w:ilvl="0" w:tplc="045231E6">
      <w:start w:val="1"/>
      <w:numFmt w:val="decimal"/>
      <w:lvlText w:val="%1."/>
      <w:lvlJc w:val="left"/>
      <w:pPr>
        <w:ind w:left="359" w:hanging="360"/>
      </w:pPr>
      <w:rPr>
        <w:rFonts w:hint="default"/>
      </w:rPr>
    </w:lvl>
    <w:lvl w:ilvl="1" w:tplc="0C0A0019">
      <w:start w:val="1"/>
      <w:numFmt w:val="lowerLetter"/>
      <w:lvlText w:val="%2."/>
      <w:lvlJc w:val="left"/>
      <w:pPr>
        <w:ind w:left="1079" w:hanging="360"/>
      </w:pPr>
    </w:lvl>
    <w:lvl w:ilvl="2" w:tplc="0C0A001B" w:tentative="1">
      <w:start w:val="1"/>
      <w:numFmt w:val="lowerRoman"/>
      <w:lvlText w:val="%3."/>
      <w:lvlJc w:val="right"/>
      <w:pPr>
        <w:ind w:left="1799" w:hanging="180"/>
      </w:pPr>
    </w:lvl>
    <w:lvl w:ilvl="3" w:tplc="0C0A000F" w:tentative="1">
      <w:start w:val="1"/>
      <w:numFmt w:val="decimal"/>
      <w:lvlText w:val="%4."/>
      <w:lvlJc w:val="left"/>
      <w:pPr>
        <w:ind w:left="2519" w:hanging="360"/>
      </w:pPr>
    </w:lvl>
    <w:lvl w:ilvl="4" w:tplc="0C0A0019" w:tentative="1">
      <w:start w:val="1"/>
      <w:numFmt w:val="lowerLetter"/>
      <w:lvlText w:val="%5."/>
      <w:lvlJc w:val="left"/>
      <w:pPr>
        <w:ind w:left="3239" w:hanging="360"/>
      </w:pPr>
    </w:lvl>
    <w:lvl w:ilvl="5" w:tplc="0C0A001B" w:tentative="1">
      <w:start w:val="1"/>
      <w:numFmt w:val="lowerRoman"/>
      <w:lvlText w:val="%6."/>
      <w:lvlJc w:val="right"/>
      <w:pPr>
        <w:ind w:left="3959" w:hanging="180"/>
      </w:pPr>
    </w:lvl>
    <w:lvl w:ilvl="6" w:tplc="0C0A000F" w:tentative="1">
      <w:start w:val="1"/>
      <w:numFmt w:val="decimal"/>
      <w:lvlText w:val="%7."/>
      <w:lvlJc w:val="left"/>
      <w:pPr>
        <w:ind w:left="4679" w:hanging="360"/>
      </w:pPr>
    </w:lvl>
    <w:lvl w:ilvl="7" w:tplc="0C0A0019" w:tentative="1">
      <w:start w:val="1"/>
      <w:numFmt w:val="lowerLetter"/>
      <w:lvlText w:val="%8."/>
      <w:lvlJc w:val="left"/>
      <w:pPr>
        <w:ind w:left="5399" w:hanging="360"/>
      </w:pPr>
    </w:lvl>
    <w:lvl w:ilvl="8" w:tplc="0C0A001B" w:tentative="1">
      <w:start w:val="1"/>
      <w:numFmt w:val="lowerRoman"/>
      <w:lvlText w:val="%9."/>
      <w:lvlJc w:val="right"/>
      <w:pPr>
        <w:ind w:left="6119" w:hanging="180"/>
      </w:pPr>
    </w:lvl>
  </w:abstractNum>
  <w:abstractNum w:abstractNumId="20" w15:restartNumberingAfterBreak="0">
    <w:nsid w:val="34AA0D43"/>
    <w:multiLevelType w:val="multilevel"/>
    <w:tmpl w:val="D8EA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D769DA"/>
    <w:multiLevelType w:val="hybridMultilevel"/>
    <w:tmpl w:val="091AA386"/>
    <w:lvl w:ilvl="0" w:tplc="CBE6C41C">
      <w:start w:val="3"/>
      <w:numFmt w:val="bullet"/>
      <w:lvlText w:val="-"/>
      <w:lvlJc w:val="left"/>
      <w:pPr>
        <w:ind w:left="1069" w:hanging="360"/>
      </w:pPr>
      <w:rPr>
        <w:rFonts w:ascii="Verdana" w:eastAsia="Noto Sans CJK SC Regular" w:hAnsi="Verdana" w:cs="FreeSans" w:hint="default"/>
      </w:rPr>
    </w:lvl>
    <w:lvl w:ilvl="1" w:tplc="040A0003">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22" w15:restartNumberingAfterBreak="0">
    <w:nsid w:val="500C2BBD"/>
    <w:multiLevelType w:val="hybridMultilevel"/>
    <w:tmpl w:val="DD8E2076"/>
    <w:lvl w:ilvl="0" w:tplc="50A0997E">
      <w:start w:val="1"/>
      <w:numFmt w:val="lowerLetter"/>
      <w:lvlText w:val="%1)"/>
      <w:lvlJc w:val="left"/>
      <w:pPr>
        <w:ind w:left="1070"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3" w15:restartNumberingAfterBreak="0">
    <w:nsid w:val="50D96995"/>
    <w:multiLevelType w:val="hybridMultilevel"/>
    <w:tmpl w:val="9EAC9D28"/>
    <w:lvl w:ilvl="0" w:tplc="0C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0E22A6F"/>
    <w:multiLevelType w:val="hybridMultilevel"/>
    <w:tmpl w:val="1CD47076"/>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5BB62C31"/>
    <w:multiLevelType w:val="hybridMultilevel"/>
    <w:tmpl w:val="7EE8FB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1E185D"/>
    <w:multiLevelType w:val="hybridMultilevel"/>
    <w:tmpl w:val="8EF4C6A6"/>
    <w:lvl w:ilvl="0" w:tplc="15443DCE">
      <w:start w:val="2"/>
      <w:numFmt w:val="bullet"/>
      <w:lvlText w:val="-"/>
      <w:lvlJc w:val="left"/>
      <w:pPr>
        <w:ind w:left="1069" w:hanging="360"/>
      </w:pPr>
      <w:rPr>
        <w:rFonts w:ascii="Arial" w:eastAsia="Noto Sans CJK SC Regular" w:hAnsi="Arial" w:cs="Arial"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27" w15:restartNumberingAfterBreak="0">
    <w:nsid w:val="758D7973"/>
    <w:multiLevelType w:val="multilevel"/>
    <w:tmpl w:val="BB60EF90"/>
    <w:lvl w:ilvl="0">
      <w:start w:val="1"/>
      <w:numFmt w:val="bullet"/>
      <w:lvlText w:val=""/>
      <w:lvlJc w:val="left"/>
      <w:pPr>
        <w:ind w:left="720" w:hanging="360"/>
      </w:pPr>
      <w:rPr>
        <w:rFonts w:ascii="Symbol" w:hAnsi="Symbol" w:hint="default"/>
        <w:color w:val="81C0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B50AA2"/>
    <w:multiLevelType w:val="hybridMultilevel"/>
    <w:tmpl w:val="50147080"/>
    <w:lvl w:ilvl="0" w:tplc="CBE6C41C">
      <w:start w:val="3"/>
      <w:numFmt w:val="bullet"/>
      <w:lvlText w:val="-"/>
      <w:lvlJc w:val="left"/>
      <w:pPr>
        <w:ind w:left="1069" w:hanging="360"/>
      </w:pPr>
      <w:rPr>
        <w:rFonts w:ascii="Verdana" w:eastAsia="Noto Sans CJK SC Regular" w:hAnsi="Verdana" w:cs="FreeSan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1"/>
  </w:num>
  <w:num w:numId="12">
    <w:abstractNumId w:val="15"/>
  </w:num>
  <w:num w:numId="13">
    <w:abstractNumId w:val="27"/>
  </w:num>
  <w:num w:numId="14">
    <w:abstractNumId w:val="17"/>
  </w:num>
  <w:num w:numId="15">
    <w:abstractNumId w:val="14"/>
  </w:num>
  <w:num w:numId="16">
    <w:abstractNumId w:val="18"/>
  </w:num>
  <w:num w:numId="17">
    <w:abstractNumId w:val="13"/>
  </w:num>
  <w:num w:numId="18">
    <w:abstractNumId w:val="20"/>
  </w:num>
  <w:num w:numId="19">
    <w:abstractNumId w:val="21"/>
  </w:num>
  <w:num w:numId="20">
    <w:abstractNumId w:val="28"/>
  </w:num>
  <w:num w:numId="21">
    <w:abstractNumId w:val="23"/>
  </w:num>
  <w:num w:numId="22">
    <w:abstractNumId w:val="19"/>
  </w:num>
  <w:num w:numId="23">
    <w:abstractNumId w:val="22"/>
  </w:num>
  <w:num w:numId="24">
    <w:abstractNumId w:val="25"/>
  </w:num>
  <w:num w:numId="25">
    <w:abstractNumId w:val="26"/>
  </w:num>
  <w:num w:numId="26">
    <w:abstractNumId w:val="12"/>
  </w:num>
  <w:num w:numId="27">
    <w:abstractNumId w:val="10"/>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64"/>
    <w:rsid w:val="00001602"/>
    <w:rsid w:val="00010536"/>
    <w:rsid w:val="00013B26"/>
    <w:rsid w:val="00015C8E"/>
    <w:rsid w:val="0001675E"/>
    <w:rsid w:val="00020F7A"/>
    <w:rsid w:val="0002507A"/>
    <w:rsid w:val="00025B27"/>
    <w:rsid w:val="0003025A"/>
    <w:rsid w:val="000308DC"/>
    <w:rsid w:val="00031157"/>
    <w:rsid w:val="00032DCD"/>
    <w:rsid w:val="0004097C"/>
    <w:rsid w:val="0004466E"/>
    <w:rsid w:val="00046C08"/>
    <w:rsid w:val="000506D2"/>
    <w:rsid w:val="000515EB"/>
    <w:rsid w:val="00052AE5"/>
    <w:rsid w:val="00054408"/>
    <w:rsid w:val="00054557"/>
    <w:rsid w:val="00055666"/>
    <w:rsid w:val="00056EF1"/>
    <w:rsid w:val="0006441C"/>
    <w:rsid w:val="0007000F"/>
    <w:rsid w:val="00073C29"/>
    <w:rsid w:val="00073D7F"/>
    <w:rsid w:val="00074561"/>
    <w:rsid w:val="000746A4"/>
    <w:rsid w:val="00077023"/>
    <w:rsid w:val="00077709"/>
    <w:rsid w:val="00084C08"/>
    <w:rsid w:val="0008612D"/>
    <w:rsid w:val="000940EA"/>
    <w:rsid w:val="00095530"/>
    <w:rsid w:val="00096CDC"/>
    <w:rsid w:val="00096E72"/>
    <w:rsid w:val="00097453"/>
    <w:rsid w:val="000A14C3"/>
    <w:rsid w:val="000A30C4"/>
    <w:rsid w:val="000A365B"/>
    <w:rsid w:val="000A3B93"/>
    <w:rsid w:val="000A4FE5"/>
    <w:rsid w:val="000A4FF6"/>
    <w:rsid w:val="000A72C0"/>
    <w:rsid w:val="000A7F7D"/>
    <w:rsid w:val="000B0D0D"/>
    <w:rsid w:val="000B4084"/>
    <w:rsid w:val="000B43D9"/>
    <w:rsid w:val="000B52EA"/>
    <w:rsid w:val="000B5675"/>
    <w:rsid w:val="000B691F"/>
    <w:rsid w:val="000C0B0E"/>
    <w:rsid w:val="000C4876"/>
    <w:rsid w:val="000C4928"/>
    <w:rsid w:val="000C76D2"/>
    <w:rsid w:val="000D4F21"/>
    <w:rsid w:val="000D56FA"/>
    <w:rsid w:val="000D5831"/>
    <w:rsid w:val="000D7E25"/>
    <w:rsid w:val="000E23CE"/>
    <w:rsid w:val="000E2B91"/>
    <w:rsid w:val="000F3418"/>
    <w:rsid w:val="000F42BE"/>
    <w:rsid w:val="000F4E94"/>
    <w:rsid w:val="00100B52"/>
    <w:rsid w:val="0010151A"/>
    <w:rsid w:val="0010294D"/>
    <w:rsid w:val="00102C22"/>
    <w:rsid w:val="0010371F"/>
    <w:rsid w:val="00104595"/>
    <w:rsid w:val="00117699"/>
    <w:rsid w:val="00120974"/>
    <w:rsid w:val="00123D48"/>
    <w:rsid w:val="001240F9"/>
    <w:rsid w:val="001244AC"/>
    <w:rsid w:val="0012509D"/>
    <w:rsid w:val="0013109D"/>
    <w:rsid w:val="00135217"/>
    <w:rsid w:val="00135955"/>
    <w:rsid w:val="00140160"/>
    <w:rsid w:val="00143257"/>
    <w:rsid w:val="0015138B"/>
    <w:rsid w:val="0015141F"/>
    <w:rsid w:val="00151B8A"/>
    <w:rsid w:val="001542A0"/>
    <w:rsid w:val="00154F96"/>
    <w:rsid w:val="00156734"/>
    <w:rsid w:val="00156A77"/>
    <w:rsid w:val="001576C9"/>
    <w:rsid w:val="0016256A"/>
    <w:rsid w:val="001644CD"/>
    <w:rsid w:val="00164500"/>
    <w:rsid w:val="00165332"/>
    <w:rsid w:val="00167029"/>
    <w:rsid w:val="001741EA"/>
    <w:rsid w:val="00175494"/>
    <w:rsid w:val="00177591"/>
    <w:rsid w:val="0018157E"/>
    <w:rsid w:val="0018267B"/>
    <w:rsid w:val="0018507B"/>
    <w:rsid w:val="00191C5E"/>
    <w:rsid w:val="00194926"/>
    <w:rsid w:val="00197763"/>
    <w:rsid w:val="001A03E6"/>
    <w:rsid w:val="001A0577"/>
    <w:rsid w:val="001A081D"/>
    <w:rsid w:val="001A0DC2"/>
    <w:rsid w:val="001A2B41"/>
    <w:rsid w:val="001A5003"/>
    <w:rsid w:val="001A5765"/>
    <w:rsid w:val="001A7993"/>
    <w:rsid w:val="001A7CEE"/>
    <w:rsid w:val="001B0B54"/>
    <w:rsid w:val="001B23CD"/>
    <w:rsid w:val="001B3419"/>
    <w:rsid w:val="001B4003"/>
    <w:rsid w:val="001C0F66"/>
    <w:rsid w:val="001C10B5"/>
    <w:rsid w:val="001C3C45"/>
    <w:rsid w:val="001C4FCA"/>
    <w:rsid w:val="001C575E"/>
    <w:rsid w:val="001C582D"/>
    <w:rsid w:val="001C6888"/>
    <w:rsid w:val="001D6139"/>
    <w:rsid w:val="001E538B"/>
    <w:rsid w:val="001E5E37"/>
    <w:rsid w:val="001E61E3"/>
    <w:rsid w:val="001E6E7C"/>
    <w:rsid w:val="001F098D"/>
    <w:rsid w:val="001F2132"/>
    <w:rsid w:val="001F592F"/>
    <w:rsid w:val="00202FA5"/>
    <w:rsid w:val="0020319A"/>
    <w:rsid w:val="00206059"/>
    <w:rsid w:val="00206C25"/>
    <w:rsid w:val="002119CC"/>
    <w:rsid w:val="002128B6"/>
    <w:rsid w:val="00212DD5"/>
    <w:rsid w:val="00216175"/>
    <w:rsid w:val="00221070"/>
    <w:rsid w:val="00227015"/>
    <w:rsid w:val="00234004"/>
    <w:rsid w:val="00236F64"/>
    <w:rsid w:val="00237DDB"/>
    <w:rsid w:val="002400CD"/>
    <w:rsid w:val="002434B7"/>
    <w:rsid w:val="002435B0"/>
    <w:rsid w:val="00246044"/>
    <w:rsid w:val="002466E6"/>
    <w:rsid w:val="00251A02"/>
    <w:rsid w:val="00253DC2"/>
    <w:rsid w:val="00254971"/>
    <w:rsid w:val="002550B0"/>
    <w:rsid w:val="00255FFA"/>
    <w:rsid w:val="00256614"/>
    <w:rsid w:val="00257DC5"/>
    <w:rsid w:val="00260283"/>
    <w:rsid w:val="0026436F"/>
    <w:rsid w:val="00265153"/>
    <w:rsid w:val="002668AE"/>
    <w:rsid w:val="00266F46"/>
    <w:rsid w:val="002671A5"/>
    <w:rsid w:val="00272670"/>
    <w:rsid w:val="00273676"/>
    <w:rsid w:val="0027377B"/>
    <w:rsid w:val="00277BD6"/>
    <w:rsid w:val="00282C07"/>
    <w:rsid w:val="00283A40"/>
    <w:rsid w:val="002866C5"/>
    <w:rsid w:val="00291D19"/>
    <w:rsid w:val="0029466C"/>
    <w:rsid w:val="002949CD"/>
    <w:rsid w:val="00296420"/>
    <w:rsid w:val="002A1156"/>
    <w:rsid w:val="002A1B7E"/>
    <w:rsid w:val="002A477E"/>
    <w:rsid w:val="002A4A17"/>
    <w:rsid w:val="002A5A33"/>
    <w:rsid w:val="002A67D0"/>
    <w:rsid w:val="002B287B"/>
    <w:rsid w:val="002B2A6F"/>
    <w:rsid w:val="002B34F2"/>
    <w:rsid w:val="002B5AF1"/>
    <w:rsid w:val="002B6684"/>
    <w:rsid w:val="002C2C41"/>
    <w:rsid w:val="002C6FC4"/>
    <w:rsid w:val="002D0B01"/>
    <w:rsid w:val="002D3264"/>
    <w:rsid w:val="002D34D3"/>
    <w:rsid w:val="002D3BFF"/>
    <w:rsid w:val="002E0DCA"/>
    <w:rsid w:val="002E41B4"/>
    <w:rsid w:val="002E632A"/>
    <w:rsid w:val="002E7515"/>
    <w:rsid w:val="002E78E1"/>
    <w:rsid w:val="002F0FE5"/>
    <w:rsid w:val="002F11E3"/>
    <w:rsid w:val="002F18CB"/>
    <w:rsid w:val="002F551E"/>
    <w:rsid w:val="002F5D1D"/>
    <w:rsid w:val="002F6116"/>
    <w:rsid w:val="00300130"/>
    <w:rsid w:val="0030013F"/>
    <w:rsid w:val="00301758"/>
    <w:rsid w:val="00301B6D"/>
    <w:rsid w:val="00301F71"/>
    <w:rsid w:val="003023E5"/>
    <w:rsid w:val="003026FC"/>
    <w:rsid w:val="003035CC"/>
    <w:rsid w:val="00304677"/>
    <w:rsid w:val="003052CF"/>
    <w:rsid w:val="00305FC5"/>
    <w:rsid w:val="003070E7"/>
    <w:rsid w:val="0031065C"/>
    <w:rsid w:val="00313EFE"/>
    <w:rsid w:val="00314584"/>
    <w:rsid w:val="003170F9"/>
    <w:rsid w:val="00317689"/>
    <w:rsid w:val="003178CD"/>
    <w:rsid w:val="00317962"/>
    <w:rsid w:val="00324DA9"/>
    <w:rsid w:val="00325BB9"/>
    <w:rsid w:val="00326408"/>
    <w:rsid w:val="0033662D"/>
    <w:rsid w:val="00336730"/>
    <w:rsid w:val="0033748E"/>
    <w:rsid w:val="00337B56"/>
    <w:rsid w:val="00337E80"/>
    <w:rsid w:val="00337F44"/>
    <w:rsid w:val="0034073C"/>
    <w:rsid w:val="003413A6"/>
    <w:rsid w:val="003502AE"/>
    <w:rsid w:val="00351B53"/>
    <w:rsid w:val="003545A5"/>
    <w:rsid w:val="003558F8"/>
    <w:rsid w:val="00360B5E"/>
    <w:rsid w:val="00360F9C"/>
    <w:rsid w:val="00362169"/>
    <w:rsid w:val="0036444E"/>
    <w:rsid w:val="0036463B"/>
    <w:rsid w:val="003646B3"/>
    <w:rsid w:val="00370883"/>
    <w:rsid w:val="00373FD5"/>
    <w:rsid w:val="00377D61"/>
    <w:rsid w:val="0038218A"/>
    <w:rsid w:val="00382256"/>
    <w:rsid w:val="00382986"/>
    <w:rsid w:val="003831F1"/>
    <w:rsid w:val="00392E31"/>
    <w:rsid w:val="00393367"/>
    <w:rsid w:val="003945E0"/>
    <w:rsid w:val="00394678"/>
    <w:rsid w:val="003949F7"/>
    <w:rsid w:val="00395CC2"/>
    <w:rsid w:val="003A0A69"/>
    <w:rsid w:val="003A117E"/>
    <w:rsid w:val="003A13EB"/>
    <w:rsid w:val="003A3235"/>
    <w:rsid w:val="003A4014"/>
    <w:rsid w:val="003A6188"/>
    <w:rsid w:val="003B017D"/>
    <w:rsid w:val="003B3122"/>
    <w:rsid w:val="003B442E"/>
    <w:rsid w:val="003B565F"/>
    <w:rsid w:val="003B665A"/>
    <w:rsid w:val="003B68AB"/>
    <w:rsid w:val="003B7C25"/>
    <w:rsid w:val="003C05EE"/>
    <w:rsid w:val="003C0BC2"/>
    <w:rsid w:val="003C1183"/>
    <w:rsid w:val="003C583B"/>
    <w:rsid w:val="003D046B"/>
    <w:rsid w:val="003D2356"/>
    <w:rsid w:val="003D3D6B"/>
    <w:rsid w:val="003D4298"/>
    <w:rsid w:val="003D646A"/>
    <w:rsid w:val="003D6ADA"/>
    <w:rsid w:val="003D6D51"/>
    <w:rsid w:val="003E06C2"/>
    <w:rsid w:val="003E1C4E"/>
    <w:rsid w:val="003E2859"/>
    <w:rsid w:val="003E6AD5"/>
    <w:rsid w:val="003F4C2F"/>
    <w:rsid w:val="00400749"/>
    <w:rsid w:val="00401AC2"/>
    <w:rsid w:val="00402009"/>
    <w:rsid w:val="00407FD6"/>
    <w:rsid w:val="00410669"/>
    <w:rsid w:val="00411823"/>
    <w:rsid w:val="0042168B"/>
    <w:rsid w:val="004240E1"/>
    <w:rsid w:val="00427D40"/>
    <w:rsid w:val="0043352C"/>
    <w:rsid w:val="00435017"/>
    <w:rsid w:val="00437099"/>
    <w:rsid w:val="004429B2"/>
    <w:rsid w:val="004440CA"/>
    <w:rsid w:val="00446E82"/>
    <w:rsid w:val="00450603"/>
    <w:rsid w:val="00450FB2"/>
    <w:rsid w:val="00452341"/>
    <w:rsid w:val="004536B3"/>
    <w:rsid w:val="0045608A"/>
    <w:rsid w:val="0045611F"/>
    <w:rsid w:val="0045618C"/>
    <w:rsid w:val="00457CBC"/>
    <w:rsid w:val="0046004E"/>
    <w:rsid w:val="0046132F"/>
    <w:rsid w:val="00462D7A"/>
    <w:rsid w:val="00467D8B"/>
    <w:rsid w:val="00470D77"/>
    <w:rsid w:val="004747EB"/>
    <w:rsid w:val="00474EBE"/>
    <w:rsid w:val="00476040"/>
    <w:rsid w:val="00477698"/>
    <w:rsid w:val="00480B61"/>
    <w:rsid w:val="0048502A"/>
    <w:rsid w:val="00485EFE"/>
    <w:rsid w:val="00486CE0"/>
    <w:rsid w:val="0048784D"/>
    <w:rsid w:val="00490A58"/>
    <w:rsid w:val="00491076"/>
    <w:rsid w:val="004914B6"/>
    <w:rsid w:val="004920C8"/>
    <w:rsid w:val="004925AB"/>
    <w:rsid w:val="004937FB"/>
    <w:rsid w:val="004976F4"/>
    <w:rsid w:val="00497B83"/>
    <w:rsid w:val="004A0CB5"/>
    <w:rsid w:val="004A0F5A"/>
    <w:rsid w:val="004A137B"/>
    <w:rsid w:val="004B28F1"/>
    <w:rsid w:val="004B4501"/>
    <w:rsid w:val="004C0295"/>
    <w:rsid w:val="004C4251"/>
    <w:rsid w:val="004C5E46"/>
    <w:rsid w:val="004C6903"/>
    <w:rsid w:val="004D3159"/>
    <w:rsid w:val="004D3512"/>
    <w:rsid w:val="004D4678"/>
    <w:rsid w:val="004D4E64"/>
    <w:rsid w:val="004D596A"/>
    <w:rsid w:val="004E1C5E"/>
    <w:rsid w:val="004E24CC"/>
    <w:rsid w:val="004E4974"/>
    <w:rsid w:val="004E7C93"/>
    <w:rsid w:val="004F3735"/>
    <w:rsid w:val="004F659C"/>
    <w:rsid w:val="004F753A"/>
    <w:rsid w:val="00501073"/>
    <w:rsid w:val="00501DBF"/>
    <w:rsid w:val="00502284"/>
    <w:rsid w:val="00504A25"/>
    <w:rsid w:val="00505B70"/>
    <w:rsid w:val="00514226"/>
    <w:rsid w:val="00515F91"/>
    <w:rsid w:val="00526E6F"/>
    <w:rsid w:val="00530E85"/>
    <w:rsid w:val="00533E08"/>
    <w:rsid w:val="00535E86"/>
    <w:rsid w:val="00540B77"/>
    <w:rsid w:val="0054107F"/>
    <w:rsid w:val="00541D59"/>
    <w:rsid w:val="0054499D"/>
    <w:rsid w:val="00546474"/>
    <w:rsid w:val="0054653E"/>
    <w:rsid w:val="005467C7"/>
    <w:rsid w:val="005503AE"/>
    <w:rsid w:val="00551CC4"/>
    <w:rsid w:val="00552D49"/>
    <w:rsid w:val="00553CC2"/>
    <w:rsid w:val="00553CF0"/>
    <w:rsid w:val="00555945"/>
    <w:rsid w:val="00556F75"/>
    <w:rsid w:val="00557352"/>
    <w:rsid w:val="0055795F"/>
    <w:rsid w:val="00560F2A"/>
    <w:rsid w:val="005650AB"/>
    <w:rsid w:val="00567860"/>
    <w:rsid w:val="00570CA3"/>
    <w:rsid w:val="00573CAD"/>
    <w:rsid w:val="0057705F"/>
    <w:rsid w:val="00577448"/>
    <w:rsid w:val="0058040F"/>
    <w:rsid w:val="00581201"/>
    <w:rsid w:val="005834BB"/>
    <w:rsid w:val="00586B95"/>
    <w:rsid w:val="00586D2B"/>
    <w:rsid w:val="00591D10"/>
    <w:rsid w:val="00594B9B"/>
    <w:rsid w:val="00596399"/>
    <w:rsid w:val="005A03D4"/>
    <w:rsid w:val="005A491E"/>
    <w:rsid w:val="005A7206"/>
    <w:rsid w:val="005B0133"/>
    <w:rsid w:val="005B0D33"/>
    <w:rsid w:val="005B1BBA"/>
    <w:rsid w:val="005B28C3"/>
    <w:rsid w:val="005B6CFA"/>
    <w:rsid w:val="005B6E76"/>
    <w:rsid w:val="005C08D1"/>
    <w:rsid w:val="005C1FC4"/>
    <w:rsid w:val="005D2235"/>
    <w:rsid w:val="005D3111"/>
    <w:rsid w:val="005D3209"/>
    <w:rsid w:val="005D34D8"/>
    <w:rsid w:val="005D6CFB"/>
    <w:rsid w:val="005D6F5E"/>
    <w:rsid w:val="005D7FF2"/>
    <w:rsid w:val="005E0927"/>
    <w:rsid w:val="005E2615"/>
    <w:rsid w:val="005E3452"/>
    <w:rsid w:val="005F04BE"/>
    <w:rsid w:val="005F3FA2"/>
    <w:rsid w:val="005F5E27"/>
    <w:rsid w:val="0060102E"/>
    <w:rsid w:val="00601ED4"/>
    <w:rsid w:val="006023D6"/>
    <w:rsid w:val="00604D46"/>
    <w:rsid w:val="00607256"/>
    <w:rsid w:val="00610F27"/>
    <w:rsid w:val="00612310"/>
    <w:rsid w:val="0061446E"/>
    <w:rsid w:val="00615424"/>
    <w:rsid w:val="00616E7F"/>
    <w:rsid w:val="00617432"/>
    <w:rsid w:val="00617F57"/>
    <w:rsid w:val="0062061C"/>
    <w:rsid w:val="006259B7"/>
    <w:rsid w:val="00626965"/>
    <w:rsid w:val="00630821"/>
    <w:rsid w:val="00630ABA"/>
    <w:rsid w:val="00630FBF"/>
    <w:rsid w:val="00631BBD"/>
    <w:rsid w:val="006323DE"/>
    <w:rsid w:val="00635242"/>
    <w:rsid w:val="006357D7"/>
    <w:rsid w:val="00635F56"/>
    <w:rsid w:val="006369FF"/>
    <w:rsid w:val="0064008F"/>
    <w:rsid w:val="006401CC"/>
    <w:rsid w:val="00641358"/>
    <w:rsid w:val="006414E9"/>
    <w:rsid w:val="00644FF3"/>
    <w:rsid w:val="00647E2D"/>
    <w:rsid w:val="00653109"/>
    <w:rsid w:val="00653A13"/>
    <w:rsid w:val="00655057"/>
    <w:rsid w:val="00656A1C"/>
    <w:rsid w:val="00657450"/>
    <w:rsid w:val="0066186F"/>
    <w:rsid w:val="00665BFF"/>
    <w:rsid w:val="00673B27"/>
    <w:rsid w:val="00674EB7"/>
    <w:rsid w:val="0068039D"/>
    <w:rsid w:val="00681094"/>
    <w:rsid w:val="006818B9"/>
    <w:rsid w:val="00685A9D"/>
    <w:rsid w:val="006868DE"/>
    <w:rsid w:val="00691D36"/>
    <w:rsid w:val="00693C63"/>
    <w:rsid w:val="006A108F"/>
    <w:rsid w:val="006A3152"/>
    <w:rsid w:val="006A7FE3"/>
    <w:rsid w:val="006B0BF6"/>
    <w:rsid w:val="006B53EB"/>
    <w:rsid w:val="006D2BD8"/>
    <w:rsid w:val="006D48D8"/>
    <w:rsid w:val="006D523E"/>
    <w:rsid w:val="006D5459"/>
    <w:rsid w:val="006D5A2B"/>
    <w:rsid w:val="006D7791"/>
    <w:rsid w:val="006E1AE9"/>
    <w:rsid w:val="006E2E71"/>
    <w:rsid w:val="006E355F"/>
    <w:rsid w:val="006E3BCE"/>
    <w:rsid w:val="006E3C03"/>
    <w:rsid w:val="006E49ED"/>
    <w:rsid w:val="006F12A0"/>
    <w:rsid w:val="006F593C"/>
    <w:rsid w:val="006F6084"/>
    <w:rsid w:val="006F736E"/>
    <w:rsid w:val="00710F5E"/>
    <w:rsid w:val="007112EA"/>
    <w:rsid w:val="007122EA"/>
    <w:rsid w:val="00714F96"/>
    <w:rsid w:val="00715599"/>
    <w:rsid w:val="00715D71"/>
    <w:rsid w:val="007203C6"/>
    <w:rsid w:val="007206A5"/>
    <w:rsid w:val="00721411"/>
    <w:rsid w:val="00742DA9"/>
    <w:rsid w:val="00743E08"/>
    <w:rsid w:val="0074687A"/>
    <w:rsid w:val="00752B01"/>
    <w:rsid w:val="00755568"/>
    <w:rsid w:val="00756021"/>
    <w:rsid w:val="007655BA"/>
    <w:rsid w:val="0076703D"/>
    <w:rsid w:val="00767507"/>
    <w:rsid w:val="00770270"/>
    <w:rsid w:val="00772793"/>
    <w:rsid w:val="0077584C"/>
    <w:rsid w:val="00780604"/>
    <w:rsid w:val="007831E3"/>
    <w:rsid w:val="00785DBC"/>
    <w:rsid w:val="007922F1"/>
    <w:rsid w:val="00793913"/>
    <w:rsid w:val="0079404B"/>
    <w:rsid w:val="00794795"/>
    <w:rsid w:val="00795A6C"/>
    <w:rsid w:val="00795EE6"/>
    <w:rsid w:val="007A0654"/>
    <w:rsid w:val="007A2605"/>
    <w:rsid w:val="007A2CC6"/>
    <w:rsid w:val="007A4F01"/>
    <w:rsid w:val="007A69EC"/>
    <w:rsid w:val="007A7136"/>
    <w:rsid w:val="007A7A38"/>
    <w:rsid w:val="007B0B11"/>
    <w:rsid w:val="007B166D"/>
    <w:rsid w:val="007B275F"/>
    <w:rsid w:val="007B4B54"/>
    <w:rsid w:val="007B79DD"/>
    <w:rsid w:val="007C1A4D"/>
    <w:rsid w:val="007C1CF5"/>
    <w:rsid w:val="007C41E7"/>
    <w:rsid w:val="007C44DD"/>
    <w:rsid w:val="007C45F4"/>
    <w:rsid w:val="007C6900"/>
    <w:rsid w:val="007C713C"/>
    <w:rsid w:val="007C7E55"/>
    <w:rsid w:val="007D4A6B"/>
    <w:rsid w:val="007D4CEF"/>
    <w:rsid w:val="007D5D11"/>
    <w:rsid w:val="007D7533"/>
    <w:rsid w:val="007E0A34"/>
    <w:rsid w:val="007E194D"/>
    <w:rsid w:val="007E211C"/>
    <w:rsid w:val="007E656D"/>
    <w:rsid w:val="007F05B5"/>
    <w:rsid w:val="007F1539"/>
    <w:rsid w:val="007F16AE"/>
    <w:rsid w:val="007F1827"/>
    <w:rsid w:val="007F232E"/>
    <w:rsid w:val="007F3E6F"/>
    <w:rsid w:val="007F6759"/>
    <w:rsid w:val="00800874"/>
    <w:rsid w:val="0080137D"/>
    <w:rsid w:val="00801E55"/>
    <w:rsid w:val="00806684"/>
    <w:rsid w:val="00806D1A"/>
    <w:rsid w:val="008100A9"/>
    <w:rsid w:val="0081276F"/>
    <w:rsid w:val="00814AEC"/>
    <w:rsid w:val="00814E5D"/>
    <w:rsid w:val="00814FD7"/>
    <w:rsid w:val="0082381F"/>
    <w:rsid w:val="00823C52"/>
    <w:rsid w:val="008324B9"/>
    <w:rsid w:val="00832F60"/>
    <w:rsid w:val="00833443"/>
    <w:rsid w:val="008341FF"/>
    <w:rsid w:val="00834E3B"/>
    <w:rsid w:val="00843441"/>
    <w:rsid w:val="00844DC2"/>
    <w:rsid w:val="008461A1"/>
    <w:rsid w:val="00850B59"/>
    <w:rsid w:val="00851B08"/>
    <w:rsid w:val="008534FD"/>
    <w:rsid w:val="0085581A"/>
    <w:rsid w:val="00867471"/>
    <w:rsid w:val="0087382F"/>
    <w:rsid w:val="00876513"/>
    <w:rsid w:val="00877D7F"/>
    <w:rsid w:val="00882588"/>
    <w:rsid w:val="00882FBD"/>
    <w:rsid w:val="00885512"/>
    <w:rsid w:val="00885FC2"/>
    <w:rsid w:val="00886321"/>
    <w:rsid w:val="00887D72"/>
    <w:rsid w:val="00891763"/>
    <w:rsid w:val="00895023"/>
    <w:rsid w:val="008966E0"/>
    <w:rsid w:val="00897E0C"/>
    <w:rsid w:val="008A130D"/>
    <w:rsid w:val="008A581C"/>
    <w:rsid w:val="008B07AF"/>
    <w:rsid w:val="008B2E88"/>
    <w:rsid w:val="008B516B"/>
    <w:rsid w:val="008B547D"/>
    <w:rsid w:val="008C30BC"/>
    <w:rsid w:val="008C38D9"/>
    <w:rsid w:val="008C3EEB"/>
    <w:rsid w:val="008D0B60"/>
    <w:rsid w:val="008D5F97"/>
    <w:rsid w:val="008D6763"/>
    <w:rsid w:val="008E0511"/>
    <w:rsid w:val="008E0FE7"/>
    <w:rsid w:val="008E43EB"/>
    <w:rsid w:val="008E45EF"/>
    <w:rsid w:val="008E5B36"/>
    <w:rsid w:val="008F3AD0"/>
    <w:rsid w:val="008F515C"/>
    <w:rsid w:val="008F6A6C"/>
    <w:rsid w:val="008F70CC"/>
    <w:rsid w:val="008F7EA9"/>
    <w:rsid w:val="00902E9C"/>
    <w:rsid w:val="009136F6"/>
    <w:rsid w:val="009174D4"/>
    <w:rsid w:val="00930B19"/>
    <w:rsid w:val="00930DE5"/>
    <w:rsid w:val="0093195A"/>
    <w:rsid w:val="00932C1A"/>
    <w:rsid w:val="009334F2"/>
    <w:rsid w:val="00940453"/>
    <w:rsid w:val="009414CE"/>
    <w:rsid w:val="009422FA"/>
    <w:rsid w:val="009430B3"/>
    <w:rsid w:val="009432A9"/>
    <w:rsid w:val="00943DEA"/>
    <w:rsid w:val="00945422"/>
    <w:rsid w:val="00951BD9"/>
    <w:rsid w:val="00951BE6"/>
    <w:rsid w:val="009540F6"/>
    <w:rsid w:val="00954A2D"/>
    <w:rsid w:val="00956264"/>
    <w:rsid w:val="00956A90"/>
    <w:rsid w:val="00962E70"/>
    <w:rsid w:val="00967527"/>
    <w:rsid w:val="00974B76"/>
    <w:rsid w:val="00974D66"/>
    <w:rsid w:val="00975F6D"/>
    <w:rsid w:val="00976176"/>
    <w:rsid w:val="00981B5B"/>
    <w:rsid w:val="00987C3B"/>
    <w:rsid w:val="00991325"/>
    <w:rsid w:val="0099311C"/>
    <w:rsid w:val="0099482F"/>
    <w:rsid w:val="00995036"/>
    <w:rsid w:val="009A4D67"/>
    <w:rsid w:val="009B3158"/>
    <w:rsid w:val="009B4362"/>
    <w:rsid w:val="009C3089"/>
    <w:rsid w:val="009C4544"/>
    <w:rsid w:val="009C5168"/>
    <w:rsid w:val="009D23A2"/>
    <w:rsid w:val="009D2F20"/>
    <w:rsid w:val="009E256F"/>
    <w:rsid w:val="009E3B39"/>
    <w:rsid w:val="009E5089"/>
    <w:rsid w:val="009E61A8"/>
    <w:rsid w:val="009E70AD"/>
    <w:rsid w:val="009F1152"/>
    <w:rsid w:val="009F4713"/>
    <w:rsid w:val="009F4755"/>
    <w:rsid w:val="009F55FD"/>
    <w:rsid w:val="009F58B9"/>
    <w:rsid w:val="00A04199"/>
    <w:rsid w:val="00A06D6E"/>
    <w:rsid w:val="00A10345"/>
    <w:rsid w:val="00A14208"/>
    <w:rsid w:val="00A14FB4"/>
    <w:rsid w:val="00A169DF"/>
    <w:rsid w:val="00A17439"/>
    <w:rsid w:val="00A2321C"/>
    <w:rsid w:val="00A2512E"/>
    <w:rsid w:val="00A2714E"/>
    <w:rsid w:val="00A3425D"/>
    <w:rsid w:val="00A3506A"/>
    <w:rsid w:val="00A35B55"/>
    <w:rsid w:val="00A379EE"/>
    <w:rsid w:val="00A37F8A"/>
    <w:rsid w:val="00A4524C"/>
    <w:rsid w:val="00A53C44"/>
    <w:rsid w:val="00A56314"/>
    <w:rsid w:val="00A56458"/>
    <w:rsid w:val="00A56C7E"/>
    <w:rsid w:val="00A62DAA"/>
    <w:rsid w:val="00A63139"/>
    <w:rsid w:val="00A650C2"/>
    <w:rsid w:val="00A67A99"/>
    <w:rsid w:val="00A72899"/>
    <w:rsid w:val="00A753ED"/>
    <w:rsid w:val="00A75B61"/>
    <w:rsid w:val="00A7615E"/>
    <w:rsid w:val="00A764BA"/>
    <w:rsid w:val="00A77567"/>
    <w:rsid w:val="00A77801"/>
    <w:rsid w:val="00A819E5"/>
    <w:rsid w:val="00A822B7"/>
    <w:rsid w:val="00A825FC"/>
    <w:rsid w:val="00A8425E"/>
    <w:rsid w:val="00A84C42"/>
    <w:rsid w:val="00A84D91"/>
    <w:rsid w:val="00A90FD8"/>
    <w:rsid w:val="00A93465"/>
    <w:rsid w:val="00A93EE7"/>
    <w:rsid w:val="00AA09FA"/>
    <w:rsid w:val="00AA352A"/>
    <w:rsid w:val="00AA4347"/>
    <w:rsid w:val="00AA47E3"/>
    <w:rsid w:val="00AA71DF"/>
    <w:rsid w:val="00AB2B09"/>
    <w:rsid w:val="00AB3950"/>
    <w:rsid w:val="00AB5AAF"/>
    <w:rsid w:val="00AB6D2E"/>
    <w:rsid w:val="00AC285D"/>
    <w:rsid w:val="00AC31B8"/>
    <w:rsid w:val="00AC3AC3"/>
    <w:rsid w:val="00AC7B9A"/>
    <w:rsid w:val="00AC7BC4"/>
    <w:rsid w:val="00AD09C9"/>
    <w:rsid w:val="00AD0B2E"/>
    <w:rsid w:val="00AD0DF6"/>
    <w:rsid w:val="00AD2B01"/>
    <w:rsid w:val="00AE005C"/>
    <w:rsid w:val="00AE5F4A"/>
    <w:rsid w:val="00AF2B4C"/>
    <w:rsid w:val="00AF4FE5"/>
    <w:rsid w:val="00AF5D21"/>
    <w:rsid w:val="00B07A6E"/>
    <w:rsid w:val="00B129A9"/>
    <w:rsid w:val="00B20080"/>
    <w:rsid w:val="00B22493"/>
    <w:rsid w:val="00B23000"/>
    <w:rsid w:val="00B271FB"/>
    <w:rsid w:val="00B27A37"/>
    <w:rsid w:val="00B32968"/>
    <w:rsid w:val="00B32F2E"/>
    <w:rsid w:val="00B3311B"/>
    <w:rsid w:val="00B33828"/>
    <w:rsid w:val="00B34135"/>
    <w:rsid w:val="00B35C98"/>
    <w:rsid w:val="00B3700B"/>
    <w:rsid w:val="00B4170F"/>
    <w:rsid w:val="00B442E8"/>
    <w:rsid w:val="00B52C90"/>
    <w:rsid w:val="00B55369"/>
    <w:rsid w:val="00B55507"/>
    <w:rsid w:val="00B61064"/>
    <w:rsid w:val="00B63CAA"/>
    <w:rsid w:val="00B65998"/>
    <w:rsid w:val="00B703FF"/>
    <w:rsid w:val="00B7224A"/>
    <w:rsid w:val="00B7417C"/>
    <w:rsid w:val="00B80421"/>
    <w:rsid w:val="00B84A8C"/>
    <w:rsid w:val="00B901A6"/>
    <w:rsid w:val="00B95E41"/>
    <w:rsid w:val="00BA00AF"/>
    <w:rsid w:val="00BA121B"/>
    <w:rsid w:val="00BA1E88"/>
    <w:rsid w:val="00BA205E"/>
    <w:rsid w:val="00BA2435"/>
    <w:rsid w:val="00BA40AC"/>
    <w:rsid w:val="00BB070E"/>
    <w:rsid w:val="00BB14FA"/>
    <w:rsid w:val="00BB1707"/>
    <w:rsid w:val="00BB3CEF"/>
    <w:rsid w:val="00BB4DEB"/>
    <w:rsid w:val="00BB5FAD"/>
    <w:rsid w:val="00BC2611"/>
    <w:rsid w:val="00BD0A16"/>
    <w:rsid w:val="00BD2C51"/>
    <w:rsid w:val="00BD47C1"/>
    <w:rsid w:val="00BD53EA"/>
    <w:rsid w:val="00BE2B1F"/>
    <w:rsid w:val="00BE75A9"/>
    <w:rsid w:val="00BE7861"/>
    <w:rsid w:val="00BF12C1"/>
    <w:rsid w:val="00BF2228"/>
    <w:rsid w:val="00BF3F82"/>
    <w:rsid w:val="00BF42FE"/>
    <w:rsid w:val="00BF444A"/>
    <w:rsid w:val="00BF651F"/>
    <w:rsid w:val="00BF68A0"/>
    <w:rsid w:val="00C063E7"/>
    <w:rsid w:val="00C14544"/>
    <w:rsid w:val="00C22204"/>
    <w:rsid w:val="00C242F1"/>
    <w:rsid w:val="00C245EF"/>
    <w:rsid w:val="00C26E62"/>
    <w:rsid w:val="00C327DA"/>
    <w:rsid w:val="00C332D9"/>
    <w:rsid w:val="00C3353C"/>
    <w:rsid w:val="00C33A74"/>
    <w:rsid w:val="00C33FFD"/>
    <w:rsid w:val="00C35B9E"/>
    <w:rsid w:val="00C366DC"/>
    <w:rsid w:val="00C441E1"/>
    <w:rsid w:val="00C44C3C"/>
    <w:rsid w:val="00C50041"/>
    <w:rsid w:val="00C515A8"/>
    <w:rsid w:val="00C51ABE"/>
    <w:rsid w:val="00C5485B"/>
    <w:rsid w:val="00C54E12"/>
    <w:rsid w:val="00C55678"/>
    <w:rsid w:val="00C57545"/>
    <w:rsid w:val="00C606A1"/>
    <w:rsid w:val="00C62254"/>
    <w:rsid w:val="00C6434D"/>
    <w:rsid w:val="00C64AB7"/>
    <w:rsid w:val="00C663F5"/>
    <w:rsid w:val="00C708AD"/>
    <w:rsid w:val="00C712B1"/>
    <w:rsid w:val="00C72B4B"/>
    <w:rsid w:val="00C759BB"/>
    <w:rsid w:val="00C75BAD"/>
    <w:rsid w:val="00C82767"/>
    <w:rsid w:val="00C82C7B"/>
    <w:rsid w:val="00C83C18"/>
    <w:rsid w:val="00C854B1"/>
    <w:rsid w:val="00C94835"/>
    <w:rsid w:val="00C97FEE"/>
    <w:rsid w:val="00CA020C"/>
    <w:rsid w:val="00CA0827"/>
    <w:rsid w:val="00CA11DC"/>
    <w:rsid w:val="00CA52F9"/>
    <w:rsid w:val="00CB77AD"/>
    <w:rsid w:val="00CB7EDE"/>
    <w:rsid w:val="00CC1383"/>
    <w:rsid w:val="00CC1F0B"/>
    <w:rsid w:val="00CC5CF3"/>
    <w:rsid w:val="00CC6023"/>
    <w:rsid w:val="00CC66C0"/>
    <w:rsid w:val="00CC715B"/>
    <w:rsid w:val="00CD125A"/>
    <w:rsid w:val="00CD1475"/>
    <w:rsid w:val="00CD271F"/>
    <w:rsid w:val="00CD3530"/>
    <w:rsid w:val="00CD3ACA"/>
    <w:rsid w:val="00CD488E"/>
    <w:rsid w:val="00CD5DFB"/>
    <w:rsid w:val="00CD6DCE"/>
    <w:rsid w:val="00CD7B42"/>
    <w:rsid w:val="00CD7FE3"/>
    <w:rsid w:val="00CE0118"/>
    <w:rsid w:val="00CE11BE"/>
    <w:rsid w:val="00CE309D"/>
    <w:rsid w:val="00CF4D1A"/>
    <w:rsid w:val="00D01A59"/>
    <w:rsid w:val="00D05742"/>
    <w:rsid w:val="00D05F7F"/>
    <w:rsid w:val="00D060D0"/>
    <w:rsid w:val="00D06E1B"/>
    <w:rsid w:val="00D1144F"/>
    <w:rsid w:val="00D13A6F"/>
    <w:rsid w:val="00D15DBE"/>
    <w:rsid w:val="00D15DD2"/>
    <w:rsid w:val="00D16283"/>
    <w:rsid w:val="00D21D99"/>
    <w:rsid w:val="00D33FC1"/>
    <w:rsid w:val="00D344DD"/>
    <w:rsid w:val="00D3760B"/>
    <w:rsid w:val="00D379EF"/>
    <w:rsid w:val="00D4025A"/>
    <w:rsid w:val="00D40F91"/>
    <w:rsid w:val="00D4237E"/>
    <w:rsid w:val="00D426C6"/>
    <w:rsid w:val="00D45BAE"/>
    <w:rsid w:val="00D538D4"/>
    <w:rsid w:val="00D5498B"/>
    <w:rsid w:val="00D5677A"/>
    <w:rsid w:val="00D57036"/>
    <w:rsid w:val="00D57EEC"/>
    <w:rsid w:val="00D610C4"/>
    <w:rsid w:val="00D63E40"/>
    <w:rsid w:val="00D6403B"/>
    <w:rsid w:val="00D649E8"/>
    <w:rsid w:val="00D66CA2"/>
    <w:rsid w:val="00D70F5C"/>
    <w:rsid w:val="00D724BE"/>
    <w:rsid w:val="00D753F8"/>
    <w:rsid w:val="00D80710"/>
    <w:rsid w:val="00D8083F"/>
    <w:rsid w:val="00D8538E"/>
    <w:rsid w:val="00D860AC"/>
    <w:rsid w:val="00D86A03"/>
    <w:rsid w:val="00D86BA0"/>
    <w:rsid w:val="00D86BE0"/>
    <w:rsid w:val="00D906C4"/>
    <w:rsid w:val="00D90929"/>
    <w:rsid w:val="00D90F0F"/>
    <w:rsid w:val="00D9158A"/>
    <w:rsid w:val="00D91A1F"/>
    <w:rsid w:val="00D944D2"/>
    <w:rsid w:val="00D95023"/>
    <w:rsid w:val="00D95B1D"/>
    <w:rsid w:val="00DA6257"/>
    <w:rsid w:val="00DB2558"/>
    <w:rsid w:val="00DB3C06"/>
    <w:rsid w:val="00DB4F75"/>
    <w:rsid w:val="00DB7526"/>
    <w:rsid w:val="00DC10F7"/>
    <w:rsid w:val="00DC13A8"/>
    <w:rsid w:val="00DC3051"/>
    <w:rsid w:val="00DC47CE"/>
    <w:rsid w:val="00DC5642"/>
    <w:rsid w:val="00DD598C"/>
    <w:rsid w:val="00DE6A99"/>
    <w:rsid w:val="00DF0E96"/>
    <w:rsid w:val="00DF537B"/>
    <w:rsid w:val="00E04393"/>
    <w:rsid w:val="00E05357"/>
    <w:rsid w:val="00E07731"/>
    <w:rsid w:val="00E14C83"/>
    <w:rsid w:val="00E16279"/>
    <w:rsid w:val="00E2057E"/>
    <w:rsid w:val="00E2459E"/>
    <w:rsid w:val="00E25807"/>
    <w:rsid w:val="00E26BE0"/>
    <w:rsid w:val="00E27D19"/>
    <w:rsid w:val="00E3113C"/>
    <w:rsid w:val="00E33191"/>
    <w:rsid w:val="00E34237"/>
    <w:rsid w:val="00E40AD5"/>
    <w:rsid w:val="00E44094"/>
    <w:rsid w:val="00E44BFD"/>
    <w:rsid w:val="00E4545E"/>
    <w:rsid w:val="00E46385"/>
    <w:rsid w:val="00E469EB"/>
    <w:rsid w:val="00E46F76"/>
    <w:rsid w:val="00E536ED"/>
    <w:rsid w:val="00E53CD2"/>
    <w:rsid w:val="00E54B0E"/>
    <w:rsid w:val="00E5577F"/>
    <w:rsid w:val="00E60505"/>
    <w:rsid w:val="00E64207"/>
    <w:rsid w:val="00E6456D"/>
    <w:rsid w:val="00E6687E"/>
    <w:rsid w:val="00E70AF5"/>
    <w:rsid w:val="00E749DA"/>
    <w:rsid w:val="00E75128"/>
    <w:rsid w:val="00E76691"/>
    <w:rsid w:val="00E76852"/>
    <w:rsid w:val="00E7711C"/>
    <w:rsid w:val="00E8153C"/>
    <w:rsid w:val="00E8256B"/>
    <w:rsid w:val="00E82A01"/>
    <w:rsid w:val="00E831B2"/>
    <w:rsid w:val="00E83B15"/>
    <w:rsid w:val="00E86E61"/>
    <w:rsid w:val="00E87ED4"/>
    <w:rsid w:val="00E9134B"/>
    <w:rsid w:val="00E91D2D"/>
    <w:rsid w:val="00E93316"/>
    <w:rsid w:val="00E93683"/>
    <w:rsid w:val="00E9446E"/>
    <w:rsid w:val="00E952CE"/>
    <w:rsid w:val="00E95CB8"/>
    <w:rsid w:val="00EA29D3"/>
    <w:rsid w:val="00EA2C5B"/>
    <w:rsid w:val="00EA3FB0"/>
    <w:rsid w:val="00EA442F"/>
    <w:rsid w:val="00EA7CB2"/>
    <w:rsid w:val="00EB024B"/>
    <w:rsid w:val="00EB0977"/>
    <w:rsid w:val="00EB1492"/>
    <w:rsid w:val="00EB5476"/>
    <w:rsid w:val="00EB58CA"/>
    <w:rsid w:val="00EC180D"/>
    <w:rsid w:val="00EC1A5C"/>
    <w:rsid w:val="00EC2DC4"/>
    <w:rsid w:val="00EC58A5"/>
    <w:rsid w:val="00ED0923"/>
    <w:rsid w:val="00ED12BF"/>
    <w:rsid w:val="00ED1A6F"/>
    <w:rsid w:val="00ED312C"/>
    <w:rsid w:val="00EE0353"/>
    <w:rsid w:val="00EE148B"/>
    <w:rsid w:val="00EE3083"/>
    <w:rsid w:val="00EE33A3"/>
    <w:rsid w:val="00EE493A"/>
    <w:rsid w:val="00EE783D"/>
    <w:rsid w:val="00EF032E"/>
    <w:rsid w:val="00EF12A8"/>
    <w:rsid w:val="00EF37BE"/>
    <w:rsid w:val="00EF57DC"/>
    <w:rsid w:val="00F0509F"/>
    <w:rsid w:val="00F05F03"/>
    <w:rsid w:val="00F1019B"/>
    <w:rsid w:val="00F105E6"/>
    <w:rsid w:val="00F10DF4"/>
    <w:rsid w:val="00F11302"/>
    <w:rsid w:val="00F13F36"/>
    <w:rsid w:val="00F2075F"/>
    <w:rsid w:val="00F2515B"/>
    <w:rsid w:val="00F26B5B"/>
    <w:rsid w:val="00F26F1E"/>
    <w:rsid w:val="00F34756"/>
    <w:rsid w:val="00F35EFE"/>
    <w:rsid w:val="00F36494"/>
    <w:rsid w:val="00F37836"/>
    <w:rsid w:val="00F3799E"/>
    <w:rsid w:val="00F42533"/>
    <w:rsid w:val="00F45EDE"/>
    <w:rsid w:val="00F47669"/>
    <w:rsid w:val="00F47879"/>
    <w:rsid w:val="00F47BAF"/>
    <w:rsid w:val="00F52463"/>
    <w:rsid w:val="00F54241"/>
    <w:rsid w:val="00F550E1"/>
    <w:rsid w:val="00F55887"/>
    <w:rsid w:val="00F60898"/>
    <w:rsid w:val="00F60C38"/>
    <w:rsid w:val="00F60C91"/>
    <w:rsid w:val="00F622EF"/>
    <w:rsid w:val="00F635C3"/>
    <w:rsid w:val="00F63900"/>
    <w:rsid w:val="00F66B59"/>
    <w:rsid w:val="00F70AB8"/>
    <w:rsid w:val="00F74887"/>
    <w:rsid w:val="00F763C8"/>
    <w:rsid w:val="00F77187"/>
    <w:rsid w:val="00F80AB0"/>
    <w:rsid w:val="00F810DE"/>
    <w:rsid w:val="00F8115A"/>
    <w:rsid w:val="00F822FB"/>
    <w:rsid w:val="00F84845"/>
    <w:rsid w:val="00F92300"/>
    <w:rsid w:val="00F92A51"/>
    <w:rsid w:val="00F9674A"/>
    <w:rsid w:val="00F96E22"/>
    <w:rsid w:val="00F9770E"/>
    <w:rsid w:val="00FA282D"/>
    <w:rsid w:val="00FA43DF"/>
    <w:rsid w:val="00FA5F00"/>
    <w:rsid w:val="00FB0764"/>
    <w:rsid w:val="00FB0F8B"/>
    <w:rsid w:val="00FB3C36"/>
    <w:rsid w:val="00FB5704"/>
    <w:rsid w:val="00FB709B"/>
    <w:rsid w:val="00FB72D9"/>
    <w:rsid w:val="00FC1DB4"/>
    <w:rsid w:val="00FC33C1"/>
    <w:rsid w:val="00FC42E2"/>
    <w:rsid w:val="00FE172A"/>
    <w:rsid w:val="00FE1A37"/>
    <w:rsid w:val="00FE34EB"/>
    <w:rsid w:val="00FE36CB"/>
    <w:rsid w:val="00FE42EE"/>
    <w:rsid w:val="00FE5835"/>
    <w:rsid w:val="00FE6217"/>
    <w:rsid w:val="00FF2E97"/>
    <w:rsid w:val="00FF43F5"/>
    <w:rsid w:val="00FF4BCA"/>
    <w:rsid w:val="00FF5703"/>
    <w:rsid w:val="00FF6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80B0120"/>
  <w15:docId w15:val="{9EEB3F36-C45F-4155-8069-807E6446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rafo Normal"/>
    <w:qFormat/>
    <w:rsid w:val="004937FB"/>
    <w:pPr>
      <w:suppressAutoHyphens/>
      <w:spacing w:before="240" w:after="240" w:line="312" w:lineRule="auto"/>
      <w:jc w:val="both"/>
    </w:pPr>
    <w:rPr>
      <w:rFonts w:ascii="Verdana" w:eastAsia="Noto Sans CJK SC Regular" w:hAnsi="Verdana" w:cs="FreeSans"/>
      <w:kern w:val="1"/>
      <w:sz w:val="24"/>
      <w:szCs w:val="24"/>
      <w:lang w:eastAsia="zh-CN" w:bidi="hi-IN"/>
    </w:rPr>
  </w:style>
  <w:style w:type="paragraph" w:styleId="Heading1">
    <w:name w:val="heading 1"/>
    <w:basedOn w:val="Normal"/>
    <w:next w:val="Normal"/>
    <w:link w:val="Heading1Char"/>
    <w:uiPriority w:val="9"/>
    <w:qFormat/>
    <w:rsid w:val="00E8256B"/>
    <w:pPr>
      <w:keepNext/>
      <w:pBdr>
        <w:bottom w:val="single" w:sz="36" w:space="6" w:color="008A25"/>
      </w:pBdr>
      <w:spacing w:before="360" w:after="360" w:line="240" w:lineRule="auto"/>
      <w:outlineLvl w:val="0"/>
    </w:pPr>
    <w:rPr>
      <w:rFonts w:eastAsia="Times New Roman" w:cs="Mangal"/>
      <w:color w:val="355762"/>
      <w:kern w:val="32"/>
      <w:sz w:val="40"/>
      <w:szCs w:val="40"/>
    </w:rPr>
  </w:style>
  <w:style w:type="paragraph" w:styleId="Heading2">
    <w:name w:val="heading 2"/>
    <w:basedOn w:val="Normal"/>
    <w:next w:val="Normal"/>
    <w:link w:val="Heading2Char"/>
    <w:uiPriority w:val="9"/>
    <w:unhideWhenUsed/>
    <w:qFormat/>
    <w:rsid w:val="00E8256B"/>
    <w:pPr>
      <w:keepNext/>
      <w:pBdr>
        <w:bottom w:val="single" w:sz="24" w:space="4" w:color="008A25"/>
      </w:pBdr>
      <w:shd w:val="clear" w:color="auto" w:fill="FFFFFF"/>
      <w:spacing w:line="240" w:lineRule="auto"/>
      <w:outlineLvl w:val="1"/>
    </w:pPr>
    <w:rPr>
      <w:rFonts w:eastAsia="Times New Roman" w:cs="Mangal"/>
      <w:iCs/>
      <w:color w:val="355762"/>
      <w:sz w:val="34"/>
      <w:szCs w:val="34"/>
    </w:rPr>
  </w:style>
  <w:style w:type="paragraph" w:styleId="Heading3">
    <w:name w:val="heading 3"/>
    <w:basedOn w:val="Normal"/>
    <w:next w:val="Normal"/>
    <w:link w:val="Heading3Char"/>
    <w:uiPriority w:val="9"/>
    <w:unhideWhenUsed/>
    <w:qFormat/>
    <w:rsid w:val="00E8256B"/>
    <w:pPr>
      <w:keepNext/>
      <w:pBdr>
        <w:bottom w:val="single" w:sz="4" w:space="6" w:color="355762"/>
      </w:pBdr>
      <w:shd w:val="clear" w:color="auto" w:fill="FFFFFF" w:themeFill="background1"/>
      <w:spacing w:line="240" w:lineRule="auto"/>
      <w:outlineLvl w:val="2"/>
    </w:pPr>
    <w:rPr>
      <w:rFonts w:eastAsia="Times New Roman" w:cs="Mangal"/>
      <w:b/>
      <w:bCs/>
      <w:color w:val="008A25"/>
      <w:sz w:val="30"/>
      <w:szCs w:val="30"/>
    </w:rPr>
  </w:style>
  <w:style w:type="paragraph" w:styleId="Heading4">
    <w:name w:val="heading 4"/>
    <w:basedOn w:val="Normal"/>
    <w:next w:val="Normal"/>
    <w:link w:val="Heading4Char"/>
    <w:uiPriority w:val="9"/>
    <w:unhideWhenUsed/>
    <w:qFormat/>
    <w:rsid w:val="00450FB2"/>
    <w:pPr>
      <w:keepNext/>
      <w:spacing w:after="60"/>
      <w:outlineLvl w:val="3"/>
    </w:pPr>
    <w:rPr>
      <w:rFonts w:ascii="Calibri" w:eastAsia="Times New Roman" w:hAnsi="Calibri" w:cs="Mangal"/>
      <w:b/>
      <w:bCs/>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50FB2"/>
    <w:pPr>
      <w:suppressAutoHyphens/>
    </w:pPr>
    <w:rPr>
      <w:rFonts w:ascii="Arial" w:eastAsia="Noto Sans CJK SC Regular" w:hAnsi="Arial" w:cs="Mangal"/>
      <w:kern w:val="1"/>
      <w:sz w:val="28"/>
      <w:szCs w:val="24"/>
      <w:lang w:eastAsia="zh-CN" w:bidi="hi-IN"/>
    </w:rPr>
  </w:style>
  <w:style w:type="character" w:styleId="SubtleEmphasis">
    <w:name w:val="Subtle Emphasis"/>
    <w:uiPriority w:val="19"/>
    <w:rsid w:val="00450FB2"/>
    <w:rPr>
      <w:i/>
      <w:iCs/>
      <w:color w:val="404040"/>
    </w:rPr>
  </w:style>
  <w:style w:type="paragraph" w:styleId="List">
    <w:name w:val="List"/>
    <w:basedOn w:val="Normal"/>
    <w:link w:val="ListChar"/>
    <w:rsid w:val="00450FB2"/>
    <w:pPr>
      <w:numPr>
        <w:numId w:val="11"/>
      </w:numPr>
      <w:spacing w:after="140" w:line="288" w:lineRule="auto"/>
    </w:pPr>
  </w:style>
  <w:style w:type="paragraph" w:customStyle="1" w:styleId="Epgrafe1">
    <w:name w:val="Epígrafe1"/>
    <w:basedOn w:val="Normal"/>
    <w:rsid w:val="00B27A37"/>
    <w:pPr>
      <w:suppressLineNumbers/>
      <w:spacing w:before="120" w:after="120"/>
    </w:pPr>
    <w:rPr>
      <w:iCs/>
    </w:rPr>
  </w:style>
  <w:style w:type="paragraph" w:customStyle="1" w:styleId="ndice">
    <w:name w:val="Índice"/>
    <w:basedOn w:val="Normal"/>
    <w:rsid w:val="00491076"/>
    <w:pPr>
      <w:suppressLineNumbers/>
    </w:pPr>
  </w:style>
  <w:style w:type="character" w:styleId="Emphasis">
    <w:name w:val="Emphasis"/>
    <w:uiPriority w:val="20"/>
    <w:rsid w:val="00450FB2"/>
    <w:rPr>
      <w:i/>
      <w:iCs/>
    </w:rPr>
  </w:style>
  <w:style w:type="character" w:customStyle="1" w:styleId="Heading4Char">
    <w:name w:val="Heading 4 Char"/>
    <w:link w:val="Heading4"/>
    <w:uiPriority w:val="9"/>
    <w:rsid w:val="00450FB2"/>
    <w:rPr>
      <w:rFonts w:ascii="Calibri" w:eastAsia="Times New Roman" w:hAnsi="Calibri" w:cs="Mangal"/>
      <w:b/>
      <w:bCs/>
      <w:kern w:val="1"/>
      <w:sz w:val="28"/>
      <w:szCs w:val="25"/>
      <w:lang w:eastAsia="zh-CN" w:bidi="hi-IN"/>
    </w:rPr>
  </w:style>
  <w:style w:type="paragraph" w:styleId="Footer">
    <w:name w:val="footer"/>
    <w:basedOn w:val="Normal"/>
    <w:link w:val="FooterChar"/>
    <w:uiPriority w:val="99"/>
    <w:rsid w:val="00B27A37"/>
    <w:pPr>
      <w:suppressLineNumbers/>
      <w:tabs>
        <w:tab w:val="center" w:pos="4819"/>
        <w:tab w:val="right" w:pos="9638"/>
      </w:tabs>
      <w:jc w:val="right"/>
    </w:pPr>
    <w:rPr>
      <w:b/>
    </w:rPr>
  </w:style>
  <w:style w:type="paragraph" w:customStyle="1" w:styleId="Encabezadodelatabla">
    <w:name w:val="Encabezado de la tabla"/>
    <w:basedOn w:val="Normal"/>
    <w:rsid w:val="00257DC5"/>
    <w:pPr>
      <w:suppressLineNumbers/>
      <w:jc w:val="center"/>
    </w:pPr>
    <w:rPr>
      <w:b/>
      <w:bCs/>
    </w:rPr>
  </w:style>
  <w:style w:type="table" w:styleId="TableGrid">
    <w:name w:val="Table Grid"/>
    <w:basedOn w:val="TableNormal"/>
    <w:uiPriority w:val="59"/>
    <w:rsid w:val="004E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945"/>
    <w:rPr>
      <w:rFonts w:ascii="Verdana" w:hAnsi="Verdana"/>
      <w:color w:val="5EB345"/>
      <w:u w:val="single"/>
    </w:rPr>
  </w:style>
  <w:style w:type="paragraph" w:customStyle="1" w:styleId="A1">
    <w:name w:val="A1"/>
    <w:basedOn w:val="Normal"/>
    <w:link w:val="A1Car"/>
    <w:autoRedefine/>
    <w:rsid w:val="003413A6"/>
    <w:pPr>
      <w:spacing w:line="240" w:lineRule="auto"/>
    </w:pPr>
    <w:rPr>
      <w:b/>
      <w:color w:val="000000"/>
      <w:sz w:val="44"/>
    </w:rPr>
  </w:style>
  <w:style w:type="paragraph" w:customStyle="1" w:styleId="A2">
    <w:name w:val="A2"/>
    <w:basedOn w:val="Normal"/>
    <w:link w:val="A2Car"/>
    <w:autoRedefine/>
    <w:rsid w:val="000308DC"/>
    <w:rPr>
      <w:noProof/>
      <w:color w:val="FFFFFF" w:themeColor="background1"/>
      <w:sz w:val="40"/>
      <w:szCs w:val="40"/>
    </w:rPr>
  </w:style>
  <w:style w:type="character" w:customStyle="1" w:styleId="A1Car">
    <w:name w:val="A1 Car"/>
    <w:link w:val="A1"/>
    <w:rsid w:val="003413A6"/>
    <w:rPr>
      <w:rFonts w:ascii="Verdana" w:eastAsia="Noto Sans CJK SC Regular" w:hAnsi="Verdana" w:cs="FreeSans"/>
      <w:b/>
      <w:color w:val="000000"/>
      <w:kern w:val="1"/>
      <w:sz w:val="44"/>
      <w:szCs w:val="24"/>
      <w:lang w:eastAsia="zh-CN" w:bidi="hi-IN"/>
    </w:rPr>
  </w:style>
  <w:style w:type="paragraph" w:customStyle="1" w:styleId="A3">
    <w:name w:val="A3"/>
    <w:basedOn w:val="Normal"/>
    <w:link w:val="A3Car"/>
    <w:rsid w:val="00555945"/>
    <w:pPr>
      <w:spacing w:line="240" w:lineRule="auto"/>
    </w:pPr>
    <w:rPr>
      <w:b/>
      <w:color w:val="006D3C"/>
      <w:sz w:val="32"/>
    </w:rPr>
  </w:style>
  <w:style w:type="character" w:customStyle="1" w:styleId="A2Car">
    <w:name w:val="A2 Car"/>
    <w:link w:val="A2"/>
    <w:rsid w:val="000308DC"/>
    <w:rPr>
      <w:rFonts w:ascii="Verdana" w:eastAsia="Noto Sans CJK SC Regular" w:hAnsi="Verdana" w:cs="FreeSans"/>
      <w:noProof/>
      <w:color w:val="FFFFFF" w:themeColor="background1"/>
      <w:kern w:val="1"/>
      <w:sz w:val="40"/>
      <w:szCs w:val="40"/>
      <w:lang w:eastAsia="zh-CN" w:bidi="hi-IN"/>
    </w:rPr>
  </w:style>
  <w:style w:type="character" w:customStyle="1" w:styleId="Heading1Char">
    <w:name w:val="Heading 1 Char"/>
    <w:link w:val="Heading1"/>
    <w:uiPriority w:val="9"/>
    <w:rsid w:val="00E8256B"/>
    <w:rPr>
      <w:rFonts w:ascii="Verdana" w:hAnsi="Verdana" w:cs="Mangal"/>
      <w:color w:val="355762"/>
      <w:kern w:val="32"/>
      <w:sz w:val="40"/>
      <w:szCs w:val="40"/>
      <w:lang w:eastAsia="zh-CN" w:bidi="hi-IN"/>
    </w:rPr>
  </w:style>
  <w:style w:type="character" w:customStyle="1" w:styleId="A3Car">
    <w:name w:val="A3 Car"/>
    <w:link w:val="A3"/>
    <w:rsid w:val="00555945"/>
    <w:rPr>
      <w:rFonts w:ascii="Verdana" w:eastAsia="Noto Sans CJK SC Regular" w:hAnsi="Verdana" w:cs="FreeSans"/>
      <w:b/>
      <w:color w:val="006D3C"/>
      <w:kern w:val="1"/>
      <w:sz w:val="32"/>
      <w:szCs w:val="24"/>
      <w:lang w:eastAsia="zh-CN" w:bidi="hi-IN"/>
    </w:rPr>
  </w:style>
  <w:style w:type="paragraph" w:customStyle="1" w:styleId="TtulodeTDC1">
    <w:name w:val="Título de TDC1"/>
    <w:basedOn w:val="Heading1"/>
    <w:next w:val="Normal"/>
    <w:uiPriority w:val="39"/>
    <w:semiHidden/>
    <w:unhideWhenUsed/>
    <w:qFormat/>
    <w:rsid w:val="005D6F5E"/>
    <w:pPr>
      <w:keepLines/>
      <w:suppressAutoHyphens w:val="0"/>
      <w:spacing w:before="480" w:after="0" w:line="276" w:lineRule="auto"/>
      <w:outlineLvl w:val="9"/>
    </w:pPr>
    <w:rPr>
      <w:rFonts w:cs="Times New Roman"/>
      <w:color w:val="365F91"/>
      <w:kern w:val="0"/>
      <w:sz w:val="28"/>
      <w:szCs w:val="28"/>
      <w:lang w:eastAsia="es-ES" w:bidi="ar-SA"/>
    </w:rPr>
  </w:style>
  <w:style w:type="paragraph" w:styleId="TOC1">
    <w:name w:val="toc 1"/>
    <w:basedOn w:val="Normal"/>
    <w:next w:val="Normal"/>
    <w:autoRedefine/>
    <w:uiPriority w:val="39"/>
    <w:unhideWhenUsed/>
    <w:rsid w:val="00596399"/>
    <w:pPr>
      <w:tabs>
        <w:tab w:val="right" w:leader="dot" w:pos="9628"/>
      </w:tabs>
    </w:pPr>
    <w:rPr>
      <w:rFonts w:cs="Mangal"/>
      <w:bCs/>
      <w:noProof/>
      <w:color w:val="000000"/>
      <w:szCs w:val="21"/>
    </w:rPr>
  </w:style>
  <w:style w:type="paragraph" w:styleId="Title">
    <w:name w:val="Title"/>
    <w:basedOn w:val="Normal"/>
    <w:next w:val="Normal"/>
    <w:link w:val="TitleChar"/>
    <w:uiPriority w:val="10"/>
    <w:rsid w:val="00491076"/>
    <w:pPr>
      <w:pBdr>
        <w:left w:val="single" w:sz="24" w:space="2" w:color="auto"/>
      </w:pBdr>
      <w:spacing w:after="60"/>
      <w:outlineLvl w:val="0"/>
    </w:pPr>
    <w:rPr>
      <w:rFonts w:eastAsia="Times New Roman" w:cs="Mangal"/>
      <w:b/>
      <w:bCs/>
      <w:color w:val="006D3C"/>
      <w:kern w:val="28"/>
      <w:sz w:val="32"/>
      <w:szCs w:val="29"/>
    </w:rPr>
  </w:style>
  <w:style w:type="character" w:customStyle="1" w:styleId="TitleChar">
    <w:name w:val="Title Char"/>
    <w:link w:val="Title"/>
    <w:uiPriority w:val="10"/>
    <w:rsid w:val="00491076"/>
    <w:rPr>
      <w:rFonts w:ascii="Arial" w:hAnsi="Arial" w:cs="Mangal"/>
      <w:b/>
      <w:bCs/>
      <w:color w:val="006D3C"/>
      <w:kern w:val="28"/>
      <w:sz w:val="32"/>
      <w:szCs w:val="29"/>
      <w:lang w:eastAsia="zh-CN" w:bidi="hi-IN"/>
    </w:rPr>
  </w:style>
  <w:style w:type="paragraph" w:styleId="Subtitle">
    <w:name w:val="Subtitle"/>
    <w:basedOn w:val="Normal"/>
    <w:next w:val="Normal"/>
    <w:link w:val="SubtitleChar"/>
    <w:uiPriority w:val="11"/>
    <w:rsid w:val="005D6F5E"/>
    <w:pPr>
      <w:spacing w:after="60"/>
      <w:outlineLvl w:val="1"/>
    </w:pPr>
    <w:rPr>
      <w:rFonts w:eastAsia="Times New Roman" w:cs="Mangal"/>
      <w:b/>
      <w:color w:val="006D3C"/>
      <w:kern w:val="24"/>
      <w:szCs w:val="21"/>
    </w:rPr>
  </w:style>
  <w:style w:type="character" w:customStyle="1" w:styleId="SubtitleChar">
    <w:name w:val="Subtitle Char"/>
    <w:link w:val="Subtitle"/>
    <w:uiPriority w:val="11"/>
    <w:rsid w:val="005D6F5E"/>
    <w:rPr>
      <w:rFonts w:ascii="Verdana" w:eastAsia="Times New Roman" w:hAnsi="Verdana" w:cs="Mangal"/>
      <w:b/>
      <w:color w:val="006D3C"/>
      <w:kern w:val="24"/>
      <w:sz w:val="28"/>
      <w:szCs w:val="21"/>
      <w:lang w:eastAsia="zh-CN" w:bidi="hi-IN"/>
    </w:rPr>
  </w:style>
  <w:style w:type="paragraph" w:styleId="TOC2">
    <w:name w:val="toc 2"/>
    <w:basedOn w:val="Normal"/>
    <w:next w:val="Normal"/>
    <w:autoRedefine/>
    <w:uiPriority w:val="39"/>
    <w:unhideWhenUsed/>
    <w:rsid w:val="005D6F5E"/>
    <w:pPr>
      <w:ind w:left="240"/>
    </w:pPr>
    <w:rPr>
      <w:rFonts w:cs="Mangal"/>
      <w:szCs w:val="21"/>
    </w:rPr>
  </w:style>
  <w:style w:type="character" w:styleId="FollowedHyperlink">
    <w:name w:val="FollowedHyperlink"/>
    <w:uiPriority w:val="99"/>
    <w:semiHidden/>
    <w:unhideWhenUsed/>
    <w:rsid w:val="00555945"/>
    <w:rPr>
      <w:rFonts w:ascii="Verdana" w:hAnsi="Verdana"/>
      <w:color w:val="5EB345"/>
      <w:u w:val="single"/>
    </w:rPr>
  </w:style>
  <w:style w:type="character" w:customStyle="1" w:styleId="Heading2Char">
    <w:name w:val="Heading 2 Char"/>
    <w:link w:val="Heading2"/>
    <w:uiPriority w:val="9"/>
    <w:rsid w:val="00E8256B"/>
    <w:rPr>
      <w:rFonts w:ascii="Verdana" w:hAnsi="Verdana" w:cs="Mangal"/>
      <w:iCs/>
      <w:color w:val="355762"/>
      <w:kern w:val="1"/>
      <w:sz w:val="34"/>
      <w:szCs w:val="34"/>
      <w:shd w:val="clear" w:color="auto" w:fill="FFFFFF"/>
      <w:lang w:eastAsia="zh-CN" w:bidi="hi-IN"/>
    </w:rPr>
  </w:style>
  <w:style w:type="character" w:styleId="Strong">
    <w:name w:val="Strong"/>
    <w:uiPriority w:val="22"/>
    <w:rsid w:val="00450FB2"/>
    <w:rPr>
      <w:b/>
      <w:bCs/>
    </w:rPr>
  </w:style>
  <w:style w:type="character" w:customStyle="1" w:styleId="Heading3Char">
    <w:name w:val="Heading 3 Char"/>
    <w:link w:val="Heading3"/>
    <w:uiPriority w:val="9"/>
    <w:rsid w:val="00E8256B"/>
    <w:rPr>
      <w:rFonts w:ascii="Verdana" w:hAnsi="Verdana" w:cs="Mangal"/>
      <w:b/>
      <w:bCs/>
      <w:color w:val="008A25"/>
      <w:kern w:val="1"/>
      <w:sz w:val="30"/>
      <w:szCs w:val="30"/>
      <w:shd w:val="clear" w:color="auto" w:fill="FFFFFF" w:themeFill="background1"/>
      <w:lang w:eastAsia="zh-CN" w:bidi="hi-IN"/>
    </w:rPr>
  </w:style>
  <w:style w:type="paragraph" w:styleId="TOC3">
    <w:name w:val="toc 3"/>
    <w:basedOn w:val="Normal"/>
    <w:next w:val="Normal"/>
    <w:autoRedefine/>
    <w:uiPriority w:val="39"/>
    <w:unhideWhenUsed/>
    <w:rsid w:val="00257DC5"/>
    <w:pPr>
      <w:ind w:left="560"/>
    </w:pPr>
    <w:rPr>
      <w:rFonts w:cs="Mangal"/>
    </w:rPr>
  </w:style>
  <w:style w:type="paragraph" w:styleId="Quote">
    <w:name w:val="Quote"/>
    <w:basedOn w:val="Normal"/>
    <w:next w:val="Normal"/>
    <w:link w:val="QuoteChar"/>
    <w:uiPriority w:val="29"/>
    <w:rsid w:val="00450FB2"/>
    <w:pPr>
      <w:spacing w:before="200" w:after="160"/>
      <w:ind w:left="864" w:right="864"/>
      <w:jc w:val="center"/>
    </w:pPr>
    <w:rPr>
      <w:rFonts w:cs="Mangal"/>
      <w:i/>
      <w:iCs/>
      <w:color w:val="404040"/>
    </w:rPr>
  </w:style>
  <w:style w:type="character" w:customStyle="1" w:styleId="QuoteChar">
    <w:name w:val="Quote Char"/>
    <w:link w:val="Quote"/>
    <w:uiPriority w:val="29"/>
    <w:rsid w:val="00450FB2"/>
    <w:rPr>
      <w:rFonts w:ascii="Arial" w:eastAsia="Noto Sans CJK SC Regular" w:hAnsi="Arial" w:cs="Mangal"/>
      <w:i/>
      <w:iCs/>
      <w:color w:val="404040"/>
      <w:kern w:val="1"/>
      <w:sz w:val="28"/>
      <w:szCs w:val="24"/>
      <w:lang w:eastAsia="zh-CN" w:bidi="hi-IN"/>
    </w:rPr>
  </w:style>
  <w:style w:type="paragraph" w:customStyle="1" w:styleId="Intro">
    <w:name w:val="Intro"/>
    <w:basedOn w:val="Subtitle"/>
    <w:rsid w:val="00450FB2"/>
    <w:rPr>
      <w:b w:val="0"/>
      <w:color w:val="000000"/>
    </w:rPr>
  </w:style>
  <w:style w:type="paragraph" w:styleId="Header">
    <w:name w:val="header"/>
    <w:basedOn w:val="Normal"/>
    <w:link w:val="HeaderChar"/>
    <w:uiPriority w:val="99"/>
    <w:unhideWhenUsed/>
    <w:rsid w:val="00450FB2"/>
    <w:pPr>
      <w:tabs>
        <w:tab w:val="center" w:pos="4252"/>
        <w:tab w:val="right" w:pos="8504"/>
      </w:tabs>
    </w:pPr>
    <w:rPr>
      <w:rFonts w:cs="Mangal"/>
    </w:rPr>
  </w:style>
  <w:style w:type="character" w:customStyle="1" w:styleId="HeaderChar">
    <w:name w:val="Header Char"/>
    <w:link w:val="Header"/>
    <w:uiPriority w:val="99"/>
    <w:rsid w:val="00450FB2"/>
    <w:rPr>
      <w:rFonts w:ascii="Arial" w:eastAsia="Noto Sans CJK SC Regular" w:hAnsi="Arial" w:cs="Mangal"/>
      <w:kern w:val="1"/>
      <w:sz w:val="28"/>
      <w:szCs w:val="24"/>
      <w:lang w:eastAsia="zh-CN" w:bidi="hi-IN"/>
    </w:rPr>
  </w:style>
  <w:style w:type="paragraph" w:customStyle="1" w:styleId="Lista-2">
    <w:name w:val="Lista-2"/>
    <w:basedOn w:val="Normal"/>
    <w:qFormat/>
    <w:rsid w:val="00077023"/>
    <w:rPr>
      <w:color w:val="000000"/>
    </w:rPr>
  </w:style>
  <w:style w:type="paragraph" w:customStyle="1" w:styleId="Nota">
    <w:name w:val="Nota"/>
    <w:basedOn w:val="Normal"/>
    <w:qFormat/>
    <w:rsid w:val="00373FD5"/>
    <w:pPr>
      <w:pBdr>
        <w:top w:val="outset" w:sz="8" w:space="15" w:color="F2F2F2" w:themeColor="background1" w:themeShade="F2"/>
        <w:left w:val="outset" w:sz="8" w:space="15" w:color="F2F2F2" w:themeColor="background1" w:themeShade="F2"/>
        <w:bottom w:val="outset" w:sz="8" w:space="15" w:color="F2F2F2" w:themeColor="background1" w:themeShade="F2"/>
        <w:right w:val="outset" w:sz="8" w:space="15" w:color="F2F2F2" w:themeColor="background1" w:themeShade="F2"/>
      </w:pBdr>
      <w:shd w:val="clear" w:color="auto" w:fill="F2F2F2" w:themeFill="background1" w:themeFillShade="F2"/>
      <w:spacing w:line="240" w:lineRule="auto"/>
    </w:pPr>
    <w:rPr>
      <w:sz w:val="26"/>
      <w:lang w:val="en-US" w:bidi="ar-SA"/>
    </w:rPr>
  </w:style>
  <w:style w:type="paragraph" w:styleId="ListNumber2">
    <w:name w:val="List Number 2"/>
    <w:basedOn w:val="Normal"/>
    <w:uiPriority w:val="99"/>
    <w:unhideWhenUsed/>
    <w:rsid w:val="00077023"/>
    <w:pPr>
      <w:numPr>
        <w:numId w:val="9"/>
      </w:numPr>
      <w:contextualSpacing/>
    </w:pPr>
    <w:rPr>
      <w:rFonts w:cs="Mangal"/>
    </w:rPr>
  </w:style>
  <w:style w:type="paragraph" w:styleId="List2">
    <w:name w:val="List 2"/>
    <w:basedOn w:val="Normal"/>
    <w:uiPriority w:val="99"/>
    <w:unhideWhenUsed/>
    <w:rsid w:val="00077023"/>
    <w:pPr>
      <w:ind w:left="566" w:hanging="283"/>
      <w:contextualSpacing/>
    </w:pPr>
    <w:rPr>
      <w:rFonts w:cs="Mangal"/>
    </w:rPr>
  </w:style>
  <w:style w:type="paragraph" w:styleId="List3">
    <w:name w:val="List 3"/>
    <w:basedOn w:val="Normal"/>
    <w:uiPriority w:val="99"/>
    <w:unhideWhenUsed/>
    <w:rsid w:val="00077023"/>
    <w:pPr>
      <w:ind w:left="849" w:hanging="283"/>
      <w:contextualSpacing/>
    </w:pPr>
    <w:rPr>
      <w:rFonts w:cs="Mangal"/>
    </w:rPr>
  </w:style>
  <w:style w:type="paragraph" w:styleId="List4">
    <w:name w:val="List 4"/>
    <w:basedOn w:val="Normal"/>
    <w:uiPriority w:val="99"/>
    <w:unhideWhenUsed/>
    <w:rsid w:val="00077023"/>
    <w:pPr>
      <w:ind w:left="1132" w:hanging="283"/>
      <w:contextualSpacing/>
    </w:pPr>
    <w:rPr>
      <w:rFonts w:cs="Mangal"/>
    </w:rPr>
  </w:style>
  <w:style w:type="paragraph" w:styleId="List5">
    <w:name w:val="List 5"/>
    <w:basedOn w:val="Normal"/>
    <w:uiPriority w:val="99"/>
    <w:unhideWhenUsed/>
    <w:rsid w:val="00077023"/>
    <w:pPr>
      <w:ind w:left="1415" w:hanging="283"/>
      <w:contextualSpacing/>
    </w:pPr>
    <w:rPr>
      <w:rFonts w:cs="Mangal"/>
    </w:rPr>
  </w:style>
  <w:style w:type="paragraph" w:customStyle="1" w:styleId="Encabezado1">
    <w:name w:val="Encabezado 1"/>
    <w:basedOn w:val="Normal"/>
    <w:rsid w:val="003413A6"/>
    <w:pPr>
      <w:spacing w:line="240" w:lineRule="auto"/>
    </w:pPr>
    <w:rPr>
      <w:b/>
      <w:bCs/>
      <w:color w:val="FFFFFF"/>
      <w:szCs w:val="28"/>
    </w:rPr>
  </w:style>
  <w:style w:type="paragraph" w:customStyle="1" w:styleId="Encabeza2">
    <w:name w:val="Encabeza 2"/>
    <w:basedOn w:val="Normal"/>
    <w:rsid w:val="003413A6"/>
    <w:rPr>
      <w:rFonts w:cs="Arial"/>
      <w:color w:val="0D0D0D"/>
      <w:sz w:val="20"/>
      <w:szCs w:val="20"/>
    </w:rPr>
  </w:style>
  <w:style w:type="paragraph" w:customStyle="1" w:styleId="Piedepgina2">
    <w:name w:val="Pie de página 2"/>
    <w:basedOn w:val="Epgrafe1"/>
    <w:rsid w:val="00B27A37"/>
    <w:rPr>
      <w:sz w:val="20"/>
    </w:rPr>
  </w:style>
  <w:style w:type="paragraph" w:styleId="BalloonText">
    <w:name w:val="Balloon Text"/>
    <w:basedOn w:val="Normal"/>
    <w:link w:val="BalloonTextChar"/>
    <w:uiPriority w:val="99"/>
    <w:semiHidden/>
    <w:unhideWhenUsed/>
    <w:rsid w:val="007B4B54"/>
    <w:pPr>
      <w:spacing w:line="240" w:lineRule="auto"/>
    </w:pPr>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7B4B54"/>
    <w:rPr>
      <w:rFonts w:eastAsia="Noto Sans CJK SC Regular" w:cs="Mangal"/>
      <w:kern w:val="1"/>
      <w:sz w:val="18"/>
      <w:szCs w:val="16"/>
      <w:lang w:eastAsia="zh-CN" w:bidi="hi-IN"/>
    </w:rPr>
  </w:style>
  <w:style w:type="paragraph" w:customStyle="1" w:styleId="Glosa">
    <w:name w:val="Glosa"/>
    <w:basedOn w:val="Normal"/>
    <w:qFormat/>
    <w:rsid w:val="00E8256B"/>
    <w:pPr>
      <w:spacing w:before="120" w:line="240" w:lineRule="auto"/>
    </w:pPr>
    <w:rPr>
      <w:sz w:val="26"/>
      <w:lang w:val="en-US"/>
    </w:rPr>
  </w:style>
  <w:style w:type="paragraph" w:customStyle="1" w:styleId="GlosaTtulo">
    <w:name w:val="Glosa Título"/>
    <w:basedOn w:val="Glosa"/>
    <w:qFormat/>
    <w:rsid w:val="00E8256B"/>
    <w:pPr>
      <w:pBdr>
        <w:top w:val="single" w:sz="24" w:space="1" w:color="FF8B02"/>
        <w:left w:val="single" w:sz="24" w:space="4" w:color="FF8B02"/>
        <w:bottom w:val="single" w:sz="24" w:space="1" w:color="FF8B02"/>
        <w:right w:val="single" w:sz="24" w:space="4" w:color="FF8B02"/>
        <w:between w:val="single" w:sz="24" w:space="1" w:color="FF8B02"/>
        <w:bar w:val="single" w:sz="24" w:color="FF8B02"/>
      </w:pBdr>
      <w:shd w:val="clear" w:color="auto" w:fill="FF8B02"/>
      <w:spacing w:before="0"/>
    </w:pPr>
    <w:rPr>
      <w:b/>
      <w:color w:val="FFFFFF" w:themeColor="background1"/>
      <w:kern w:val="26"/>
    </w:rPr>
  </w:style>
  <w:style w:type="character" w:customStyle="1" w:styleId="NoSpacingChar">
    <w:name w:val="No Spacing Char"/>
    <w:basedOn w:val="DefaultParagraphFont"/>
    <w:link w:val="NoSpacing"/>
    <w:uiPriority w:val="1"/>
    <w:rsid w:val="00E70AF5"/>
    <w:rPr>
      <w:rFonts w:ascii="Arial" w:eastAsia="Noto Sans CJK SC Regular" w:hAnsi="Arial" w:cs="Mangal"/>
      <w:kern w:val="1"/>
      <w:sz w:val="28"/>
      <w:szCs w:val="24"/>
      <w:lang w:eastAsia="zh-CN" w:bidi="hi-IN"/>
    </w:rPr>
  </w:style>
  <w:style w:type="paragraph" w:customStyle="1" w:styleId="Lista-1">
    <w:name w:val="Lista-1"/>
    <w:basedOn w:val="List"/>
    <w:link w:val="Lista-1Car"/>
    <w:qFormat/>
    <w:rsid w:val="00AD0DF6"/>
    <w:pPr>
      <w:numPr>
        <w:numId w:val="17"/>
      </w:numPr>
    </w:pPr>
  </w:style>
  <w:style w:type="character" w:customStyle="1" w:styleId="ListChar">
    <w:name w:val="List Char"/>
    <w:basedOn w:val="DefaultParagraphFont"/>
    <w:link w:val="List"/>
    <w:rsid w:val="00656A1C"/>
    <w:rPr>
      <w:rFonts w:ascii="Verdana" w:eastAsia="Noto Sans CJK SC Regular" w:hAnsi="Verdana" w:cs="FreeSans"/>
      <w:kern w:val="1"/>
      <w:sz w:val="28"/>
      <w:szCs w:val="24"/>
      <w:lang w:eastAsia="zh-CN" w:bidi="hi-IN"/>
    </w:rPr>
  </w:style>
  <w:style w:type="character" w:customStyle="1" w:styleId="Lista-1Car">
    <w:name w:val="Lista-1 Car"/>
    <w:basedOn w:val="ListChar"/>
    <w:link w:val="Lista-1"/>
    <w:rsid w:val="00AD0DF6"/>
    <w:rPr>
      <w:rFonts w:ascii="Verdana" w:eastAsia="Noto Sans CJK SC Regular" w:hAnsi="Verdana" w:cs="FreeSans"/>
      <w:kern w:val="1"/>
      <w:sz w:val="28"/>
      <w:szCs w:val="24"/>
      <w:lang w:eastAsia="zh-CN" w:bidi="hi-IN"/>
    </w:rPr>
  </w:style>
  <w:style w:type="character" w:customStyle="1" w:styleId="Mencinsinresolver1">
    <w:name w:val="Mención sin resolver1"/>
    <w:basedOn w:val="DefaultParagraphFont"/>
    <w:uiPriority w:val="99"/>
    <w:semiHidden/>
    <w:unhideWhenUsed/>
    <w:rsid w:val="003A3235"/>
    <w:rPr>
      <w:color w:val="605E5C"/>
      <w:shd w:val="clear" w:color="auto" w:fill="E1DFDD"/>
    </w:rPr>
  </w:style>
  <w:style w:type="paragraph" w:customStyle="1" w:styleId="Publicacionesttulo">
    <w:name w:val="Publicaciones título"/>
    <w:basedOn w:val="Normal"/>
    <w:qFormat/>
    <w:rsid w:val="00DB3C06"/>
    <w:pPr>
      <w:spacing w:after="120"/>
    </w:pPr>
    <w:rPr>
      <w:b/>
      <w:bCs/>
      <w:color w:val="FF8B02"/>
    </w:rPr>
  </w:style>
  <w:style w:type="paragraph" w:customStyle="1" w:styleId="paragraph">
    <w:name w:val="paragraph"/>
    <w:basedOn w:val="Normal"/>
    <w:rsid w:val="00A84D91"/>
    <w:pPr>
      <w:suppressAutoHyphens w:val="0"/>
      <w:spacing w:before="100" w:beforeAutospacing="1" w:after="100" w:afterAutospacing="1" w:line="240" w:lineRule="auto"/>
    </w:pPr>
    <w:rPr>
      <w:rFonts w:ascii="Times New Roman" w:eastAsia="Times New Roman" w:hAnsi="Times New Roman" w:cs="Times New Roman"/>
      <w:kern w:val="0"/>
      <w:lang w:eastAsia="es-ES_tradnl" w:bidi="ar-SA"/>
    </w:rPr>
  </w:style>
  <w:style w:type="character" w:customStyle="1" w:styleId="normaltextrun">
    <w:name w:val="normaltextrun"/>
    <w:basedOn w:val="DefaultParagraphFont"/>
    <w:rsid w:val="00A84D91"/>
  </w:style>
  <w:style w:type="character" w:customStyle="1" w:styleId="eop">
    <w:name w:val="eop"/>
    <w:basedOn w:val="DefaultParagraphFont"/>
    <w:rsid w:val="00A84D91"/>
  </w:style>
  <w:style w:type="paragraph" w:styleId="ListParagraph">
    <w:name w:val="List Paragraph"/>
    <w:basedOn w:val="Normal"/>
    <w:uiPriority w:val="34"/>
    <w:qFormat/>
    <w:rsid w:val="000A14C3"/>
    <w:pPr>
      <w:ind w:left="720"/>
      <w:contextualSpacing/>
    </w:pPr>
    <w:rPr>
      <w:rFonts w:cs="Mangal"/>
    </w:rPr>
  </w:style>
  <w:style w:type="paragraph" w:styleId="NormalWeb">
    <w:name w:val="Normal (Web)"/>
    <w:basedOn w:val="Normal"/>
    <w:uiPriority w:val="99"/>
    <w:semiHidden/>
    <w:unhideWhenUsed/>
    <w:rsid w:val="00D1144F"/>
    <w:pPr>
      <w:suppressAutoHyphens w:val="0"/>
      <w:spacing w:before="100" w:beforeAutospacing="1" w:after="100" w:afterAutospacing="1" w:line="240" w:lineRule="auto"/>
      <w:jc w:val="left"/>
    </w:pPr>
    <w:rPr>
      <w:rFonts w:ascii="Times New Roman" w:eastAsia="Times New Roman" w:hAnsi="Times New Roman" w:cs="Times New Roman"/>
      <w:kern w:val="0"/>
      <w:lang w:eastAsia="es-ES_tradnl" w:bidi="ar-SA"/>
    </w:rPr>
  </w:style>
  <w:style w:type="paragraph" w:styleId="FootnoteText">
    <w:name w:val="footnote text"/>
    <w:basedOn w:val="Normal"/>
    <w:link w:val="FootnoteTextChar"/>
    <w:uiPriority w:val="99"/>
    <w:semiHidden/>
    <w:unhideWhenUsed/>
    <w:rsid w:val="00806D1A"/>
    <w:pPr>
      <w:spacing w:before="0"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806D1A"/>
    <w:rPr>
      <w:rFonts w:ascii="Verdana" w:eastAsia="Noto Sans CJK SC Regular" w:hAnsi="Verdana" w:cs="Mangal"/>
      <w:kern w:val="1"/>
      <w:szCs w:val="18"/>
      <w:lang w:eastAsia="zh-CN" w:bidi="hi-I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qFormat/>
    <w:rsid w:val="00806D1A"/>
    <w:rPr>
      <w:vertAlign w:val="superscript"/>
    </w:rPr>
  </w:style>
  <w:style w:type="character" w:customStyle="1" w:styleId="UnresolvedMention">
    <w:name w:val="Unresolved Mention"/>
    <w:basedOn w:val="DefaultParagraphFont"/>
    <w:uiPriority w:val="99"/>
    <w:semiHidden/>
    <w:unhideWhenUsed/>
    <w:rsid w:val="00851B08"/>
    <w:rPr>
      <w:color w:val="605E5C"/>
      <w:shd w:val="clear" w:color="auto" w:fill="E1DFDD"/>
    </w:rPr>
  </w:style>
  <w:style w:type="character" w:customStyle="1" w:styleId="FooterChar">
    <w:name w:val="Footer Char"/>
    <w:basedOn w:val="DefaultParagraphFont"/>
    <w:link w:val="Footer"/>
    <w:uiPriority w:val="99"/>
    <w:rsid w:val="00F45EDE"/>
    <w:rPr>
      <w:rFonts w:ascii="Verdana" w:eastAsia="Noto Sans CJK SC Regular" w:hAnsi="Verdana" w:cs="FreeSans"/>
      <w:b/>
      <w:kern w:val="1"/>
      <w:sz w:val="24"/>
      <w:szCs w:val="24"/>
      <w:lang w:eastAsia="zh-CN" w:bidi="hi-IN"/>
    </w:rPr>
  </w:style>
  <w:style w:type="character" w:customStyle="1" w:styleId="A5">
    <w:name w:val="A5"/>
    <w:uiPriority w:val="99"/>
    <w:rsid w:val="00E46F76"/>
    <w:rPr>
      <w:rFonts w:cs="New Aster LT Std"/>
      <w:color w:val="000000"/>
      <w:sz w:val="20"/>
      <w:szCs w:val="20"/>
    </w:rPr>
  </w:style>
  <w:style w:type="character" w:customStyle="1" w:styleId="A9">
    <w:name w:val="A9"/>
    <w:uiPriority w:val="99"/>
    <w:rsid w:val="00E46F76"/>
    <w:rPr>
      <w:rFonts w:cs="New Aster LT Std"/>
      <w:color w:val="000000"/>
      <w:sz w:val="12"/>
      <w:szCs w:val="12"/>
    </w:rPr>
  </w:style>
  <w:style w:type="character" w:customStyle="1" w:styleId="xmarkd94heigww">
    <w:name w:val="x_markd94heigww"/>
    <w:basedOn w:val="DefaultParagraphFont"/>
    <w:rsid w:val="00E46F76"/>
  </w:style>
  <w:style w:type="character" w:styleId="CommentReference">
    <w:name w:val="annotation reference"/>
    <w:basedOn w:val="DefaultParagraphFont"/>
    <w:uiPriority w:val="99"/>
    <w:semiHidden/>
    <w:unhideWhenUsed/>
    <w:rsid w:val="009422FA"/>
    <w:rPr>
      <w:sz w:val="16"/>
      <w:szCs w:val="16"/>
    </w:rPr>
  </w:style>
  <w:style w:type="paragraph" w:styleId="CommentText">
    <w:name w:val="annotation text"/>
    <w:basedOn w:val="Normal"/>
    <w:link w:val="CommentTextChar"/>
    <w:uiPriority w:val="99"/>
    <w:semiHidden/>
    <w:unhideWhenUsed/>
    <w:rsid w:val="009422FA"/>
    <w:pPr>
      <w:suppressAutoHyphens w:val="0"/>
      <w:spacing w:before="0" w:after="160" w:line="240" w:lineRule="auto"/>
      <w:jc w:val="left"/>
    </w:pPr>
    <w:rPr>
      <w:rFonts w:asciiTheme="minorHAnsi" w:eastAsiaTheme="minorHAnsi" w:hAnsiTheme="minorHAnsi" w:cstheme="minorBidi"/>
      <w:kern w:val="0"/>
      <w:sz w:val="20"/>
      <w:szCs w:val="20"/>
      <w:lang w:val="en-GB" w:eastAsia="en-US" w:bidi="ar-SA"/>
    </w:rPr>
  </w:style>
  <w:style w:type="character" w:customStyle="1" w:styleId="CommentTextChar">
    <w:name w:val="Comment Text Char"/>
    <w:basedOn w:val="DefaultParagraphFont"/>
    <w:link w:val="CommentText"/>
    <w:uiPriority w:val="99"/>
    <w:semiHidden/>
    <w:rsid w:val="009422FA"/>
    <w:rPr>
      <w:rFonts w:asciiTheme="minorHAnsi" w:eastAsiaTheme="minorHAnsi" w:hAnsiTheme="minorHAnsi" w:cstheme="minorBidi"/>
      <w:lang w:val="en-GB" w:eastAsia="en-US"/>
    </w:rPr>
  </w:style>
  <w:style w:type="paragraph" w:styleId="ListBullet">
    <w:name w:val="List Bullet"/>
    <w:basedOn w:val="Normal"/>
    <w:uiPriority w:val="99"/>
    <w:unhideWhenUsed/>
    <w:rsid w:val="009422FA"/>
    <w:pPr>
      <w:tabs>
        <w:tab w:val="num" w:pos="360"/>
      </w:tabs>
      <w:suppressAutoHyphens w:val="0"/>
      <w:spacing w:before="0" w:after="160" w:line="259" w:lineRule="auto"/>
      <w:ind w:left="360" w:hanging="360"/>
      <w:contextualSpacing/>
      <w:jc w:val="left"/>
    </w:pPr>
    <w:rPr>
      <w:rFonts w:asciiTheme="minorHAnsi" w:eastAsiaTheme="minorHAnsi" w:hAnsiTheme="minorHAnsi" w:cstheme="minorBidi"/>
      <w:kern w:val="0"/>
      <w:sz w:val="22"/>
      <w:szCs w:val="22"/>
      <w:lang w:val="en-GB" w:eastAsia="en-US" w:bidi="ar-SA"/>
    </w:rPr>
  </w:style>
  <w:style w:type="table" w:customStyle="1" w:styleId="Tabladecuadrcula5oscura-nfasis61">
    <w:name w:val="Tabla de cuadrícula 5 oscura - Énfasis 61"/>
    <w:basedOn w:val="TableNormal"/>
    <w:next w:val="GridTable5Dark-Accent6"/>
    <w:uiPriority w:val="50"/>
    <w:rsid w:val="00156A77"/>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156A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5oscura-nfasis62">
    <w:name w:val="Tabla de cuadrícula 5 oscura - Énfasis 62"/>
    <w:basedOn w:val="TableNormal"/>
    <w:next w:val="GridTable5Dark-Accent6"/>
    <w:uiPriority w:val="50"/>
    <w:rsid w:val="00E82A0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5oscura-nfasis63">
    <w:name w:val="Tabla de cuadrícula 5 oscura - Énfasis 63"/>
    <w:basedOn w:val="TableNormal"/>
    <w:next w:val="GridTable5Dark-Accent6"/>
    <w:uiPriority w:val="50"/>
    <w:rsid w:val="00E0773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8584">
      <w:bodyDiv w:val="1"/>
      <w:marLeft w:val="0"/>
      <w:marRight w:val="0"/>
      <w:marTop w:val="0"/>
      <w:marBottom w:val="0"/>
      <w:divBdr>
        <w:top w:val="none" w:sz="0" w:space="0" w:color="auto"/>
        <w:left w:val="none" w:sz="0" w:space="0" w:color="auto"/>
        <w:bottom w:val="none" w:sz="0" w:space="0" w:color="auto"/>
        <w:right w:val="none" w:sz="0" w:space="0" w:color="auto"/>
      </w:divBdr>
    </w:div>
    <w:div w:id="281808725">
      <w:bodyDiv w:val="1"/>
      <w:marLeft w:val="0"/>
      <w:marRight w:val="0"/>
      <w:marTop w:val="0"/>
      <w:marBottom w:val="0"/>
      <w:divBdr>
        <w:top w:val="none" w:sz="0" w:space="0" w:color="auto"/>
        <w:left w:val="none" w:sz="0" w:space="0" w:color="auto"/>
        <w:bottom w:val="none" w:sz="0" w:space="0" w:color="auto"/>
        <w:right w:val="none" w:sz="0" w:space="0" w:color="auto"/>
      </w:divBdr>
    </w:div>
    <w:div w:id="528032390">
      <w:bodyDiv w:val="1"/>
      <w:marLeft w:val="0"/>
      <w:marRight w:val="0"/>
      <w:marTop w:val="0"/>
      <w:marBottom w:val="0"/>
      <w:divBdr>
        <w:top w:val="none" w:sz="0" w:space="0" w:color="auto"/>
        <w:left w:val="none" w:sz="0" w:space="0" w:color="auto"/>
        <w:bottom w:val="none" w:sz="0" w:space="0" w:color="auto"/>
        <w:right w:val="none" w:sz="0" w:space="0" w:color="auto"/>
      </w:divBdr>
    </w:div>
    <w:div w:id="552229186">
      <w:bodyDiv w:val="1"/>
      <w:marLeft w:val="0"/>
      <w:marRight w:val="0"/>
      <w:marTop w:val="0"/>
      <w:marBottom w:val="0"/>
      <w:divBdr>
        <w:top w:val="none" w:sz="0" w:space="0" w:color="auto"/>
        <w:left w:val="none" w:sz="0" w:space="0" w:color="auto"/>
        <w:bottom w:val="none" w:sz="0" w:space="0" w:color="auto"/>
        <w:right w:val="none" w:sz="0" w:space="0" w:color="auto"/>
      </w:divBdr>
    </w:div>
    <w:div w:id="568468900">
      <w:bodyDiv w:val="1"/>
      <w:marLeft w:val="0"/>
      <w:marRight w:val="0"/>
      <w:marTop w:val="0"/>
      <w:marBottom w:val="0"/>
      <w:divBdr>
        <w:top w:val="none" w:sz="0" w:space="0" w:color="auto"/>
        <w:left w:val="none" w:sz="0" w:space="0" w:color="auto"/>
        <w:bottom w:val="none" w:sz="0" w:space="0" w:color="auto"/>
        <w:right w:val="none" w:sz="0" w:space="0" w:color="auto"/>
      </w:divBdr>
    </w:div>
    <w:div w:id="726562901">
      <w:bodyDiv w:val="1"/>
      <w:marLeft w:val="0"/>
      <w:marRight w:val="0"/>
      <w:marTop w:val="0"/>
      <w:marBottom w:val="0"/>
      <w:divBdr>
        <w:top w:val="none" w:sz="0" w:space="0" w:color="auto"/>
        <w:left w:val="none" w:sz="0" w:space="0" w:color="auto"/>
        <w:bottom w:val="none" w:sz="0" w:space="0" w:color="auto"/>
        <w:right w:val="none" w:sz="0" w:space="0" w:color="auto"/>
      </w:divBdr>
    </w:div>
    <w:div w:id="729886939">
      <w:bodyDiv w:val="1"/>
      <w:marLeft w:val="0"/>
      <w:marRight w:val="0"/>
      <w:marTop w:val="0"/>
      <w:marBottom w:val="0"/>
      <w:divBdr>
        <w:top w:val="none" w:sz="0" w:space="0" w:color="auto"/>
        <w:left w:val="none" w:sz="0" w:space="0" w:color="auto"/>
        <w:bottom w:val="none" w:sz="0" w:space="0" w:color="auto"/>
        <w:right w:val="none" w:sz="0" w:space="0" w:color="auto"/>
      </w:divBdr>
    </w:div>
    <w:div w:id="754866665">
      <w:bodyDiv w:val="1"/>
      <w:marLeft w:val="0"/>
      <w:marRight w:val="0"/>
      <w:marTop w:val="0"/>
      <w:marBottom w:val="0"/>
      <w:divBdr>
        <w:top w:val="none" w:sz="0" w:space="0" w:color="auto"/>
        <w:left w:val="none" w:sz="0" w:space="0" w:color="auto"/>
        <w:bottom w:val="none" w:sz="0" w:space="0" w:color="auto"/>
        <w:right w:val="none" w:sz="0" w:space="0" w:color="auto"/>
      </w:divBdr>
    </w:div>
    <w:div w:id="834033660">
      <w:bodyDiv w:val="1"/>
      <w:marLeft w:val="0"/>
      <w:marRight w:val="0"/>
      <w:marTop w:val="0"/>
      <w:marBottom w:val="0"/>
      <w:divBdr>
        <w:top w:val="none" w:sz="0" w:space="0" w:color="auto"/>
        <w:left w:val="none" w:sz="0" w:space="0" w:color="auto"/>
        <w:bottom w:val="none" w:sz="0" w:space="0" w:color="auto"/>
        <w:right w:val="none" w:sz="0" w:space="0" w:color="auto"/>
      </w:divBdr>
    </w:div>
    <w:div w:id="849219559">
      <w:bodyDiv w:val="1"/>
      <w:marLeft w:val="0"/>
      <w:marRight w:val="0"/>
      <w:marTop w:val="0"/>
      <w:marBottom w:val="0"/>
      <w:divBdr>
        <w:top w:val="none" w:sz="0" w:space="0" w:color="auto"/>
        <w:left w:val="none" w:sz="0" w:space="0" w:color="auto"/>
        <w:bottom w:val="none" w:sz="0" w:space="0" w:color="auto"/>
        <w:right w:val="none" w:sz="0" w:space="0" w:color="auto"/>
      </w:divBdr>
    </w:div>
    <w:div w:id="904028022">
      <w:bodyDiv w:val="1"/>
      <w:marLeft w:val="0"/>
      <w:marRight w:val="0"/>
      <w:marTop w:val="0"/>
      <w:marBottom w:val="0"/>
      <w:divBdr>
        <w:top w:val="none" w:sz="0" w:space="0" w:color="auto"/>
        <w:left w:val="none" w:sz="0" w:space="0" w:color="auto"/>
        <w:bottom w:val="none" w:sz="0" w:space="0" w:color="auto"/>
        <w:right w:val="none" w:sz="0" w:space="0" w:color="auto"/>
      </w:divBdr>
    </w:div>
    <w:div w:id="948581538">
      <w:bodyDiv w:val="1"/>
      <w:marLeft w:val="0"/>
      <w:marRight w:val="0"/>
      <w:marTop w:val="0"/>
      <w:marBottom w:val="0"/>
      <w:divBdr>
        <w:top w:val="none" w:sz="0" w:space="0" w:color="auto"/>
        <w:left w:val="none" w:sz="0" w:space="0" w:color="auto"/>
        <w:bottom w:val="none" w:sz="0" w:space="0" w:color="auto"/>
        <w:right w:val="none" w:sz="0" w:space="0" w:color="auto"/>
      </w:divBdr>
    </w:div>
    <w:div w:id="961613731">
      <w:bodyDiv w:val="1"/>
      <w:marLeft w:val="0"/>
      <w:marRight w:val="0"/>
      <w:marTop w:val="0"/>
      <w:marBottom w:val="0"/>
      <w:divBdr>
        <w:top w:val="none" w:sz="0" w:space="0" w:color="auto"/>
        <w:left w:val="none" w:sz="0" w:space="0" w:color="auto"/>
        <w:bottom w:val="none" w:sz="0" w:space="0" w:color="auto"/>
        <w:right w:val="none" w:sz="0" w:space="0" w:color="auto"/>
      </w:divBdr>
    </w:div>
    <w:div w:id="1145395371">
      <w:bodyDiv w:val="1"/>
      <w:marLeft w:val="0"/>
      <w:marRight w:val="0"/>
      <w:marTop w:val="0"/>
      <w:marBottom w:val="0"/>
      <w:divBdr>
        <w:top w:val="none" w:sz="0" w:space="0" w:color="auto"/>
        <w:left w:val="none" w:sz="0" w:space="0" w:color="auto"/>
        <w:bottom w:val="none" w:sz="0" w:space="0" w:color="auto"/>
        <w:right w:val="none" w:sz="0" w:space="0" w:color="auto"/>
      </w:divBdr>
    </w:div>
    <w:div w:id="1149639804">
      <w:bodyDiv w:val="1"/>
      <w:marLeft w:val="0"/>
      <w:marRight w:val="0"/>
      <w:marTop w:val="0"/>
      <w:marBottom w:val="0"/>
      <w:divBdr>
        <w:top w:val="none" w:sz="0" w:space="0" w:color="auto"/>
        <w:left w:val="none" w:sz="0" w:space="0" w:color="auto"/>
        <w:bottom w:val="none" w:sz="0" w:space="0" w:color="auto"/>
        <w:right w:val="none" w:sz="0" w:space="0" w:color="auto"/>
      </w:divBdr>
    </w:div>
    <w:div w:id="1163005113">
      <w:bodyDiv w:val="1"/>
      <w:marLeft w:val="0"/>
      <w:marRight w:val="0"/>
      <w:marTop w:val="0"/>
      <w:marBottom w:val="0"/>
      <w:divBdr>
        <w:top w:val="none" w:sz="0" w:space="0" w:color="auto"/>
        <w:left w:val="none" w:sz="0" w:space="0" w:color="auto"/>
        <w:bottom w:val="none" w:sz="0" w:space="0" w:color="auto"/>
        <w:right w:val="none" w:sz="0" w:space="0" w:color="auto"/>
      </w:divBdr>
    </w:div>
    <w:div w:id="1218516586">
      <w:bodyDiv w:val="1"/>
      <w:marLeft w:val="0"/>
      <w:marRight w:val="0"/>
      <w:marTop w:val="0"/>
      <w:marBottom w:val="0"/>
      <w:divBdr>
        <w:top w:val="none" w:sz="0" w:space="0" w:color="auto"/>
        <w:left w:val="none" w:sz="0" w:space="0" w:color="auto"/>
        <w:bottom w:val="none" w:sz="0" w:space="0" w:color="auto"/>
        <w:right w:val="none" w:sz="0" w:space="0" w:color="auto"/>
      </w:divBdr>
      <w:divsChild>
        <w:div w:id="1535115865">
          <w:marLeft w:val="0"/>
          <w:marRight w:val="0"/>
          <w:marTop w:val="0"/>
          <w:marBottom w:val="0"/>
          <w:divBdr>
            <w:top w:val="none" w:sz="0" w:space="0" w:color="auto"/>
            <w:left w:val="none" w:sz="0" w:space="0" w:color="auto"/>
            <w:bottom w:val="none" w:sz="0" w:space="0" w:color="auto"/>
            <w:right w:val="none" w:sz="0" w:space="0" w:color="auto"/>
          </w:divBdr>
        </w:div>
        <w:div w:id="373849245">
          <w:marLeft w:val="0"/>
          <w:marRight w:val="0"/>
          <w:marTop w:val="0"/>
          <w:marBottom w:val="0"/>
          <w:divBdr>
            <w:top w:val="none" w:sz="0" w:space="0" w:color="auto"/>
            <w:left w:val="none" w:sz="0" w:space="0" w:color="auto"/>
            <w:bottom w:val="none" w:sz="0" w:space="0" w:color="auto"/>
            <w:right w:val="none" w:sz="0" w:space="0" w:color="auto"/>
          </w:divBdr>
        </w:div>
      </w:divsChild>
    </w:div>
    <w:div w:id="1295212080">
      <w:bodyDiv w:val="1"/>
      <w:marLeft w:val="0"/>
      <w:marRight w:val="0"/>
      <w:marTop w:val="0"/>
      <w:marBottom w:val="0"/>
      <w:divBdr>
        <w:top w:val="none" w:sz="0" w:space="0" w:color="auto"/>
        <w:left w:val="none" w:sz="0" w:space="0" w:color="auto"/>
        <w:bottom w:val="none" w:sz="0" w:space="0" w:color="auto"/>
        <w:right w:val="none" w:sz="0" w:space="0" w:color="auto"/>
      </w:divBdr>
    </w:div>
    <w:div w:id="1329796010">
      <w:bodyDiv w:val="1"/>
      <w:marLeft w:val="0"/>
      <w:marRight w:val="0"/>
      <w:marTop w:val="0"/>
      <w:marBottom w:val="0"/>
      <w:divBdr>
        <w:top w:val="none" w:sz="0" w:space="0" w:color="auto"/>
        <w:left w:val="none" w:sz="0" w:space="0" w:color="auto"/>
        <w:bottom w:val="none" w:sz="0" w:space="0" w:color="auto"/>
        <w:right w:val="none" w:sz="0" w:space="0" w:color="auto"/>
      </w:divBdr>
    </w:div>
    <w:div w:id="1330671268">
      <w:bodyDiv w:val="1"/>
      <w:marLeft w:val="0"/>
      <w:marRight w:val="0"/>
      <w:marTop w:val="0"/>
      <w:marBottom w:val="0"/>
      <w:divBdr>
        <w:top w:val="none" w:sz="0" w:space="0" w:color="auto"/>
        <w:left w:val="none" w:sz="0" w:space="0" w:color="auto"/>
        <w:bottom w:val="none" w:sz="0" w:space="0" w:color="auto"/>
        <w:right w:val="none" w:sz="0" w:space="0" w:color="auto"/>
      </w:divBdr>
    </w:div>
    <w:div w:id="1365322909">
      <w:bodyDiv w:val="1"/>
      <w:marLeft w:val="0"/>
      <w:marRight w:val="0"/>
      <w:marTop w:val="0"/>
      <w:marBottom w:val="0"/>
      <w:divBdr>
        <w:top w:val="none" w:sz="0" w:space="0" w:color="auto"/>
        <w:left w:val="none" w:sz="0" w:space="0" w:color="auto"/>
        <w:bottom w:val="none" w:sz="0" w:space="0" w:color="auto"/>
        <w:right w:val="none" w:sz="0" w:space="0" w:color="auto"/>
      </w:divBdr>
    </w:div>
    <w:div w:id="1522624860">
      <w:bodyDiv w:val="1"/>
      <w:marLeft w:val="0"/>
      <w:marRight w:val="0"/>
      <w:marTop w:val="0"/>
      <w:marBottom w:val="0"/>
      <w:divBdr>
        <w:top w:val="none" w:sz="0" w:space="0" w:color="auto"/>
        <w:left w:val="none" w:sz="0" w:space="0" w:color="auto"/>
        <w:bottom w:val="none" w:sz="0" w:space="0" w:color="auto"/>
        <w:right w:val="none" w:sz="0" w:space="0" w:color="auto"/>
      </w:divBdr>
    </w:div>
    <w:div w:id="1605766990">
      <w:bodyDiv w:val="1"/>
      <w:marLeft w:val="0"/>
      <w:marRight w:val="0"/>
      <w:marTop w:val="0"/>
      <w:marBottom w:val="0"/>
      <w:divBdr>
        <w:top w:val="none" w:sz="0" w:space="0" w:color="auto"/>
        <w:left w:val="none" w:sz="0" w:space="0" w:color="auto"/>
        <w:bottom w:val="none" w:sz="0" w:space="0" w:color="auto"/>
        <w:right w:val="none" w:sz="0" w:space="0" w:color="auto"/>
      </w:divBdr>
    </w:div>
    <w:div w:id="1765876141">
      <w:bodyDiv w:val="1"/>
      <w:marLeft w:val="0"/>
      <w:marRight w:val="0"/>
      <w:marTop w:val="0"/>
      <w:marBottom w:val="0"/>
      <w:divBdr>
        <w:top w:val="none" w:sz="0" w:space="0" w:color="auto"/>
        <w:left w:val="none" w:sz="0" w:space="0" w:color="auto"/>
        <w:bottom w:val="none" w:sz="0" w:space="0" w:color="auto"/>
        <w:right w:val="none" w:sz="0" w:space="0" w:color="auto"/>
      </w:divBdr>
    </w:div>
    <w:div w:id="1778602849">
      <w:bodyDiv w:val="1"/>
      <w:marLeft w:val="0"/>
      <w:marRight w:val="0"/>
      <w:marTop w:val="0"/>
      <w:marBottom w:val="0"/>
      <w:divBdr>
        <w:top w:val="none" w:sz="0" w:space="0" w:color="auto"/>
        <w:left w:val="none" w:sz="0" w:space="0" w:color="auto"/>
        <w:bottom w:val="none" w:sz="0" w:space="0" w:color="auto"/>
        <w:right w:val="none" w:sz="0" w:space="0" w:color="auto"/>
      </w:divBdr>
    </w:div>
    <w:div w:id="1827210306">
      <w:bodyDiv w:val="1"/>
      <w:marLeft w:val="0"/>
      <w:marRight w:val="0"/>
      <w:marTop w:val="0"/>
      <w:marBottom w:val="0"/>
      <w:divBdr>
        <w:top w:val="none" w:sz="0" w:space="0" w:color="auto"/>
        <w:left w:val="none" w:sz="0" w:space="0" w:color="auto"/>
        <w:bottom w:val="none" w:sz="0" w:space="0" w:color="auto"/>
        <w:right w:val="none" w:sz="0" w:space="0" w:color="auto"/>
      </w:divBdr>
    </w:div>
    <w:div w:id="1881236820">
      <w:bodyDiv w:val="1"/>
      <w:marLeft w:val="0"/>
      <w:marRight w:val="0"/>
      <w:marTop w:val="0"/>
      <w:marBottom w:val="0"/>
      <w:divBdr>
        <w:top w:val="none" w:sz="0" w:space="0" w:color="auto"/>
        <w:left w:val="none" w:sz="0" w:space="0" w:color="auto"/>
        <w:bottom w:val="none" w:sz="0" w:space="0" w:color="auto"/>
        <w:right w:val="none" w:sz="0" w:space="0" w:color="auto"/>
      </w:divBdr>
    </w:div>
    <w:div w:id="21054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esoriajuridica@plenainclus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viamunoz@plenainclusi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lenainclusion.org" TargetMode="External"/><Relationship Id="rId1" Type="http://schemas.openxmlformats.org/officeDocument/2006/relationships/hyperlink" Target="http://www.plenainclus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tic.educacion.es/cee/informe2020/i20cee-infor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FE9860-BBC8-4EEE-9FB8-B2A1569488CB}"/>
</file>

<file path=customXml/itemProps2.xml><?xml version="1.0" encoding="utf-8"?>
<ds:datastoreItem xmlns:ds="http://schemas.openxmlformats.org/officeDocument/2006/customXml" ds:itemID="{3A445100-7DBF-41A9-B112-DF7271A8AD0C}">
  <ds:schemaRefs>
    <ds:schemaRef ds:uri="http://purl.org/dc/elements/1.1/"/>
    <ds:schemaRef ds:uri="http://schemas.microsoft.com/office/2006/metadata/properties"/>
    <ds:schemaRef ds:uri="http://schemas.microsoft.com/office/2006/documentManagement/types"/>
    <ds:schemaRef ds:uri="a4e15834-f1f1-42bb-a957-96f890872f13"/>
    <ds:schemaRef ds:uri="http://purl.org/dc/terms/"/>
    <ds:schemaRef ds:uri="http://schemas.openxmlformats.org/package/2006/metadata/core-properties"/>
    <ds:schemaRef ds:uri="http://purl.org/dc/dcmitype/"/>
    <ds:schemaRef ds:uri="http://schemas.microsoft.com/office/infopath/2007/PartnerControls"/>
    <ds:schemaRef ds:uri="2292cbd8-bc9e-4169-9903-0ab5639283cc"/>
    <ds:schemaRef ds:uri="http://www.w3.org/XML/1998/namespace"/>
  </ds:schemaRefs>
</ds:datastoreItem>
</file>

<file path=customXml/itemProps3.xml><?xml version="1.0" encoding="utf-8"?>
<ds:datastoreItem xmlns:ds="http://schemas.openxmlformats.org/officeDocument/2006/customXml" ds:itemID="{5520BA2A-5025-458D-A081-85D7F36EE4C3}">
  <ds:schemaRefs>
    <ds:schemaRef ds:uri="http://schemas.microsoft.com/sharepoint/v3/contenttype/forms"/>
  </ds:schemaRefs>
</ds:datastoreItem>
</file>

<file path=customXml/itemProps4.xml><?xml version="1.0" encoding="utf-8"?>
<ds:datastoreItem xmlns:ds="http://schemas.openxmlformats.org/officeDocument/2006/customXml" ds:itemID="{3465501D-0D99-467B-96DF-6D0F5484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2941</Words>
  <Characters>16764</Characters>
  <Application>Microsoft Office Word</Application>
  <DocSecurity>4</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19666</CharactersWithSpaces>
  <SharedDoc>false</SharedDoc>
  <HLinks>
    <vt:vector size="24" baseType="variant">
      <vt:variant>
        <vt:i4>1638448</vt:i4>
      </vt:variant>
      <vt:variant>
        <vt:i4>20</vt:i4>
      </vt:variant>
      <vt:variant>
        <vt:i4>0</vt:i4>
      </vt:variant>
      <vt:variant>
        <vt:i4>5</vt:i4>
      </vt:variant>
      <vt:variant>
        <vt:lpwstr/>
      </vt:variant>
      <vt:variant>
        <vt:lpwstr>_Toc34736029</vt:lpwstr>
      </vt:variant>
      <vt:variant>
        <vt:i4>1572912</vt:i4>
      </vt:variant>
      <vt:variant>
        <vt:i4>14</vt:i4>
      </vt:variant>
      <vt:variant>
        <vt:i4>0</vt:i4>
      </vt:variant>
      <vt:variant>
        <vt:i4>5</vt:i4>
      </vt:variant>
      <vt:variant>
        <vt:lpwstr/>
      </vt:variant>
      <vt:variant>
        <vt:lpwstr>_Toc34736028</vt:lpwstr>
      </vt:variant>
      <vt:variant>
        <vt:i4>1507376</vt:i4>
      </vt:variant>
      <vt:variant>
        <vt:i4>8</vt:i4>
      </vt:variant>
      <vt:variant>
        <vt:i4>0</vt:i4>
      </vt:variant>
      <vt:variant>
        <vt:i4>5</vt:i4>
      </vt:variant>
      <vt:variant>
        <vt:lpwstr/>
      </vt:variant>
      <vt:variant>
        <vt:lpwstr>_Toc34736027</vt:lpwstr>
      </vt:variant>
      <vt:variant>
        <vt:i4>3276834</vt:i4>
      </vt:variant>
      <vt:variant>
        <vt:i4>0</vt:i4>
      </vt:variant>
      <vt:variant>
        <vt:i4>0</vt:i4>
      </vt:variant>
      <vt:variant>
        <vt:i4>5</vt:i4>
      </vt:variant>
      <vt:variant>
        <vt:lpwstr>http://www.plenainclusion.org/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javierjesusdelcobola</dc:creator>
  <cp:lastModifiedBy>ISKAKOVA Janna</cp:lastModifiedBy>
  <cp:revision>2</cp:revision>
  <cp:lastPrinted>2021-12-06T09:58:00Z</cp:lastPrinted>
  <dcterms:created xsi:type="dcterms:W3CDTF">2021-12-07T10:37:00Z</dcterms:created>
  <dcterms:modified xsi:type="dcterms:W3CDTF">2021-12-07T10:37:00Z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