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4"/>
        <w:tblW w:w="100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7938"/>
      </w:tblGrid>
      <w:tr w:rsidR="00522B6E" w:rsidRPr="00522B6E" w:rsidTr="00A92E84">
        <w:trPr>
          <w:tblHeader/>
        </w:trPr>
        <w:tc>
          <w:tcPr>
            <w:tcW w:w="10032" w:type="dxa"/>
            <w:gridSpan w:val="2"/>
            <w:shd w:val="clear" w:color="auto" w:fill="808080" w:themeFill="background1" w:themeFillShade="80"/>
            <w:vAlign w:val="center"/>
          </w:tcPr>
          <w:p w:rsidR="00280359" w:rsidRPr="00522B6E" w:rsidRDefault="00280359" w:rsidP="002803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rFonts w:ascii="Calibri Light" w:eastAsia="Times New Roman" w:hAnsi="Calibri Light" w:cs="Calibri Light"/>
                <w:b/>
                <w:noProof/>
                <w:color w:val="FFFFFF" w:themeColor="background1"/>
                <w:sz w:val="20"/>
                <w:szCs w:val="20"/>
              </w:rPr>
            </w:pPr>
            <w:r w:rsidRPr="00522B6E">
              <w:rPr>
                <w:rFonts w:ascii="Calibri Light" w:eastAsia="Times New Roman" w:hAnsi="Calibri Light" w:cs="Calibri Light"/>
                <w:b/>
                <w:noProof/>
                <w:color w:val="FFFFFF" w:themeColor="background1"/>
                <w:sz w:val="20"/>
                <w:szCs w:val="20"/>
              </w:rPr>
              <w:t>Marco normativo internacional</w:t>
            </w:r>
          </w:p>
        </w:tc>
      </w:tr>
      <w:tr w:rsidR="00A658C4" w:rsidRPr="00CA4835" w:rsidTr="00A92E84">
        <w:trPr>
          <w:tblHeader/>
        </w:trPr>
        <w:tc>
          <w:tcPr>
            <w:tcW w:w="2094" w:type="dxa"/>
            <w:shd w:val="clear" w:color="auto" w:fill="auto"/>
            <w:vAlign w:val="center"/>
          </w:tcPr>
          <w:p w:rsidR="00A658C4" w:rsidRPr="00CA4835" w:rsidRDefault="00A658C4" w:rsidP="00A658C4">
            <w:pP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Instrumentos internacionales de la Organización de Naciones Unidas ratificados y/o adoptados por el Estado peruano en materia de derechos humanos, envejecimiento y derechos de las personas adultas mayores.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4835" w:rsidRDefault="00A658C4" w:rsidP="00CA483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Declaración Univ</w:t>
            </w:r>
            <w:r w:rsid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ersal de Derechos Humanos (1948)</w:t>
            </w:r>
          </w:p>
          <w:p w:rsidR="00A658C4" w:rsidRPr="00CA4835" w:rsidRDefault="00A658C4" w:rsidP="00CA483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OIT: Convenio N 102 sobre seguridad social (1952)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Pacto Internacional de Derechos Económicos, Sociales y Culturales (1966)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Pacto Internacional de Derechos Civiles y Políticos (1966)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Convención sobre la Eliminación de todas las Formas de Discriminación contra la Mujer (CEDAW, 1979)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Plan de Acción Internacional de Viena sobre el Envejecimiento (1982)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Principios de las Naciones Unidas a favor de las Personas de Edad (1991)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Proclamación sobre el Envejecimiento (1992)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Declaración Política y Plan de Acción Internacional de Madrid sobre el Envejecimiento (2002)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CEPAL: Estrategia Regional de implementación para América Latina y el Caribe del Plan de Acción Internacional de Madrid (2003)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Convención sobre los Derechos de las Personas con Discapacidad (2006)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CEPAL: Declaración de Brasilia: Segunda Conferencia Regional Intergubernamental sobre Envejecimiento en América Latina y el Caribe: hacia una sociedad para todas las edades y de protección social basada en derechos (2007)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CEPAL: Carta de San José sobre los derechos de las personas mayores de América Latina y el Caribe (2012)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Resolución de la Asamblea General de la ONU: Transformar nuestro mundo: Agenda 2030 para el Desarrollo Sostenible (2015)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OMS: Estrategia mundial sobre el envejecimiento y la salud 2016-2030: hacia un mundo en el que todas las personas puedan vivir una vida prolongada y sana (2016)</w:t>
            </w:r>
          </w:p>
          <w:p w:rsidR="00A658C4" w:rsidRPr="00CA4835" w:rsidRDefault="00A658C4" w:rsidP="00A658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CEPAL: Declaración de Asunción “Construyendo Sociedades Inclusivas: Envejecimiento con Dignidad y Derechos” (2017)</w:t>
            </w:r>
          </w:p>
          <w:p w:rsidR="00280359" w:rsidRPr="00280359" w:rsidRDefault="00A658C4" w:rsidP="002803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noProof/>
                <w:sz w:val="20"/>
                <w:szCs w:val="20"/>
              </w:rPr>
              <w:t>Resolución de la Asamblea General de la ONU: Decenio de las Naciones Unidas del Envejecimiento Saludable 2020-2030 (2020).</w:t>
            </w:r>
          </w:p>
        </w:tc>
      </w:tr>
      <w:tr w:rsidR="00280359" w:rsidRPr="00CA4835" w:rsidTr="00A92E84">
        <w:trPr>
          <w:tblHeader/>
        </w:trPr>
        <w:tc>
          <w:tcPr>
            <w:tcW w:w="10032" w:type="dxa"/>
            <w:gridSpan w:val="2"/>
            <w:shd w:val="clear" w:color="auto" w:fill="808080" w:themeFill="background1" w:themeFillShade="80"/>
            <w:vAlign w:val="center"/>
          </w:tcPr>
          <w:p w:rsidR="00280359" w:rsidRPr="00CA4835" w:rsidRDefault="00280359" w:rsidP="00305B32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Normas nacionales</w:t>
            </w:r>
          </w:p>
        </w:tc>
      </w:tr>
      <w:tr w:rsidR="00280359" w:rsidRPr="00CA4835" w:rsidTr="00A92E84">
        <w:trPr>
          <w:tblHeader/>
        </w:trPr>
        <w:tc>
          <w:tcPr>
            <w:tcW w:w="2094" w:type="dxa"/>
            <w:shd w:val="clear" w:color="auto" w:fill="auto"/>
            <w:vAlign w:val="center"/>
          </w:tcPr>
          <w:p w:rsidR="00280359" w:rsidRPr="00CA4835" w:rsidRDefault="00280359" w:rsidP="00A658C4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Marco normativo nacional</w:t>
            </w:r>
            <w:r w:rsidRPr="00CA48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para la promoción y protección de los derechos de las personas adultas mayores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80359" w:rsidRDefault="00280359" w:rsidP="00280359">
            <w:pPr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La Constitución Política del Perú, que en su artículo 1, establece que el fin supremo de la sociedad y del Estado es la defensa de las personas y el respeto de su dignidad. Asimismo, su artículo 4 dispone que la comunidad y el Estado protegen especialmente al niño, al adolescente, a la madre y a la persona adulta mayor especialmente en abandono.</w:t>
            </w:r>
          </w:p>
          <w:p w:rsidR="00280359" w:rsidRPr="00CA4835" w:rsidRDefault="00280359" w:rsidP="00280359">
            <w:pPr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:rsidR="00280359" w:rsidRPr="00CA4835" w:rsidRDefault="00280359" w:rsidP="00280359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Decreto Supremo N° 044-2020-RE, por el cual el Estado Peruano ratificó la Convención Interamericana sobre la Protección de los derechos humanos de las personas mayores</w:t>
            </w:r>
            <w:r w:rsidRPr="00CA4835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</w:rPr>
              <w:footnoteReference w:id="1"/>
            </w: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, la cual entró en vigencia el 31 de marzo de 2021.</w:t>
            </w:r>
          </w:p>
          <w:p w:rsidR="00280359" w:rsidRPr="00CA4835" w:rsidRDefault="00280359" w:rsidP="00280359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Ley N°30490, Ley de la Persona Adulta Mayor, y su reglamento aprobado mediante Decreto Supremo N° 024-2021-MIMP.</w:t>
            </w:r>
          </w:p>
        </w:tc>
      </w:tr>
      <w:tr w:rsidR="00CA4835" w:rsidRPr="00CA4835" w:rsidTr="00A92E84">
        <w:trPr>
          <w:tblHeader/>
        </w:trPr>
        <w:tc>
          <w:tcPr>
            <w:tcW w:w="2094" w:type="dxa"/>
            <w:shd w:val="clear" w:color="auto" w:fill="auto"/>
            <w:vAlign w:val="center"/>
          </w:tcPr>
          <w:p w:rsidR="00CA4835" w:rsidRPr="00CA4835" w:rsidRDefault="00CA4835" w:rsidP="00CA4835">
            <w:pPr>
              <w:contextualSpacing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Marco normativo nacional</w:t>
            </w:r>
            <w:r w:rsidRPr="00CA48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para la promoción y protección de los derechos de las personas adultas mayores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4835" w:rsidRDefault="00CA4835" w:rsidP="00CA4835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Ley N°28983, Ley de Igualdad de Oportunidades entre Mujeres y Hombres.</w:t>
            </w:r>
          </w:p>
          <w:p w:rsidR="00CA4835" w:rsidRPr="00CA4835" w:rsidRDefault="00CA4835" w:rsidP="00CA4835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Decreto Legislativo N°1474, Decreto Legislativo que fortalece los mecanismos y acciones de prevención, atención, y protección de las personas adultas mayor durante la emergencia sanitaria ocasionada por el Covid-19.</w:t>
            </w:r>
          </w:p>
          <w:p w:rsidR="00CA4835" w:rsidRPr="00CA4835" w:rsidRDefault="00CA4835" w:rsidP="00CA4835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Decreto Supremo N°003-2015-MC, aprueba la Política Nacional para la Transversalización del Enfoque Intercultural.</w:t>
            </w:r>
          </w:p>
          <w:p w:rsidR="00CA4835" w:rsidRPr="00CA4835" w:rsidRDefault="00CA4835" w:rsidP="00CA4835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Decreto Supremo N°008-2019-MIMP, aprueba la Política Nacional de Igualdad de Género.</w:t>
            </w:r>
          </w:p>
          <w:p w:rsidR="00CA4835" w:rsidRPr="00CA4835" w:rsidRDefault="00CA4835" w:rsidP="00CA4835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CA4835">
              <w:rPr>
                <w:rFonts w:ascii="Calibri Light" w:eastAsia="Times New Roman" w:hAnsi="Calibri Light" w:cs="Calibri Light"/>
                <w:sz w:val="20"/>
                <w:szCs w:val="20"/>
              </w:rPr>
              <w:t>Decreto Supremo N°009-2020-MC, aprueba la Política Nacional de Cultura.</w:t>
            </w:r>
          </w:p>
        </w:tc>
      </w:tr>
      <w:tr w:rsidR="00CA4835" w:rsidRPr="00CA4835" w:rsidTr="00A92E84">
        <w:trPr>
          <w:tblHeader/>
        </w:trPr>
        <w:tc>
          <w:tcPr>
            <w:tcW w:w="2094" w:type="dxa"/>
            <w:shd w:val="clear" w:color="auto" w:fill="808080" w:themeFill="background1" w:themeFillShade="80"/>
            <w:vAlign w:val="center"/>
          </w:tcPr>
          <w:p w:rsidR="00CA4835" w:rsidRPr="00CA4835" w:rsidRDefault="00CA4835" w:rsidP="00CA483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 xml:space="preserve">Objetivos </w:t>
            </w: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 xml:space="preserve"> prioritarios</w:t>
            </w:r>
            <w:r>
              <w:rPr>
                <w:rStyle w:val="Refdenotaalpie"/>
                <w:rFonts w:ascii="Calibri Light" w:hAnsi="Calibri Light" w:cs="Calibri Light"/>
                <w:b/>
                <w:color w:val="FFFFFF"/>
                <w:sz w:val="20"/>
                <w:szCs w:val="20"/>
              </w:rPr>
              <w:footnoteReference w:id="2"/>
            </w:r>
            <w:r w:rsidRPr="00CA4835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808080" w:themeFill="background1" w:themeFillShade="80"/>
            <w:vAlign w:val="center"/>
          </w:tcPr>
          <w:p w:rsidR="00CA4835" w:rsidRPr="00CA4835" w:rsidRDefault="00CA4835" w:rsidP="00CA483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Normas nacionales</w:t>
            </w:r>
          </w:p>
        </w:tc>
      </w:tr>
      <w:tr w:rsidR="00CA4835" w:rsidRPr="00CA4835" w:rsidTr="00A92E84">
        <w:tc>
          <w:tcPr>
            <w:tcW w:w="2094" w:type="dxa"/>
            <w:shd w:val="clear" w:color="auto" w:fill="D9D9D9"/>
            <w:vAlign w:val="center"/>
          </w:tcPr>
          <w:p w:rsidR="00CA4835" w:rsidRPr="00CA4835" w:rsidRDefault="00CA4835" w:rsidP="00CA48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 Garantizar el derecho al cuidado y buen trato para una convivencia sin discriminación de las personas adultas mayores.</w:t>
            </w:r>
          </w:p>
        </w:tc>
        <w:tc>
          <w:tcPr>
            <w:tcW w:w="7938" w:type="dxa"/>
          </w:tcPr>
          <w:p w:rsidR="00CA4835" w:rsidRPr="00CA4835" w:rsidRDefault="00CA4835" w:rsidP="00CA4835">
            <w:pPr>
              <w:numPr>
                <w:ilvl w:val="0"/>
                <w:numId w:val="24"/>
              </w:numP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N°27891, Ley del Refugiado.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N°29360, Ley del Servicio de Defensa Pública.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N°29742, Ley de Prevención y Sanción del Hostigamiento sexual.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N°30364, Ley para prevenir, sancionar y erradicar la violencia contra las mujeres y los integrantes del grupo familiar.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Legislativo N°052, Ley Orgánica del Ministerio Público.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  <w:highlight w:val="white"/>
              </w:rPr>
              <w:t xml:space="preserve">Decreto Legislativo N°1267, Ley de la Policía Nacional del Perú. 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Legislativo N°1323, que fortalece la lucha contra el feminicidio, la violencia familiar y la violencia de género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Legislativo N°1350, Decreto Legislativo de Migraciones.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Legislativo N°1368, Decreto Legislativo que crea el Sistema Nacional Especializado de Justicia para la Protección y Sanción de la Violencia contra las Mujeres e Integrantes del Grupo Familiar.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Legislativo N°1384, Decreto Legislativo que reconoce y regula la Capacidad Jurídica de las Personas con Discapacidad en Igualdad de Condiciones.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Legislativo N°1408, Decreto Legislativo para el fortalecimiento y la prevención de la violencia en las familias.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Legislativo N°1417, Decreto Legislativo que Promueve la Inclusión de las Personas con Discapacidad.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N°017-93-JUS, aprueba el Texto Único Ordenado de la Ley orgánica del Poder Judicial.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N°119-2003-RE, aprueba el Reglamento de la Ley del Refugiado.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Decreto Supremo N°007-2017-IN, aprueba el Reglamento del Decreto Legislativo N°1350, Decreto Legislativo de Migraciones y aprueban nuevas calidades migratorias.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N°002-2018-MINJUS, aprueba el Plan Nacional de Derechos Humanos 2018-2021.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N°012-2019-MIMP, aprueba el Protocolo Base de Actuación Conjunta.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 w:hanging="14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Nº015-2019-MIMP, aprueba el Reglamento que regula las salvaguardias establecidas en el artículo 4 del Decreto Legislativo N°1310 y el procedimiento para su ejecución.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N°016-2019-MIMP, aprueba el Reglamento que regula el otorgamiento de ajustes razonables, designación de apoyos e implementación de salvaguardias para el ejercicio de la capacidad jurídica de las personas con discapacidad.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N°002-2020-MIMP, aprueba el Plan Estratégico Multisectorial de Igualdad de Género de la Política Nacional de Igualdad de Género.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N°004-2020-MIMP, aprueba el Texto Único Ordenado de la Ley N°30364, Ley para prevenir, sancionar y erradicar la violencia contra las mujeres y los integrantes del grupo familiar.</w:t>
            </w:r>
          </w:p>
          <w:p w:rsidR="00CA4835" w:rsidRPr="00522B6E" w:rsidRDefault="00CA4835" w:rsidP="00522B6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N°009-2020-MC, aprueba la Política Nacional de Cultura.</w:t>
            </w:r>
          </w:p>
        </w:tc>
      </w:tr>
      <w:tr w:rsidR="00CA4835" w:rsidRPr="00CA4835" w:rsidTr="00A92E84">
        <w:tc>
          <w:tcPr>
            <w:tcW w:w="2094" w:type="dxa"/>
            <w:shd w:val="clear" w:color="auto" w:fill="D9D9D9"/>
            <w:vAlign w:val="center"/>
          </w:tcPr>
          <w:p w:rsidR="00CA4835" w:rsidRPr="00CA4835" w:rsidRDefault="00CA4835" w:rsidP="00CA48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2. Promover el envejecimiento saludable en las personas adultas mayores.</w:t>
            </w:r>
          </w:p>
        </w:tc>
        <w:tc>
          <w:tcPr>
            <w:tcW w:w="7938" w:type="dxa"/>
          </w:tcPr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N°26842, Ley General de Salud.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N°27813, Ley del Sistema Nacional Coordinado y Descentralizado de Salud.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N°29344, Ley Marco de Aseguramiento Universal en Salud.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N°29414, Ley que establece los derechos de las personas usuarias de los servicios de salud.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N°29973, Ley General de la Persona con Discapacidad.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</w:t>
            </w:r>
            <w:r w:rsidRPr="00CA4835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  <w:highlight w:val="white"/>
              </w:rPr>
              <w:t>30795</w:t>
            </w: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, Ley de Prevención y Tratamiento del Alzheimer y otras demencias.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N°30947, Ley de Salud Mental.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N°004-2003-SA, aprueba el Reglamento de la Ley del Sistema Nacional Coordinado y Descentralizado en Salud.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N°002-2014-MIMP, aprueba el Reglamento de la Ley N°29973, Ley General de la Persona con Discapacidad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N°012-2019-MIMP, aprueba el Protocolo Base de Actuación Conjunta en el ámbito de la atención integral y protección frente a la violencia contra las mujeres y los integrantes del grupo familiar.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N°026-2020-SA, aprueba la Política Nacional Multisectorial de Salud al 2030.</w:t>
            </w:r>
          </w:p>
        </w:tc>
      </w:tr>
      <w:tr w:rsidR="00CA4835" w:rsidRPr="00CA4835" w:rsidTr="00A92E84">
        <w:trPr>
          <w:trHeight w:val="4525"/>
        </w:trPr>
        <w:tc>
          <w:tcPr>
            <w:tcW w:w="2094" w:type="dxa"/>
            <w:shd w:val="clear" w:color="auto" w:fill="D9D9D9"/>
            <w:vAlign w:val="center"/>
          </w:tcPr>
          <w:p w:rsidR="00CA4835" w:rsidRPr="00CA4835" w:rsidRDefault="00CA4835" w:rsidP="00CA48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3. Garantizar prestaciones contributivas y no contributivas para las personas adultas mayores.</w:t>
            </w:r>
          </w:p>
        </w:tc>
        <w:tc>
          <w:tcPr>
            <w:tcW w:w="7938" w:type="dxa"/>
          </w:tcPr>
          <w:p w:rsidR="00CA4835" w:rsidRPr="00CA4835" w:rsidRDefault="00CA4835" w:rsidP="00CA4835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Ley N°19990, Sistema Nacional de Pensiones de la Seguridad Social.</w:t>
            </w:r>
          </w:p>
          <w:p w:rsidR="00CA4835" w:rsidRPr="00CA4835" w:rsidRDefault="00CA4835" w:rsidP="00CA4835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Ley N°25967, crea la Oficina de Normalización Previsional.</w:t>
            </w:r>
          </w:p>
          <w:p w:rsidR="00CA4835" w:rsidRPr="00CA4835" w:rsidRDefault="00CA4835" w:rsidP="00CA4835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28532, Ley que establece la reestructuración integral de la ONP.</w:t>
            </w:r>
          </w:p>
          <w:p w:rsidR="00CA4835" w:rsidRPr="00CA4835" w:rsidRDefault="00CA4835" w:rsidP="00CA4835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N°29792, Ley de creación, organización y funciones del Ministerio de Desarrollo e inclusión social.</w:t>
            </w:r>
          </w:p>
          <w:p w:rsidR="00CA4835" w:rsidRPr="00CA4835" w:rsidRDefault="00CA4835" w:rsidP="00CA4835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N°30435, Ley que crea el Sistema Nacional de Focalización (SINAFO)s</w:t>
            </w:r>
          </w:p>
          <w:p w:rsidR="00CA4835" w:rsidRPr="00CA4835" w:rsidRDefault="00CA4835" w:rsidP="00CA4835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N°30939, que establece el régimen especial de jubilación anticipada para desempleados en el sistema privado de pensiones.</w:t>
            </w:r>
          </w:p>
          <w:p w:rsidR="00522B6E" w:rsidRDefault="00CA4835" w:rsidP="0064648C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22B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N°081-2011-PCM crea el Programa Nacional de Asistencia Solidaria- Pensión 65.</w:t>
            </w:r>
          </w:p>
          <w:p w:rsidR="00CA4835" w:rsidRPr="00522B6E" w:rsidRDefault="00CA4835" w:rsidP="0064648C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22B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N°008-2017-MIDIS, aprueba la transferencia del Programa de entrega de la pensión no contributiva a personas con discapacidad severa en situación de pobreza del Ministerio de la Mujer y Poblaciones Vulnerables al Ministerio de Desarrollo e Inclusión Social y modifica su denominación a “Programa Nacional de entrega de la pensión no contributiva a personas con discapacidad severa en situación de pobreza -CONTIGO”.</w:t>
            </w:r>
          </w:p>
          <w:p w:rsidR="00CA4835" w:rsidRPr="00CA4835" w:rsidRDefault="00CA4835" w:rsidP="00CA4835">
            <w:pPr>
              <w:numPr>
                <w:ilvl w:val="0"/>
                <w:numId w:val="23"/>
              </w:numPr>
              <w:spacing w:line="256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N°354-2020-EF, aprueba el Reglamento Unificado de las Normas Legales que Regulan el Sistema Nacional de Pensiones.</w:t>
            </w:r>
          </w:p>
        </w:tc>
      </w:tr>
      <w:tr w:rsidR="00CA4835" w:rsidRPr="00CA4835" w:rsidTr="00A92E84">
        <w:trPr>
          <w:trHeight w:val="3989"/>
        </w:trPr>
        <w:tc>
          <w:tcPr>
            <w:tcW w:w="2094" w:type="dxa"/>
            <w:shd w:val="clear" w:color="auto" w:fill="D9D9D9"/>
            <w:vAlign w:val="center"/>
          </w:tcPr>
          <w:p w:rsidR="00CA4835" w:rsidRPr="00CA4835" w:rsidRDefault="00CA4835" w:rsidP="00CA483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4. Garantizar el acceso, permanencia, culminación y calidad de la educación de las personas adultas mayores en todos los niveles y modalidades educativas. </w:t>
            </w:r>
          </w:p>
        </w:tc>
        <w:tc>
          <w:tcPr>
            <w:tcW w:w="7938" w:type="dxa"/>
          </w:tcPr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N°28044, Ley General de Educación.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Ley N°30220, Ley Universitaria. 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Ley N°30512, Ley de Institutos y Escuelas de Educación Superior y de la Carrera Pública de sus Docentes.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N°011-2012-ED, aprueba el Reglamento de la Ley N°28044.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N°015-2016-PCM, aprueba la Política Nacional para el Desarrollo de la Ciencia, Tecnología e Innovación Tecnológica.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N°005-2017-MC, aprueba la Política Nacional de Lenguas Originarias, Tradición Oral e Interculturalidad.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N°345-2018-EF, aprueba la Política Nacional de Competitividad y Productividad.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N°013-2018-MINEDU, aprueba la Política de Atención Educativa para la Población de Ámbitos Rurales.</w:t>
            </w:r>
          </w:p>
          <w:p w:rsidR="00CA4835" w:rsidRPr="00CA4835" w:rsidRDefault="00CA4835" w:rsidP="00CA4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1" w:hanging="14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48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Decreto Supremo N°009-2020-MINEDU, aprueba el Proyecto Educativo Nacional-PEN al 2036: El Reto de la Ciudadanía Plena.</w:t>
            </w:r>
            <w:bookmarkStart w:id="0" w:name="_GoBack"/>
            <w:bookmarkEnd w:id="0"/>
          </w:p>
        </w:tc>
      </w:tr>
    </w:tbl>
    <w:p w:rsidR="000B7FAD" w:rsidRPr="00A92E84" w:rsidRDefault="000B7FAD" w:rsidP="00CF3163">
      <w:pPr>
        <w:pStyle w:val="Sinespaciado"/>
      </w:pPr>
    </w:p>
    <w:sectPr w:rsidR="000B7FAD" w:rsidRPr="00A92E84" w:rsidSect="005C7539">
      <w:headerReference w:type="default" r:id="rId8"/>
      <w:footerReference w:type="default" r:id="rId9"/>
      <w:pgSz w:w="11900" w:h="16840" w:code="9"/>
      <w:pgMar w:top="992" w:right="1701" w:bottom="1418" w:left="170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F8" w:rsidRDefault="00BC0BF8" w:rsidP="00C5698F">
      <w:r>
        <w:separator/>
      </w:r>
    </w:p>
  </w:endnote>
  <w:endnote w:type="continuationSeparator" w:id="0">
    <w:p w:rsidR="00BC0BF8" w:rsidRDefault="00BC0BF8" w:rsidP="00C5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8F" w:rsidRPr="00AD7415" w:rsidRDefault="00FD2E3D" w:rsidP="00AD7415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7456" behindDoc="0" locked="0" layoutInCell="1" allowOverlap="1" wp14:anchorId="422D88BA" wp14:editId="67E30F80">
          <wp:simplePos x="0" y="0"/>
          <wp:positionH relativeFrom="column">
            <wp:posOffset>4765675</wp:posOffset>
          </wp:positionH>
          <wp:positionV relativeFrom="paragraph">
            <wp:posOffset>-111200</wp:posOffset>
          </wp:positionV>
          <wp:extent cx="1607185" cy="442595"/>
          <wp:effectExtent l="0" t="0" r="0" b="0"/>
          <wp:wrapThrough wrapText="bothSides">
            <wp:wrapPolygon edited="0">
              <wp:start x="0" y="0"/>
              <wp:lineTo x="0" y="20453"/>
              <wp:lineTo x="21250" y="20453"/>
              <wp:lineTo x="21250" y="0"/>
              <wp:lineTo x="0" y="0"/>
            </wp:wrapPolygon>
          </wp:wrapThrough>
          <wp:docPr id="18" name="Imagen 18" descr="Descripción: Dirección_Papeleria MIM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Dirección_Papeleria MIM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F8" w:rsidRDefault="00BC0BF8" w:rsidP="00C5698F">
      <w:r>
        <w:separator/>
      </w:r>
    </w:p>
  </w:footnote>
  <w:footnote w:type="continuationSeparator" w:id="0">
    <w:p w:rsidR="00BC0BF8" w:rsidRDefault="00BC0BF8" w:rsidP="00C5698F">
      <w:r>
        <w:continuationSeparator/>
      </w:r>
    </w:p>
  </w:footnote>
  <w:footnote w:id="1">
    <w:p w:rsidR="00280359" w:rsidRPr="00522B6E" w:rsidRDefault="00280359" w:rsidP="00522B6E">
      <w:pPr>
        <w:jc w:val="both"/>
        <w:rPr>
          <w:sz w:val="18"/>
          <w:lang w:val="es-MX"/>
        </w:rPr>
      </w:pPr>
      <w:r w:rsidRPr="00522B6E">
        <w:rPr>
          <w:rStyle w:val="Refdenotaalpie"/>
          <w:sz w:val="16"/>
          <w:szCs w:val="20"/>
        </w:rPr>
        <w:footnoteRef/>
      </w:r>
      <w:r w:rsidRPr="00522B6E">
        <w:rPr>
          <w:sz w:val="22"/>
        </w:rPr>
        <w:t xml:space="preserve"> </w:t>
      </w:r>
      <w:r w:rsidRPr="00522B6E">
        <w:rPr>
          <w:rFonts w:ascii="Calibri Light" w:eastAsia="Calibri" w:hAnsi="Calibri Light" w:cs="Calibri Light"/>
          <w:sz w:val="14"/>
          <w:lang w:val="es-MX"/>
        </w:rPr>
        <w:t>Congreso de la República. Resolución Legislativa núm. 31090. Publicada en el Diario Oficial El Peruano: 17 de diciembre de 2020; y, Ministerio de Relaciones Exteriores. D. S. núm. 044-2020-RE. Publicado en el Diario oficial El Peruano: 23 de diciembre de 2020. La Convención constituye el primer instrumento jurídico vinculante en materia de protección de derechos de las personas adultas mayores a nivel mundial. Resalta “la necesidad de abordar los asuntos de la vejez y el envejecimiento desde una perspectiva de derechos humanos que reconoce las valiosas contribuciones actuales y potenciales de la persona mayor al bienestar común, a la identidad cultural, a la diversidad de sus comunidades, al desarrollo humano, social y económico y a la erradicación de la pobreza”. Asimismo, destaca que la persona a medida que envejece, “debe seguir disfrutando de una vida plena, independiente y autónoma, con salud, seguridad, integración y participación activa en las esferas económica, social, cultural y política de sus sociedades”. Así también subraya la responsabilidad del Estado, y la participación de la familia y de la comunidad en la integración</w:t>
      </w:r>
      <w:r w:rsidRPr="00522B6E">
        <w:rPr>
          <w:sz w:val="22"/>
        </w:rPr>
        <w:t xml:space="preserve"> </w:t>
      </w:r>
      <w:r w:rsidRPr="00522B6E">
        <w:rPr>
          <w:rFonts w:ascii="Calibri Light" w:eastAsia="Calibri" w:hAnsi="Calibri Light" w:cs="Calibri Light"/>
          <w:sz w:val="14"/>
          <w:lang w:val="es-MX"/>
        </w:rPr>
        <w:t>activa, plena y productiva de la persona mayor dentro de la sociedad, así como en su cuidado y atención. A su vez, se promueve la participación de las personas adultas mayores en la elaboración, aplicación y control de políticas públicas y legislación dirigida a la implementación de la Convención.</w:t>
      </w:r>
    </w:p>
  </w:footnote>
  <w:footnote w:id="2">
    <w:p w:rsidR="00CA4835" w:rsidRPr="00522B6E" w:rsidRDefault="00CA4835">
      <w:pPr>
        <w:pStyle w:val="Textonotapie"/>
        <w:rPr>
          <w:rFonts w:ascii="Calibri Light" w:eastAsia="Calibri" w:hAnsi="Calibri Light" w:cs="Calibri Light"/>
          <w:sz w:val="14"/>
          <w:szCs w:val="24"/>
          <w:lang w:val="es-MX"/>
        </w:rPr>
      </w:pPr>
      <w:r w:rsidRPr="00522B6E">
        <w:rPr>
          <w:rFonts w:ascii="Calibri Light" w:eastAsia="Calibri" w:hAnsi="Calibri Light" w:cs="Calibri Light"/>
          <w:sz w:val="14"/>
          <w:szCs w:val="24"/>
          <w:vertAlign w:val="superscript"/>
          <w:lang w:val="es-MX"/>
        </w:rPr>
        <w:footnoteRef/>
      </w:r>
      <w:r w:rsidRPr="00522B6E">
        <w:rPr>
          <w:rFonts w:ascii="Calibri Light" w:eastAsia="Calibri" w:hAnsi="Calibri Light" w:cs="Calibri Light"/>
          <w:sz w:val="14"/>
          <w:szCs w:val="24"/>
          <w:vertAlign w:val="superscript"/>
          <w:lang w:val="es-MX"/>
        </w:rPr>
        <w:t xml:space="preserve"> </w:t>
      </w:r>
      <w:r w:rsidRPr="00522B6E">
        <w:rPr>
          <w:rFonts w:ascii="Calibri Light" w:eastAsia="Calibri" w:hAnsi="Calibri Light" w:cs="Calibri Light"/>
          <w:sz w:val="14"/>
          <w:szCs w:val="24"/>
          <w:lang w:val="es-MX"/>
        </w:rPr>
        <w:t>Política Nacional Multisectorial para las personas adultas mayores al 2030.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E9" w:rsidRDefault="00C005F4" w:rsidP="007770E9">
    <w:pPr>
      <w:pStyle w:val="Encabezado"/>
      <w:ind w:left="708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18AB13" wp14:editId="7467EB10">
              <wp:simplePos x="0" y="0"/>
              <wp:positionH relativeFrom="margin">
                <wp:posOffset>1644777</wp:posOffset>
              </wp:positionH>
              <wp:positionV relativeFrom="paragraph">
                <wp:posOffset>-395351</wp:posOffset>
              </wp:positionV>
              <wp:extent cx="2551176" cy="657225"/>
              <wp:effectExtent l="0" t="0" r="0" b="9525"/>
              <wp:wrapNone/>
              <wp:docPr id="2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1176" cy="65722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:rsidR="00C005F4" w:rsidRPr="00CA7D67" w:rsidRDefault="009634C0" w:rsidP="00C005F4">
                          <w:pPr>
                            <w:pStyle w:val="Sinespaciad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DIRECCIÓN DE PERSONAS ADULTAS MAYORES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8AB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9.5pt;margin-top:-31.15pt;width:200.9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" filled="f" stroked="f" strokeweight=".25pt">
              <v:path arrowok="t"/>
              <v:textbox>
                <w:txbxContent>
                  <w:p w:rsidR="00C005F4" w:rsidRPr="00CA7D67" w:rsidRDefault="009634C0" w:rsidP="00C005F4">
                    <w:pPr>
                      <w:pStyle w:val="Sinespaciad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DIRECCIÓN DE PERSONAS ADULTAS MAYORES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75A5"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1" wp14:anchorId="51B1CBFB" wp14:editId="2CEB5019">
          <wp:simplePos x="0" y="0"/>
          <wp:positionH relativeFrom="column">
            <wp:posOffset>-450743</wp:posOffset>
          </wp:positionH>
          <wp:positionV relativeFrom="paragraph">
            <wp:posOffset>-283960</wp:posOffset>
          </wp:positionV>
          <wp:extent cx="2105108" cy="434492"/>
          <wp:effectExtent l="0" t="0" r="889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08" cy="43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54B66" w:rsidRPr="00554B66" w:rsidRDefault="00E91C77" w:rsidP="00554B66">
    <w:pPr>
      <w:pStyle w:val="Ttulo"/>
      <w:rPr>
        <w:rFonts w:asciiTheme="majorHAnsi" w:hAnsiTheme="majorHAnsi" w:cstheme="majorHAnsi"/>
        <w:b w:val="0"/>
        <w:color w:val="808080"/>
        <w:sz w:val="10"/>
        <w:szCs w:val="22"/>
        <w:lang w:val="es-PE"/>
      </w:rPr>
    </w:pPr>
    <w:r w:rsidRPr="009855BF">
      <w:rPr>
        <w:rFonts w:asciiTheme="majorHAnsi" w:hAnsiTheme="majorHAnsi" w:cstheme="majorHAnsi"/>
        <w:b w:val="0"/>
        <w:noProof/>
        <w:sz w:val="20"/>
        <w:szCs w:val="21"/>
        <w:lang w:val="es-PE" w:eastAsia="es-PE"/>
      </w:rPr>
      <w:drawing>
        <wp:anchor distT="0" distB="0" distL="114300" distR="114300" simplePos="0" relativeHeight="251672576" behindDoc="0" locked="0" layoutInCell="1" allowOverlap="1" wp14:anchorId="43A90048" wp14:editId="457C9802">
          <wp:simplePos x="0" y="0"/>
          <wp:positionH relativeFrom="column">
            <wp:posOffset>4392295</wp:posOffset>
          </wp:positionH>
          <wp:positionV relativeFrom="paragraph">
            <wp:posOffset>22063</wp:posOffset>
          </wp:positionV>
          <wp:extent cx="1297305" cy="510540"/>
          <wp:effectExtent l="0" t="0" r="0" b="3810"/>
          <wp:wrapSquare wrapText="bothSides"/>
          <wp:docPr id="1" name="Imagen 1" descr="D:\COR_MIMP\SGD\BICENTARIO\formato_bicentario\logo B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R_MIMP\SGD\BICENTARIO\formato_bicentario\logo BI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70E9" w:rsidRPr="00554B66" w:rsidRDefault="009634C0" w:rsidP="00554B66">
    <w:pPr>
      <w:pStyle w:val="Ttulo"/>
      <w:rPr>
        <w:rFonts w:asciiTheme="majorHAnsi" w:hAnsiTheme="majorHAnsi" w:cstheme="majorHAnsi"/>
        <w:sz w:val="18"/>
        <w:szCs w:val="22"/>
      </w:rPr>
    </w:pPr>
    <w:r>
      <w:rPr>
        <w:rFonts w:asciiTheme="majorHAnsi" w:hAnsiTheme="majorHAnsi" w:cstheme="majorHAnsi"/>
        <w:b w:val="0"/>
        <w:noProof/>
        <w:sz w:val="18"/>
        <w:szCs w:val="22"/>
        <w:lang w:val="es-PE"/>
      </w:rPr>
      <w:t>"Decenio de la Igualdad de Oportunidades para Mujeres y Hombres"</w:t>
    </w:r>
  </w:p>
  <w:p w:rsidR="006E7504" w:rsidRDefault="009634C0" w:rsidP="00554B66">
    <w:pPr>
      <w:pStyle w:val="Ttulo"/>
      <w:rPr>
        <w:rFonts w:asciiTheme="majorHAnsi" w:hAnsiTheme="majorHAnsi" w:cstheme="majorHAnsi"/>
        <w:b w:val="0"/>
        <w:sz w:val="18"/>
        <w:szCs w:val="22"/>
        <w:lang w:val="es-PE"/>
      </w:rPr>
    </w:pPr>
    <w:r>
      <w:rPr>
        <w:rFonts w:asciiTheme="majorHAnsi" w:hAnsiTheme="majorHAnsi" w:cstheme="majorHAnsi"/>
        <w:b w:val="0"/>
        <w:noProof/>
        <w:sz w:val="18"/>
        <w:szCs w:val="22"/>
        <w:lang w:val="es-PE"/>
      </w:rPr>
      <w:t>"Año del Bicentenario del Perú: 200 años de Independencia"</w:t>
    </w:r>
  </w:p>
  <w:p w:rsidR="009855BF" w:rsidRPr="00554B66" w:rsidRDefault="009855BF" w:rsidP="00CA4835">
    <w:pPr>
      <w:pStyle w:val="Ttulo"/>
      <w:jc w:val="left"/>
      <w:rPr>
        <w:rFonts w:asciiTheme="majorHAnsi" w:hAnsiTheme="majorHAnsi" w:cstheme="majorHAnsi"/>
        <w:b w:val="0"/>
        <w:sz w:val="20"/>
        <w:szCs w:val="21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1BC"/>
    <w:multiLevelType w:val="hybridMultilevel"/>
    <w:tmpl w:val="76C01004"/>
    <w:lvl w:ilvl="0" w:tplc="773A5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E97"/>
    <w:multiLevelType w:val="hybridMultilevel"/>
    <w:tmpl w:val="3BDA7E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A90"/>
    <w:multiLevelType w:val="hybridMultilevel"/>
    <w:tmpl w:val="1AC2CF96"/>
    <w:lvl w:ilvl="0" w:tplc="5442FE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0F254C"/>
    <w:multiLevelType w:val="multilevel"/>
    <w:tmpl w:val="109EC69C"/>
    <w:lvl w:ilvl="0">
      <w:start w:val="1"/>
      <w:numFmt w:val="bullet"/>
      <w:lvlText w:val="-"/>
      <w:lvlJc w:val="left"/>
      <w:pPr>
        <w:ind w:left="94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422224"/>
    <w:multiLevelType w:val="hybridMultilevel"/>
    <w:tmpl w:val="14D8F78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776"/>
    <w:multiLevelType w:val="hybridMultilevel"/>
    <w:tmpl w:val="E99CA436"/>
    <w:lvl w:ilvl="0" w:tplc="7BEEF4C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470674"/>
    <w:multiLevelType w:val="hybridMultilevel"/>
    <w:tmpl w:val="5E869FF4"/>
    <w:lvl w:ilvl="0" w:tplc="01C416FC">
      <w:start w:val="1"/>
      <w:numFmt w:val="bullet"/>
      <w:lvlText w:val="•"/>
      <w:lvlJc w:val="left"/>
      <w:pPr>
        <w:tabs>
          <w:tab w:val="num" w:pos="1030"/>
        </w:tabs>
        <w:ind w:left="1030" w:hanging="360"/>
      </w:pPr>
      <w:rPr>
        <w:rFonts w:ascii="Arial" w:hAnsi="Arial" w:hint="default"/>
      </w:rPr>
    </w:lvl>
    <w:lvl w:ilvl="1" w:tplc="238064BC">
      <w:start w:val="1"/>
      <w:numFmt w:val="bullet"/>
      <w:lvlText w:val="•"/>
      <w:lvlJc w:val="left"/>
      <w:pPr>
        <w:tabs>
          <w:tab w:val="num" w:pos="1750"/>
        </w:tabs>
        <w:ind w:left="1750" w:hanging="360"/>
      </w:pPr>
      <w:rPr>
        <w:rFonts w:ascii="Arial" w:hAnsi="Arial" w:hint="default"/>
      </w:rPr>
    </w:lvl>
    <w:lvl w:ilvl="2" w:tplc="032E6DB8" w:tentative="1">
      <w:start w:val="1"/>
      <w:numFmt w:val="bullet"/>
      <w:lvlText w:val="•"/>
      <w:lvlJc w:val="left"/>
      <w:pPr>
        <w:tabs>
          <w:tab w:val="num" w:pos="2470"/>
        </w:tabs>
        <w:ind w:left="2470" w:hanging="360"/>
      </w:pPr>
      <w:rPr>
        <w:rFonts w:ascii="Arial" w:hAnsi="Arial" w:hint="default"/>
      </w:rPr>
    </w:lvl>
    <w:lvl w:ilvl="3" w:tplc="AE545AD6" w:tentative="1">
      <w:start w:val="1"/>
      <w:numFmt w:val="bullet"/>
      <w:lvlText w:val="•"/>
      <w:lvlJc w:val="left"/>
      <w:pPr>
        <w:tabs>
          <w:tab w:val="num" w:pos="3190"/>
        </w:tabs>
        <w:ind w:left="3190" w:hanging="360"/>
      </w:pPr>
      <w:rPr>
        <w:rFonts w:ascii="Arial" w:hAnsi="Arial" w:hint="default"/>
      </w:rPr>
    </w:lvl>
    <w:lvl w:ilvl="4" w:tplc="2DFA192C" w:tentative="1">
      <w:start w:val="1"/>
      <w:numFmt w:val="bullet"/>
      <w:lvlText w:val="•"/>
      <w:lvlJc w:val="left"/>
      <w:pPr>
        <w:tabs>
          <w:tab w:val="num" w:pos="3910"/>
        </w:tabs>
        <w:ind w:left="3910" w:hanging="360"/>
      </w:pPr>
      <w:rPr>
        <w:rFonts w:ascii="Arial" w:hAnsi="Arial" w:hint="default"/>
      </w:rPr>
    </w:lvl>
    <w:lvl w:ilvl="5" w:tplc="2EE2F4CC" w:tentative="1">
      <w:start w:val="1"/>
      <w:numFmt w:val="bullet"/>
      <w:lvlText w:val="•"/>
      <w:lvlJc w:val="left"/>
      <w:pPr>
        <w:tabs>
          <w:tab w:val="num" w:pos="4630"/>
        </w:tabs>
        <w:ind w:left="4630" w:hanging="360"/>
      </w:pPr>
      <w:rPr>
        <w:rFonts w:ascii="Arial" w:hAnsi="Arial" w:hint="default"/>
      </w:rPr>
    </w:lvl>
    <w:lvl w:ilvl="6" w:tplc="C632259C" w:tentative="1">
      <w:start w:val="1"/>
      <w:numFmt w:val="bullet"/>
      <w:lvlText w:val="•"/>
      <w:lvlJc w:val="left"/>
      <w:pPr>
        <w:tabs>
          <w:tab w:val="num" w:pos="5350"/>
        </w:tabs>
        <w:ind w:left="5350" w:hanging="360"/>
      </w:pPr>
      <w:rPr>
        <w:rFonts w:ascii="Arial" w:hAnsi="Arial" w:hint="default"/>
      </w:rPr>
    </w:lvl>
    <w:lvl w:ilvl="7" w:tplc="2F9A72CE" w:tentative="1">
      <w:start w:val="1"/>
      <w:numFmt w:val="bullet"/>
      <w:lvlText w:val="•"/>
      <w:lvlJc w:val="left"/>
      <w:pPr>
        <w:tabs>
          <w:tab w:val="num" w:pos="6070"/>
        </w:tabs>
        <w:ind w:left="6070" w:hanging="360"/>
      </w:pPr>
      <w:rPr>
        <w:rFonts w:ascii="Arial" w:hAnsi="Arial" w:hint="default"/>
      </w:rPr>
    </w:lvl>
    <w:lvl w:ilvl="8" w:tplc="AED24EEC" w:tentative="1">
      <w:start w:val="1"/>
      <w:numFmt w:val="bullet"/>
      <w:lvlText w:val="•"/>
      <w:lvlJc w:val="left"/>
      <w:pPr>
        <w:tabs>
          <w:tab w:val="num" w:pos="6790"/>
        </w:tabs>
        <w:ind w:left="6790" w:hanging="360"/>
      </w:pPr>
      <w:rPr>
        <w:rFonts w:ascii="Arial" w:hAnsi="Arial" w:hint="default"/>
      </w:rPr>
    </w:lvl>
  </w:abstractNum>
  <w:abstractNum w:abstractNumId="7" w15:restartNumberingAfterBreak="0">
    <w:nsid w:val="27DC69C0"/>
    <w:multiLevelType w:val="hybridMultilevel"/>
    <w:tmpl w:val="5A584704"/>
    <w:lvl w:ilvl="0" w:tplc="D8FE15C4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37824"/>
    <w:multiLevelType w:val="hybridMultilevel"/>
    <w:tmpl w:val="6F6024BA"/>
    <w:lvl w:ilvl="0" w:tplc="84CE50DC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742A1"/>
    <w:multiLevelType w:val="hybridMultilevel"/>
    <w:tmpl w:val="D7848C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05076"/>
    <w:multiLevelType w:val="hybridMultilevel"/>
    <w:tmpl w:val="59E4107E"/>
    <w:lvl w:ilvl="0" w:tplc="44D884EE">
      <w:start w:val="1"/>
      <w:numFmt w:val="upperRoman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50AE5"/>
    <w:multiLevelType w:val="multilevel"/>
    <w:tmpl w:val="5A0E48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A66692"/>
    <w:multiLevelType w:val="hybridMultilevel"/>
    <w:tmpl w:val="944484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6F2C"/>
    <w:multiLevelType w:val="hybridMultilevel"/>
    <w:tmpl w:val="84C03ACA"/>
    <w:lvl w:ilvl="0" w:tplc="D8FE15C4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943C4"/>
    <w:multiLevelType w:val="hybridMultilevel"/>
    <w:tmpl w:val="D3E2452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2C42F7"/>
    <w:multiLevelType w:val="hybridMultilevel"/>
    <w:tmpl w:val="05F87B12"/>
    <w:lvl w:ilvl="0" w:tplc="3ECECD0E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26D2"/>
    <w:multiLevelType w:val="multilevel"/>
    <w:tmpl w:val="1B6EB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5B434E"/>
    <w:multiLevelType w:val="hybridMultilevel"/>
    <w:tmpl w:val="596AAF30"/>
    <w:lvl w:ilvl="0" w:tplc="3F368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117F93"/>
    <w:multiLevelType w:val="multilevel"/>
    <w:tmpl w:val="09205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A4666"/>
    <w:multiLevelType w:val="hybridMultilevel"/>
    <w:tmpl w:val="0B5AF0FA"/>
    <w:lvl w:ilvl="0" w:tplc="4E2EB8FE">
      <w:start w:val="1"/>
      <w:numFmt w:val="upperRoman"/>
      <w:lvlText w:val="%1."/>
      <w:lvlJc w:val="left"/>
      <w:pPr>
        <w:ind w:left="423" w:hanging="42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60646B30">
      <w:numFmt w:val="bullet"/>
      <w:lvlText w:val="•"/>
      <w:lvlJc w:val="left"/>
      <w:pPr>
        <w:ind w:left="1318" w:hanging="423"/>
      </w:pPr>
      <w:rPr>
        <w:rFonts w:hint="default"/>
        <w:lang w:val="es-ES" w:eastAsia="en-US" w:bidi="ar-SA"/>
      </w:rPr>
    </w:lvl>
    <w:lvl w:ilvl="2" w:tplc="99722A8C">
      <w:numFmt w:val="bullet"/>
      <w:lvlText w:val="•"/>
      <w:lvlJc w:val="left"/>
      <w:pPr>
        <w:ind w:left="2220" w:hanging="423"/>
      </w:pPr>
      <w:rPr>
        <w:rFonts w:hint="default"/>
        <w:lang w:val="es-ES" w:eastAsia="en-US" w:bidi="ar-SA"/>
      </w:rPr>
    </w:lvl>
    <w:lvl w:ilvl="3" w:tplc="9DEE3F12">
      <w:numFmt w:val="bullet"/>
      <w:lvlText w:val="•"/>
      <w:lvlJc w:val="left"/>
      <w:pPr>
        <w:ind w:left="3122" w:hanging="423"/>
      </w:pPr>
      <w:rPr>
        <w:rFonts w:hint="default"/>
        <w:lang w:val="es-ES" w:eastAsia="en-US" w:bidi="ar-SA"/>
      </w:rPr>
    </w:lvl>
    <w:lvl w:ilvl="4" w:tplc="E5B880C4">
      <w:numFmt w:val="bullet"/>
      <w:lvlText w:val="•"/>
      <w:lvlJc w:val="left"/>
      <w:pPr>
        <w:ind w:left="4024" w:hanging="423"/>
      </w:pPr>
      <w:rPr>
        <w:rFonts w:hint="default"/>
        <w:lang w:val="es-ES" w:eastAsia="en-US" w:bidi="ar-SA"/>
      </w:rPr>
    </w:lvl>
    <w:lvl w:ilvl="5" w:tplc="42005EA0">
      <w:numFmt w:val="bullet"/>
      <w:lvlText w:val="•"/>
      <w:lvlJc w:val="left"/>
      <w:pPr>
        <w:ind w:left="4926" w:hanging="423"/>
      </w:pPr>
      <w:rPr>
        <w:rFonts w:hint="default"/>
        <w:lang w:val="es-ES" w:eastAsia="en-US" w:bidi="ar-SA"/>
      </w:rPr>
    </w:lvl>
    <w:lvl w:ilvl="6" w:tplc="AE3819CE">
      <w:numFmt w:val="bullet"/>
      <w:lvlText w:val="•"/>
      <w:lvlJc w:val="left"/>
      <w:pPr>
        <w:ind w:left="5828" w:hanging="423"/>
      </w:pPr>
      <w:rPr>
        <w:rFonts w:hint="default"/>
        <w:lang w:val="es-ES" w:eastAsia="en-US" w:bidi="ar-SA"/>
      </w:rPr>
    </w:lvl>
    <w:lvl w:ilvl="7" w:tplc="6968147C">
      <w:numFmt w:val="bullet"/>
      <w:lvlText w:val="•"/>
      <w:lvlJc w:val="left"/>
      <w:pPr>
        <w:ind w:left="6730" w:hanging="423"/>
      </w:pPr>
      <w:rPr>
        <w:rFonts w:hint="default"/>
        <w:lang w:val="es-ES" w:eastAsia="en-US" w:bidi="ar-SA"/>
      </w:rPr>
    </w:lvl>
    <w:lvl w:ilvl="8" w:tplc="2828FB1E">
      <w:numFmt w:val="bullet"/>
      <w:lvlText w:val="•"/>
      <w:lvlJc w:val="left"/>
      <w:pPr>
        <w:ind w:left="7632" w:hanging="423"/>
      </w:pPr>
      <w:rPr>
        <w:rFonts w:hint="default"/>
        <w:lang w:val="es-ES" w:eastAsia="en-US" w:bidi="ar-SA"/>
      </w:rPr>
    </w:lvl>
  </w:abstractNum>
  <w:abstractNum w:abstractNumId="20" w15:restartNumberingAfterBreak="0">
    <w:nsid w:val="694C5D47"/>
    <w:multiLevelType w:val="hybridMultilevel"/>
    <w:tmpl w:val="4B2EA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3002"/>
    <w:multiLevelType w:val="hybridMultilevel"/>
    <w:tmpl w:val="1AC2CF96"/>
    <w:lvl w:ilvl="0" w:tplc="5442FE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F643C1"/>
    <w:multiLevelType w:val="hybridMultilevel"/>
    <w:tmpl w:val="1FA44D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9386C"/>
    <w:multiLevelType w:val="multilevel"/>
    <w:tmpl w:val="AB5435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20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21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9"/>
  </w:num>
  <w:num w:numId="20">
    <w:abstractNumId w:val="6"/>
  </w:num>
  <w:num w:numId="21">
    <w:abstractNumId w:val="18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8F"/>
    <w:rsid w:val="00002A9C"/>
    <w:rsid w:val="0000658C"/>
    <w:rsid w:val="00021BD7"/>
    <w:rsid w:val="000360B6"/>
    <w:rsid w:val="000363D2"/>
    <w:rsid w:val="0005317A"/>
    <w:rsid w:val="00053D3E"/>
    <w:rsid w:val="00057160"/>
    <w:rsid w:val="0006039E"/>
    <w:rsid w:val="00065BFA"/>
    <w:rsid w:val="0007068D"/>
    <w:rsid w:val="00071B18"/>
    <w:rsid w:val="0007339D"/>
    <w:rsid w:val="000907DB"/>
    <w:rsid w:val="00092D4E"/>
    <w:rsid w:val="00094C6A"/>
    <w:rsid w:val="00097E5A"/>
    <w:rsid w:val="000A2864"/>
    <w:rsid w:val="000B7FAD"/>
    <w:rsid w:val="000C7014"/>
    <w:rsid w:val="000D74FB"/>
    <w:rsid w:val="000E6BFC"/>
    <w:rsid w:val="000F5C82"/>
    <w:rsid w:val="000F5FA5"/>
    <w:rsid w:val="00101170"/>
    <w:rsid w:val="00116314"/>
    <w:rsid w:val="0012086E"/>
    <w:rsid w:val="001246C7"/>
    <w:rsid w:val="00124E97"/>
    <w:rsid w:val="00133DA4"/>
    <w:rsid w:val="00141015"/>
    <w:rsid w:val="0014277E"/>
    <w:rsid w:val="001523BA"/>
    <w:rsid w:val="001677D7"/>
    <w:rsid w:val="001770F8"/>
    <w:rsid w:val="001778C1"/>
    <w:rsid w:val="00180398"/>
    <w:rsid w:val="00187379"/>
    <w:rsid w:val="001D1CD0"/>
    <w:rsid w:val="001D4E34"/>
    <w:rsid w:val="001E1C55"/>
    <w:rsid w:val="001E2748"/>
    <w:rsid w:val="001F5FD1"/>
    <w:rsid w:val="00205720"/>
    <w:rsid w:val="00211298"/>
    <w:rsid w:val="0025397F"/>
    <w:rsid w:val="00274C3F"/>
    <w:rsid w:val="00280359"/>
    <w:rsid w:val="00284DBA"/>
    <w:rsid w:val="002B5DC0"/>
    <w:rsid w:val="002D5F16"/>
    <w:rsid w:val="002D6D48"/>
    <w:rsid w:val="002D7352"/>
    <w:rsid w:val="002E1B28"/>
    <w:rsid w:val="002E21A6"/>
    <w:rsid w:val="002F34EC"/>
    <w:rsid w:val="002F5F3E"/>
    <w:rsid w:val="0030497A"/>
    <w:rsid w:val="00305709"/>
    <w:rsid w:val="00317E63"/>
    <w:rsid w:val="0032761F"/>
    <w:rsid w:val="003305CD"/>
    <w:rsid w:val="00346546"/>
    <w:rsid w:val="0034695A"/>
    <w:rsid w:val="003527AD"/>
    <w:rsid w:val="00355DF4"/>
    <w:rsid w:val="00365F9B"/>
    <w:rsid w:val="00373D35"/>
    <w:rsid w:val="00376D99"/>
    <w:rsid w:val="0038180E"/>
    <w:rsid w:val="00386379"/>
    <w:rsid w:val="0038752D"/>
    <w:rsid w:val="00387DF6"/>
    <w:rsid w:val="00390141"/>
    <w:rsid w:val="003A1B97"/>
    <w:rsid w:val="003A48C3"/>
    <w:rsid w:val="003A67D6"/>
    <w:rsid w:val="003B668E"/>
    <w:rsid w:val="003C1EF4"/>
    <w:rsid w:val="003E02AB"/>
    <w:rsid w:val="003F6DCB"/>
    <w:rsid w:val="003F7B6B"/>
    <w:rsid w:val="00400188"/>
    <w:rsid w:val="004010C4"/>
    <w:rsid w:val="00403509"/>
    <w:rsid w:val="00405DEF"/>
    <w:rsid w:val="0041198B"/>
    <w:rsid w:val="004141FC"/>
    <w:rsid w:val="004332DD"/>
    <w:rsid w:val="004432D6"/>
    <w:rsid w:val="0045131A"/>
    <w:rsid w:val="00453F4F"/>
    <w:rsid w:val="00463662"/>
    <w:rsid w:val="00482CD7"/>
    <w:rsid w:val="0048592B"/>
    <w:rsid w:val="00494D39"/>
    <w:rsid w:val="0049502F"/>
    <w:rsid w:val="004A7215"/>
    <w:rsid w:val="004B3721"/>
    <w:rsid w:val="004B759B"/>
    <w:rsid w:val="004C6371"/>
    <w:rsid w:val="004C6BE1"/>
    <w:rsid w:val="004E4BD8"/>
    <w:rsid w:val="004F13BC"/>
    <w:rsid w:val="00506D09"/>
    <w:rsid w:val="00514609"/>
    <w:rsid w:val="0051528A"/>
    <w:rsid w:val="00522B6E"/>
    <w:rsid w:val="00542405"/>
    <w:rsid w:val="005433B7"/>
    <w:rsid w:val="00545123"/>
    <w:rsid w:val="005506C0"/>
    <w:rsid w:val="00551B20"/>
    <w:rsid w:val="00554B66"/>
    <w:rsid w:val="00561151"/>
    <w:rsid w:val="005648E6"/>
    <w:rsid w:val="00565346"/>
    <w:rsid w:val="0056787D"/>
    <w:rsid w:val="00573FEE"/>
    <w:rsid w:val="005842E2"/>
    <w:rsid w:val="005B54E9"/>
    <w:rsid w:val="005C030A"/>
    <w:rsid w:val="005C7539"/>
    <w:rsid w:val="005C7D96"/>
    <w:rsid w:val="005D0C17"/>
    <w:rsid w:val="005E66DA"/>
    <w:rsid w:val="005F6988"/>
    <w:rsid w:val="006016D8"/>
    <w:rsid w:val="00604EE8"/>
    <w:rsid w:val="006146E0"/>
    <w:rsid w:val="00622965"/>
    <w:rsid w:val="006247E4"/>
    <w:rsid w:val="0062647D"/>
    <w:rsid w:val="00630BB2"/>
    <w:rsid w:val="00630FE0"/>
    <w:rsid w:val="006326F5"/>
    <w:rsid w:val="00632FA4"/>
    <w:rsid w:val="0064263C"/>
    <w:rsid w:val="00653A43"/>
    <w:rsid w:val="0065651C"/>
    <w:rsid w:val="00660E2B"/>
    <w:rsid w:val="0066236E"/>
    <w:rsid w:val="00662AD6"/>
    <w:rsid w:val="0066565D"/>
    <w:rsid w:val="00667739"/>
    <w:rsid w:val="0068312A"/>
    <w:rsid w:val="006A3E93"/>
    <w:rsid w:val="006C07B2"/>
    <w:rsid w:val="006E04FB"/>
    <w:rsid w:val="006E24AD"/>
    <w:rsid w:val="006E7504"/>
    <w:rsid w:val="006F2A85"/>
    <w:rsid w:val="006F419D"/>
    <w:rsid w:val="00700FA3"/>
    <w:rsid w:val="0070327A"/>
    <w:rsid w:val="0073214F"/>
    <w:rsid w:val="007321EE"/>
    <w:rsid w:val="00744BF6"/>
    <w:rsid w:val="00745333"/>
    <w:rsid w:val="00766D81"/>
    <w:rsid w:val="007770E9"/>
    <w:rsid w:val="00780135"/>
    <w:rsid w:val="007867DE"/>
    <w:rsid w:val="00790761"/>
    <w:rsid w:val="007937D5"/>
    <w:rsid w:val="007A2896"/>
    <w:rsid w:val="007A5778"/>
    <w:rsid w:val="007A6E46"/>
    <w:rsid w:val="007A7408"/>
    <w:rsid w:val="007B0198"/>
    <w:rsid w:val="007B2DB5"/>
    <w:rsid w:val="007C3499"/>
    <w:rsid w:val="007C43F8"/>
    <w:rsid w:val="007D08CD"/>
    <w:rsid w:val="007D6570"/>
    <w:rsid w:val="007E2362"/>
    <w:rsid w:val="007E24A7"/>
    <w:rsid w:val="007E2D70"/>
    <w:rsid w:val="007F3EC3"/>
    <w:rsid w:val="0080096E"/>
    <w:rsid w:val="00800D30"/>
    <w:rsid w:val="00805167"/>
    <w:rsid w:val="008301D3"/>
    <w:rsid w:val="00833E5F"/>
    <w:rsid w:val="00837EC0"/>
    <w:rsid w:val="00861F93"/>
    <w:rsid w:val="0086578A"/>
    <w:rsid w:val="008776B0"/>
    <w:rsid w:val="00884196"/>
    <w:rsid w:val="0088776A"/>
    <w:rsid w:val="008913BD"/>
    <w:rsid w:val="008A4B82"/>
    <w:rsid w:val="008C547C"/>
    <w:rsid w:val="008D5312"/>
    <w:rsid w:val="008E3384"/>
    <w:rsid w:val="008E77C5"/>
    <w:rsid w:val="008F08A9"/>
    <w:rsid w:val="008F2BAB"/>
    <w:rsid w:val="00901EDE"/>
    <w:rsid w:val="00922AAC"/>
    <w:rsid w:val="00926E22"/>
    <w:rsid w:val="00931322"/>
    <w:rsid w:val="009407C2"/>
    <w:rsid w:val="00960377"/>
    <w:rsid w:val="009634C0"/>
    <w:rsid w:val="00967584"/>
    <w:rsid w:val="009855BF"/>
    <w:rsid w:val="0099018D"/>
    <w:rsid w:val="0099698D"/>
    <w:rsid w:val="009A304A"/>
    <w:rsid w:val="009A7208"/>
    <w:rsid w:val="009C390C"/>
    <w:rsid w:val="009D4B19"/>
    <w:rsid w:val="009E1734"/>
    <w:rsid w:val="009E4200"/>
    <w:rsid w:val="00A108F6"/>
    <w:rsid w:val="00A20D7D"/>
    <w:rsid w:val="00A276BF"/>
    <w:rsid w:val="00A35B23"/>
    <w:rsid w:val="00A42CCE"/>
    <w:rsid w:val="00A46C27"/>
    <w:rsid w:val="00A5177F"/>
    <w:rsid w:val="00A532A1"/>
    <w:rsid w:val="00A5358D"/>
    <w:rsid w:val="00A658C4"/>
    <w:rsid w:val="00A669CB"/>
    <w:rsid w:val="00A675A5"/>
    <w:rsid w:val="00A92E84"/>
    <w:rsid w:val="00A95C11"/>
    <w:rsid w:val="00A97616"/>
    <w:rsid w:val="00AA1164"/>
    <w:rsid w:val="00AA1C1F"/>
    <w:rsid w:val="00AA5033"/>
    <w:rsid w:val="00AB3E34"/>
    <w:rsid w:val="00AB4A34"/>
    <w:rsid w:val="00AB657D"/>
    <w:rsid w:val="00AC2B45"/>
    <w:rsid w:val="00AD0A38"/>
    <w:rsid w:val="00AD7415"/>
    <w:rsid w:val="00AE1441"/>
    <w:rsid w:val="00B0102B"/>
    <w:rsid w:val="00B03125"/>
    <w:rsid w:val="00B168D3"/>
    <w:rsid w:val="00B4187C"/>
    <w:rsid w:val="00B41E3B"/>
    <w:rsid w:val="00B5117D"/>
    <w:rsid w:val="00B552AF"/>
    <w:rsid w:val="00B6093C"/>
    <w:rsid w:val="00B654B3"/>
    <w:rsid w:val="00B659D8"/>
    <w:rsid w:val="00B668AA"/>
    <w:rsid w:val="00B76112"/>
    <w:rsid w:val="00B8685D"/>
    <w:rsid w:val="00BB10F0"/>
    <w:rsid w:val="00BB3512"/>
    <w:rsid w:val="00BC0138"/>
    <w:rsid w:val="00BC0BF8"/>
    <w:rsid w:val="00BD7BDF"/>
    <w:rsid w:val="00BE3193"/>
    <w:rsid w:val="00BF18E9"/>
    <w:rsid w:val="00BF578F"/>
    <w:rsid w:val="00C005F4"/>
    <w:rsid w:val="00C27A41"/>
    <w:rsid w:val="00C40503"/>
    <w:rsid w:val="00C415EA"/>
    <w:rsid w:val="00C43F85"/>
    <w:rsid w:val="00C5698F"/>
    <w:rsid w:val="00C617EA"/>
    <w:rsid w:val="00C6234A"/>
    <w:rsid w:val="00C62EE9"/>
    <w:rsid w:val="00C64CE9"/>
    <w:rsid w:val="00C752E5"/>
    <w:rsid w:val="00C75B22"/>
    <w:rsid w:val="00C8274B"/>
    <w:rsid w:val="00CA4835"/>
    <w:rsid w:val="00CB2ACE"/>
    <w:rsid w:val="00CB4249"/>
    <w:rsid w:val="00CB5042"/>
    <w:rsid w:val="00CB5384"/>
    <w:rsid w:val="00CC2DB1"/>
    <w:rsid w:val="00CC43CB"/>
    <w:rsid w:val="00CD4B8E"/>
    <w:rsid w:val="00CF08F5"/>
    <w:rsid w:val="00CF2532"/>
    <w:rsid w:val="00CF3163"/>
    <w:rsid w:val="00D06416"/>
    <w:rsid w:val="00D25179"/>
    <w:rsid w:val="00D26D2A"/>
    <w:rsid w:val="00D36754"/>
    <w:rsid w:val="00D44CDC"/>
    <w:rsid w:val="00D611CB"/>
    <w:rsid w:val="00D6120B"/>
    <w:rsid w:val="00D649D2"/>
    <w:rsid w:val="00D80C77"/>
    <w:rsid w:val="00D95079"/>
    <w:rsid w:val="00DA1230"/>
    <w:rsid w:val="00DA392A"/>
    <w:rsid w:val="00DB6CC2"/>
    <w:rsid w:val="00DB7BB6"/>
    <w:rsid w:val="00DC2B99"/>
    <w:rsid w:val="00DD2FA4"/>
    <w:rsid w:val="00DD3F4A"/>
    <w:rsid w:val="00DE701F"/>
    <w:rsid w:val="00E12685"/>
    <w:rsid w:val="00E27ECC"/>
    <w:rsid w:val="00E4243E"/>
    <w:rsid w:val="00E43C1C"/>
    <w:rsid w:val="00E671BF"/>
    <w:rsid w:val="00E70CE6"/>
    <w:rsid w:val="00E87632"/>
    <w:rsid w:val="00E91C77"/>
    <w:rsid w:val="00E91E8C"/>
    <w:rsid w:val="00E93AE4"/>
    <w:rsid w:val="00EB783E"/>
    <w:rsid w:val="00EC0ED5"/>
    <w:rsid w:val="00EC36EA"/>
    <w:rsid w:val="00EC588B"/>
    <w:rsid w:val="00F32337"/>
    <w:rsid w:val="00F3367A"/>
    <w:rsid w:val="00F4078E"/>
    <w:rsid w:val="00F52EDB"/>
    <w:rsid w:val="00F63205"/>
    <w:rsid w:val="00F71E4C"/>
    <w:rsid w:val="00FA0803"/>
    <w:rsid w:val="00FC4A44"/>
    <w:rsid w:val="00FC68E4"/>
    <w:rsid w:val="00FD2E3D"/>
    <w:rsid w:val="00FF78D6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47D02"/>
  <w15:docId w15:val="{EAB92632-626E-44D9-B9FA-8A8E8F2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C4"/>
  </w:style>
  <w:style w:type="paragraph" w:styleId="Ttulo1">
    <w:name w:val="heading 1"/>
    <w:basedOn w:val="Normal"/>
    <w:next w:val="Normal"/>
    <w:link w:val="Ttulo1Car"/>
    <w:uiPriority w:val="9"/>
    <w:qFormat/>
    <w:rsid w:val="00506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98F"/>
  </w:style>
  <w:style w:type="paragraph" w:styleId="Piedepgina">
    <w:name w:val="footer"/>
    <w:basedOn w:val="Normal"/>
    <w:link w:val="PiedepginaCar"/>
    <w:uiPriority w:val="99"/>
    <w:unhideWhenUsed/>
    <w:rsid w:val="00C569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98F"/>
  </w:style>
  <w:style w:type="paragraph" w:styleId="Textodeglobo">
    <w:name w:val="Balloon Text"/>
    <w:basedOn w:val="Normal"/>
    <w:link w:val="TextodegloboCar"/>
    <w:uiPriority w:val="99"/>
    <w:semiHidden/>
    <w:unhideWhenUsed/>
    <w:rsid w:val="00C569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8F"/>
    <w:rPr>
      <w:rFonts w:ascii="Lucida Grande" w:hAnsi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C5698F"/>
    <w:pPr>
      <w:spacing w:after="120"/>
      <w:ind w:left="283"/>
    </w:pPr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698F"/>
    <w:rPr>
      <w:rFonts w:ascii="Calibri" w:eastAsia="Times New Roman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C5698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5698F"/>
    <w:pPr>
      <w:jc w:val="center"/>
    </w:pPr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C5698F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16314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aliases w:val="Fundamentacion,Footnote,List Paragraph1,NIVEL ONE,Párrafo de lista1,paul2,List Paragraph,Titulo de Fígura,TITULO A,Cuadro 2-1,Bulleted List,Lista vistosa - Énfasis 11,Párrafo de lista2,Titulo parrafo,Punto,3,Iz - Párrafo de lista"/>
    <w:basedOn w:val="Normal"/>
    <w:link w:val="PrrafodelistaCar"/>
    <w:uiPriority w:val="34"/>
    <w:qFormat/>
    <w:rsid w:val="005E66DA"/>
    <w:pPr>
      <w:ind w:left="720"/>
      <w:contextualSpacing/>
    </w:pPr>
  </w:style>
  <w:style w:type="character" w:customStyle="1" w:styleId="PrrafodelistaCar">
    <w:name w:val="Párrafo de lista Car"/>
    <w:aliases w:val="Fundamentacion Car,Footnote Car,List Paragraph1 Car,NIVEL ONE Car,Párrafo de lista1 Car,paul2 Car,List Paragraph Car,Titulo de Fígura Car,TITULO A Car,Cuadro 2-1 Car,Bulleted List Car,Lista vistosa - Énfasis 11 Car,Punto Car,3 Car"/>
    <w:link w:val="Prrafodelista"/>
    <w:uiPriority w:val="34"/>
    <w:qFormat/>
    <w:locked/>
    <w:rsid w:val="00D36754"/>
  </w:style>
  <w:style w:type="table" w:styleId="Tablaconcuadrcula">
    <w:name w:val="Table Grid"/>
    <w:basedOn w:val="Tablanormal"/>
    <w:uiPriority w:val="59"/>
    <w:rsid w:val="00D3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0B7FAD"/>
    <w:rPr>
      <w:rFonts w:eastAsiaTheme="minorHAns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0B7FAD"/>
    <w:rPr>
      <w:rFonts w:eastAsiaTheme="minorHAnsi"/>
      <w:sz w:val="20"/>
      <w:szCs w:val="20"/>
      <w:lang w:val="es-PE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B7FAD"/>
    <w:rPr>
      <w:vertAlign w:val="superscript"/>
    </w:rPr>
  </w:style>
  <w:style w:type="table" w:customStyle="1" w:styleId="214">
    <w:name w:val="214"/>
    <w:basedOn w:val="Tablanormal"/>
    <w:rsid w:val="000B7FAD"/>
    <w:pPr>
      <w:spacing w:after="160" w:line="259" w:lineRule="auto"/>
    </w:pPr>
    <w:rPr>
      <w:rFonts w:ascii="Calibri" w:eastAsia="Calibri" w:hAnsi="Calibri" w:cs="Calibri"/>
      <w:sz w:val="22"/>
      <w:szCs w:val="22"/>
      <w:lang w:val="es-ES" w:eastAsia="es-P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1"/>
    <w:uiPriority w:val="99"/>
    <w:semiHidden/>
    <w:unhideWhenUsed/>
    <w:rsid w:val="000B7FAD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0B7FAD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A46C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6E303-33F3-45F9-A0E2-23292401A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DE7BA-2A86-4153-B172-A978E652BE03}"/>
</file>

<file path=customXml/itemProps3.xml><?xml version="1.0" encoding="utf-8"?>
<ds:datastoreItem xmlns:ds="http://schemas.openxmlformats.org/officeDocument/2006/customXml" ds:itemID="{90F69AFE-45E4-4E66-9F07-C5B9848EAB82}"/>
</file>

<file path=customXml/itemProps4.xml><?xml version="1.0" encoding="utf-8"?>
<ds:datastoreItem xmlns:ds="http://schemas.openxmlformats.org/officeDocument/2006/customXml" ds:itemID="{AAAAAA4F-BC04-4000-AC5A-EF9601830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PCM</dc:creator>
  <cp:lastModifiedBy>Administrador</cp:lastModifiedBy>
  <cp:revision>2</cp:revision>
  <cp:lastPrinted>2021-02-17T15:50:00Z</cp:lastPrinted>
  <dcterms:created xsi:type="dcterms:W3CDTF">2021-12-10T23:38:00Z</dcterms:created>
  <dcterms:modified xsi:type="dcterms:W3CDTF">2021-12-10T23:38:00Z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