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D17" w:rsidRPr="00DB152F" w:rsidRDefault="003F1396" w:rsidP="001F0D17">
      <w:pPr>
        <w:jc w:val="center"/>
        <w:rPr>
          <w:rFonts w:ascii="Bookman Old Style" w:hAnsi="Bookman Old Style"/>
          <w:b/>
          <w:color w:val="002060"/>
        </w:rPr>
      </w:pPr>
      <w:bookmarkStart w:id="0" w:name="_GoBack"/>
      <w:bookmarkEnd w:id="0"/>
      <w:r>
        <w:rPr>
          <w:rFonts w:cs="Arial"/>
          <w:b/>
          <w:bCs/>
          <w:noProof/>
          <w:color w:val="2E74B5"/>
          <w:lang w:val="es-HN" w:eastAsia="es-HN"/>
        </w:rPr>
        <w:drawing>
          <wp:anchor distT="0" distB="0" distL="114300" distR="114300" simplePos="0" relativeHeight="251659264" behindDoc="1" locked="0" layoutInCell="1" allowOverlap="1" wp14:anchorId="283C8E6D" wp14:editId="3630A691">
            <wp:simplePos x="0" y="0"/>
            <wp:positionH relativeFrom="page">
              <wp:posOffset>13335</wp:posOffset>
            </wp:positionH>
            <wp:positionV relativeFrom="margin">
              <wp:posOffset>-969010</wp:posOffset>
            </wp:positionV>
            <wp:extent cx="7754620" cy="1086104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4620" cy="10861040"/>
                    </a:xfrm>
                    <a:prstGeom prst="rect">
                      <a:avLst/>
                    </a:prstGeom>
                    <a:noFill/>
                  </pic:spPr>
                </pic:pic>
              </a:graphicData>
            </a:graphic>
            <wp14:sizeRelH relativeFrom="page">
              <wp14:pctWidth>0</wp14:pctWidth>
            </wp14:sizeRelH>
            <wp14:sizeRelV relativeFrom="page">
              <wp14:pctHeight>0</wp14:pctHeight>
            </wp14:sizeRelV>
          </wp:anchor>
        </w:drawing>
      </w:r>
      <w:r w:rsidR="00C13E4C">
        <w:rPr>
          <w:rFonts w:cs="Arial"/>
          <w:b/>
          <w:bCs/>
          <w:noProof/>
          <w:color w:val="2E74B5"/>
          <w:lang w:val="es-HN" w:eastAsia="es-HN"/>
        </w:rPr>
        <mc:AlternateContent>
          <mc:Choice Requires="wps">
            <w:drawing>
              <wp:anchor distT="45720" distB="45720" distL="114300" distR="114300" simplePos="0" relativeHeight="251661312" behindDoc="1" locked="0" layoutInCell="1" allowOverlap="1" wp14:anchorId="39F72E05" wp14:editId="5AAD3BB9">
                <wp:simplePos x="0" y="0"/>
                <wp:positionH relativeFrom="margin">
                  <wp:posOffset>-613410</wp:posOffset>
                </wp:positionH>
                <wp:positionV relativeFrom="paragraph">
                  <wp:posOffset>4650105</wp:posOffset>
                </wp:positionV>
                <wp:extent cx="7101205" cy="3846195"/>
                <wp:effectExtent l="0" t="0" r="4445" b="1905"/>
                <wp:wrapThrough wrapText="bothSides">
                  <wp:wrapPolygon edited="0">
                    <wp:start x="0" y="0"/>
                    <wp:lineTo x="0" y="21504"/>
                    <wp:lineTo x="21556" y="21504"/>
                    <wp:lineTo x="21556" y="0"/>
                    <wp:lineTo x="0" y="0"/>
                  </wp:wrapPolygon>
                </wp:wrapThrough>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205" cy="384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A43" w:rsidRDefault="00B06A43" w:rsidP="00C13E4C">
                            <w:pPr>
                              <w:jc w:val="center"/>
                              <w:rPr>
                                <w:b/>
                                <w:sz w:val="48"/>
                              </w:rPr>
                            </w:pPr>
                          </w:p>
                          <w:p w:rsidR="00B06A43" w:rsidRDefault="00B06A43" w:rsidP="00C13E4C">
                            <w:pPr>
                              <w:jc w:val="center"/>
                              <w:rPr>
                                <w:b/>
                                <w:color w:val="365F91" w:themeColor="accent1" w:themeShade="BF"/>
                                <w:sz w:val="48"/>
                                <w:szCs w:val="48"/>
                                <w:lang w:val="es-HN"/>
                              </w:rPr>
                            </w:pPr>
                            <w:r>
                              <w:rPr>
                                <w:b/>
                                <w:color w:val="365F91" w:themeColor="accent1" w:themeShade="BF"/>
                                <w:sz w:val="48"/>
                                <w:szCs w:val="48"/>
                                <w:lang w:val="es-HN"/>
                              </w:rPr>
                              <w:t>C</w:t>
                            </w:r>
                            <w:r w:rsidRPr="00C643EF">
                              <w:rPr>
                                <w:b/>
                                <w:color w:val="365F91" w:themeColor="accent1" w:themeShade="BF"/>
                                <w:sz w:val="48"/>
                                <w:szCs w:val="48"/>
                                <w:lang w:val="es-HN"/>
                              </w:rPr>
                              <w:t xml:space="preserve">ontribuciones </w:t>
                            </w:r>
                            <w:r>
                              <w:rPr>
                                <w:b/>
                                <w:color w:val="365F91" w:themeColor="accent1" w:themeShade="BF"/>
                                <w:sz w:val="48"/>
                                <w:szCs w:val="48"/>
                                <w:lang w:val="es-HN"/>
                              </w:rPr>
                              <w:t>al I</w:t>
                            </w:r>
                            <w:r w:rsidRPr="00C643EF">
                              <w:rPr>
                                <w:b/>
                                <w:color w:val="365F91" w:themeColor="accent1" w:themeShade="BF"/>
                                <w:sz w:val="48"/>
                                <w:szCs w:val="48"/>
                                <w:lang w:val="es-HN"/>
                              </w:rPr>
                              <w:t xml:space="preserve">nforme sobre los criterios normativos y las obligaciones en virtud del derecho internacional, respecto de la “Promoción y la </w:t>
                            </w:r>
                            <w:r>
                              <w:rPr>
                                <w:b/>
                                <w:color w:val="365F91" w:themeColor="accent1" w:themeShade="BF"/>
                                <w:sz w:val="48"/>
                                <w:szCs w:val="48"/>
                                <w:lang w:val="es-HN"/>
                              </w:rPr>
                              <w:t>P</w:t>
                            </w:r>
                            <w:r w:rsidRPr="00C643EF">
                              <w:rPr>
                                <w:b/>
                                <w:color w:val="365F91" w:themeColor="accent1" w:themeShade="BF"/>
                                <w:sz w:val="48"/>
                                <w:szCs w:val="48"/>
                                <w:lang w:val="es-HN"/>
                              </w:rPr>
                              <w:t xml:space="preserve">rotección de los </w:t>
                            </w:r>
                            <w:r>
                              <w:rPr>
                                <w:b/>
                                <w:color w:val="365F91" w:themeColor="accent1" w:themeShade="BF"/>
                                <w:sz w:val="48"/>
                                <w:szCs w:val="48"/>
                                <w:lang w:val="es-HN"/>
                              </w:rPr>
                              <w:t>D</w:t>
                            </w:r>
                            <w:r w:rsidRPr="00C643EF">
                              <w:rPr>
                                <w:b/>
                                <w:color w:val="365F91" w:themeColor="accent1" w:themeShade="BF"/>
                                <w:sz w:val="48"/>
                                <w:szCs w:val="48"/>
                                <w:lang w:val="es-HN"/>
                              </w:rPr>
                              <w:t xml:space="preserve">erechos </w:t>
                            </w:r>
                            <w:r>
                              <w:rPr>
                                <w:b/>
                                <w:color w:val="365F91" w:themeColor="accent1" w:themeShade="BF"/>
                                <w:sz w:val="48"/>
                                <w:szCs w:val="48"/>
                                <w:lang w:val="es-HN"/>
                              </w:rPr>
                              <w:t>Humanos de las P</w:t>
                            </w:r>
                            <w:r w:rsidRPr="00C643EF">
                              <w:rPr>
                                <w:b/>
                                <w:color w:val="365F91" w:themeColor="accent1" w:themeShade="BF"/>
                                <w:sz w:val="48"/>
                                <w:szCs w:val="48"/>
                                <w:lang w:val="es-HN"/>
                              </w:rPr>
                              <w:t xml:space="preserve">ersonas de </w:t>
                            </w:r>
                            <w:r>
                              <w:rPr>
                                <w:b/>
                                <w:color w:val="365F91" w:themeColor="accent1" w:themeShade="BF"/>
                                <w:sz w:val="48"/>
                                <w:szCs w:val="48"/>
                                <w:lang w:val="es-HN"/>
                              </w:rPr>
                              <w:t>E</w:t>
                            </w:r>
                            <w:r w:rsidRPr="00C643EF">
                              <w:rPr>
                                <w:b/>
                                <w:color w:val="365F91" w:themeColor="accent1" w:themeShade="BF"/>
                                <w:sz w:val="48"/>
                                <w:szCs w:val="48"/>
                                <w:lang w:val="es-HN"/>
                              </w:rPr>
                              <w:t>dad</w:t>
                            </w:r>
                            <w:r>
                              <w:rPr>
                                <w:b/>
                                <w:color w:val="365F91" w:themeColor="accent1" w:themeShade="BF"/>
                                <w:sz w:val="48"/>
                                <w:szCs w:val="48"/>
                                <w:lang w:val="es-HN"/>
                              </w:rPr>
                              <w:t>”</w:t>
                            </w:r>
                            <w:r w:rsidRPr="00C643EF">
                              <w:rPr>
                                <w:b/>
                                <w:color w:val="365F91" w:themeColor="accent1" w:themeShade="BF"/>
                                <w:sz w:val="48"/>
                                <w:szCs w:val="48"/>
                                <w:lang w:val="es-HN"/>
                              </w:rPr>
                              <w:t>, relacionadas con la resolución 48/3 del Consejo de Derechos Humano</w:t>
                            </w:r>
                            <w:r>
                              <w:rPr>
                                <w:b/>
                                <w:color w:val="365F91" w:themeColor="accent1" w:themeShade="BF"/>
                                <w:sz w:val="48"/>
                                <w:szCs w:val="48"/>
                                <w:lang w:val="es-HN"/>
                              </w:rPr>
                              <w:t>s</w:t>
                            </w:r>
                          </w:p>
                          <w:p w:rsidR="00B06A43" w:rsidRDefault="00B06A43" w:rsidP="00C13E4C">
                            <w:pPr>
                              <w:jc w:val="center"/>
                              <w:rPr>
                                <w:b/>
                                <w:color w:val="365F91" w:themeColor="accent1" w:themeShade="BF"/>
                                <w:sz w:val="48"/>
                                <w:szCs w:val="48"/>
                                <w:lang w:val="es-HN"/>
                              </w:rPr>
                            </w:pPr>
                          </w:p>
                          <w:p w:rsidR="00B06A43" w:rsidRPr="007B25E5" w:rsidRDefault="00B06A43" w:rsidP="00314245">
                            <w:pPr>
                              <w:jc w:val="center"/>
                              <w:rPr>
                                <w:b/>
                                <w:color w:val="365F91" w:themeColor="accent1" w:themeShade="BF"/>
                                <w:sz w:val="32"/>
                                <w:szCs w:val="32"/>
                              </w:rPr>
                            </w:pPr>
                            <w:r>
                              <w:rPr>
                                <w:b/>
                                <w:color w:val="365F91" w:themeColor="accent1" w:themeShade="BF"/>
                                <w:sz w:val="32"/>
                                <w:szCs w:val="32"/>
                              </w:rPr>
                              <w:t>Dra. Iris S. Padilla (UPEG/SESAL)</w:t>
                            </w:r>
                            <w:r w:rsidRPr="007B25E5">
                              <w:rPr>
                                <w:b/>
                                <w:color w:val="365F91" w:themeColor="accent1" w:themeShade="BF"/>
                                <w:sz w:val="32"/>
                                <w:szCs w:val="32"/>
                              </w:rPr>
                              <w:t xml:space="preserve">  </w:t>
                            </w:r>
                          </w:p>
                          <w:p w:rsidR="00B06A43" w:rsidRPr="00AF354F" w:rsidRDefault="00B06A43" w:rsidP="00C13E4C">
                            <w:pPr>
                              <w:jc w:val="center"/>
                              <w:rPr>
                                <w:color w:val="365F91" w:themeColor="accent1" w:themeShade="BF"/>
                              </w:rPr>
                            </w:pPr>
                          </w:p>
                          <w:p w:rsidR="00B06A43" w:rsidRPr="001A3E79" w:rsidRDefault="00B06A43" w:rsidP="00C13E4C">
                            <w:pPr>
                              <w:jc w:val="center"/>
                              <w:rPr>
                                <w:color w:val="365F91" w:themeColor="accent1" w:themeShade="BF"/>
                                <w:sz w:val="32"/>
                                <w:szCs w:val="32"/>
                              </w:rPr>
                            </w:pPr>
                            <w:r w:rsidRPr="000451FF">
                              <w:rPr>
                                <w:color w:val="365F91" w:themeColor="accent1" w:themeShade="BF"/>
                                <w:sz w:val="32"/>
                                <w:szCs w:val="32"/>
                              </w:rPr>
                              <w:t>Honduras</w:t>
                            </w:r>
                            <w:r>
                              <w:rPr>
                                <w:color w:val="365F91" w:themeColor="accent1" w:themeShade="BF"/>
                                <w:sz w:val="32"/>
                                <w:szCs w:val="32"/>
                              </w:rPr>
                              <w:t xml:space="preserve">, noviembre </w:t>
                            </w:r>
                            <w:r w:rsidRPr="001A3E79">
                              <w:rPr>
                                <w:color w:val="365F91" w:themeColor="accent1" w:themeShade="BF"/>
                                <w:sz w:val="32"/>
                                <w:szCs w:val="32"/>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72E05" id="_x0000_t202" coordsize="21600,21600" o:spt="202" path="m,l,21600r21600,l21600,xe">
                <v:stroke joinstyle="miter"/>
                <v:path gradientshapeok="t" o:connecttype="rect"/>
              </v:shapetype>
              <v:shape id="Cuadro de texto 12" o:spid="_x0000_s1026" type="#_x0000_t202" style="position:absolute;left:0;text-align:left;margin-left:-48.3pt;margin-top:366.15pt;width:559.15pt;height:302.8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" stroked="f">
                <v:textbox>
                  <w:txbxContent>
                    <w:p w:rsidR="00B06A43" w:rsidRDefault="00B06A43" w:rsidP="00C13E4C">
                      <w:pPr>
                        <w:jc w:val="center"/>
                        <w:rPr>
                          <w:b/>
                          <w:sz w:val="48"/>
                        </w:rPr>
                      </w:pPr>
                    </w:p>
                    <w:p w:rsidR="00B06A43" w:rsidRDefault="00B06A43" w:rsidP="00C13E4C">
                      <w:pPr>
                        <w:jc w:val="center"/>
                        <w:rPr>
                          <w:b/>
                          <w:color w:val="365F91" w:themeColor="accent1" w:themeShade="BF"/>
                          <w:sz w:val="48"/>
                          <w:szCs w:val="48"/>
                          <w:lang w:val="es-HN"/>
                        </w:rPr>
                      </w:pPr>
                      <w:r>
                        <w:rPr>
                          <w:b/>
                          <w:color w:val="365F91" w:themeColor="accent1" w:themeShade="BF"/>
                          <w:sz w:val="48"/>
                          <w:szCs w:val="48"/>
                          <w:lang w:val="es-HN"/>
                        </w:rPr>
                        <w:t>C</w:t>
                      </w:r>
                      <w:r w:rsidRPr="00C643EF">
                        <w:rPr>
                          <w:b/>
                          <w:color w:val="365F91" w:themeColor="accent1" w:themeShade="BF"/>
                          <w:sz w:val="48"/>
                          <w:szCs w:val="48"/>
                          <w:lang w:val="es-HN"/>
                        </w:rPr>
                        <w:t xml:space="preserve">ontribuciones </w:t>
                      </w:r>
                      <w:r>
                        <w:rPr>
                          <w:b/>
                          <w:color w:val="365F91" w:themeColor="accent1" w:themeShade="BF"/>
                          <w:sz w:val="48"/>
                          <w:szCs w:val="48"/>
                          <w:lang w:val="es-HN"/>
                        </w:rPr>
                        <w:t>al I</w:t>
                      </w:r>
                      <w:r w:rsidRPr="00C643EF">
                        <w:rPr>
                          <w:b/>
                          <w:color w:val="365F91" w:themeColor="accent1" w:themeShade="BF"/>
                          <w:sz w:val="48"/>
                          <w:szCs w:val="48"/>
                          <w:lang w:val="es-HN"/>
                        </w:rPr>
                        <w:t xml:space="preserve">nforme sobre los criterios normativos y las obligaciones en virtud del derecho internacional, respecto de la “Promoción y la </w:t>
                      </w:r>
                      <w:r>
                        <w:rPr>
                          <w:b/>
                          <w:color w:val="365F91" w:themeColor="accent1" w:themeShade="BF"/>
                          <w:sz w:val="48"/>
                          <w:szCs w:val="48"/>
                          <w:lang w:val="es-HN"/>
                        </w:rPr>
                        <w:t>P</w:t>
                      </w:r>
                      <w:r w:rsidRPr="00C643EF">
                        <w:rPr>
                          <w:b/>
                          <w:color w:val="365F91" w:themeColor="accent1" w:themeShade="BF"/>
                          <w:sz w:val="48"/>
                          <w:szCs w:val="48"/>
                          <w:lang w:val="es-HN"/>
                        </w:rPr>
                        <w:t xml:space="preserve">rotección de los </w:t>
                      </w:r>
                      <w:r>
                        <w:rPr>
                          <w:b/>
                          <w:color w:val="365F91" w:themeColor="accent1" w:themeShade="BF"/>
                          <w:sz w:val="48"/>
                          <w:szCs w:val="48"/>
                          <w:lang w:val="es-HN"/>
                        </w:rPr>
                        <w:t>D</w:t>
                      </w:r>
                      <w:r w:rsidRPr="00C643EF">
                        <w:rPr>
                          <w:b/>
                          <w:color w:val="365F91" w:themeColor="accent1" w:themeShade="BF"/>
                          <w:sz w:val="48"/>
                          <w:szCs w:val="48"/>
                          <w:lang w:val="es-HN"/>
                        </w:rPr>
                        <w:t xml:space="preserve">erechos </w:t>
                      </w:r>
                      <w:r>
                        <w:rPr>
                          <w:b/>
                          <w:color w:val="365F91" w:themeColor="accent1" w:themeShade="BF"/>
                          <w:sz w:val="48"/>
                          <w:szCs w:val="48"/>
                          <w:lang w:val="es-HN"/>
                        </w:rPr>
                        <w:t>Humanos de las P</w:t>
                      </w:r>
                      <w:r w:rsidRPr="00C643EF">
                        <w:rPr>
                          <w:b/>
                          <w:color w:val="365F91" w:themeColor="accent1" w:themeShade="BF"/>
                          <w:sz w:val="48"/>
                          <w:szCs w:val="48"/>
                          <w:lang w:val="es-HN"/>
                        </w:rPr>
                        <w:t xml:space="preserve">ersonas de </w:t>
                      </w:r>
                      <w:r>
                        <w:rPr>
                          <w:b/>
                          <w:color w:val="365F91" w:themeColor="accent1" w:themeShade="BF"/>
                          <w:sz w:val="48"/>
                          <w:szCs w:val="48"/>
                          <w:lang w:val="es-HN"/>
                        </w:rPr>
                        <w:t>E</w:t>
                      </w:r>
                      <w:r w:rsidRPr="00C643EF">
                        <w:rPr>
                          <w:b/>
                          <w:color w:val="365F91" w:themeColor="accent1" w:themeShade="BF"/>
                          <w:sz w:val="48"/>
                          <w:szCs w:val="48"/>
                          <w:lang w:val="es-HN"/>
                        </w:rPr>
                        <w:t>dad</w:t>
                      </w:r>
                      <w:r>
                        <w:rPr>
                          <w:b/>
                          <w:color w:val="365F91" w:themeColor="accent1" w:themeShade="BF"/>
                          <w:sz w:val="48"/>
                          <w:szCs w:val="48"/>
                          <w:lang w:val="es-HN"/>
                        </w:rPr>
                        <w:t>”</w:t>
                      </w:r>
                      <w:r w:rsidRPr="00C643EF">
                        <w:rPr>
                          <w:b/>
                          <w:color w:val="365F91" w:themeColor="accent1" w:themeShade="BF"/>
                          <w:sz w:val="48"/>
                          <w:szCs w:val="48"/>
                          <w:lang w:val="es-HN"/>
                        </w:rPr>
                        <w:t>, relacionadas con la resolución 48/3 del Consejo de Derechos Humano</w:t>
                      </w:r>
                      <w:r>
                        <w:rPr>
                          <w:b/>
                          <w:color w:val="365F91" w:themeColor="accent1" w:themeShade="BF"/>
                          <w:sz w:val="48"/>
                          <w:szCs w:val="48"/>
                          <w:lang w:val="es-HN"/>
                        </w:rPr>
                        <w:t>s</w:t>
                      </w:r>
                    </w:p>
                    <w:p w:rsidR="00B06A43" w:rsidRDefault="00B06A43" w:rsidP="00C13E4C">
                      <w:pPr>
                        <w:jc w:val="center"/>
                        <w:rPr>
                          <w:b/>
                          <w:color w:val="365F91" w:themeColor="accent1" w:themeShade="BF"/>
                          <w:sz w:val="48"/>
                          <w:szCs w:val="48"/>
                          <w:lang w:val="es-HN"/>
                        </w:rPr>
                      </w:pPr>
                    </w:p>
                    <w:p w:rsidR="00B06A43" w:rsidRPr="007B25E5" w:rsidRDefault="00B06A43" w:rsidP="00314245">
                      <w:pPr>
                        <w:jc w:val="center"/>
                        <w:rPr>
                          <w:b/>
                          <w:color w:val="365F91" w:themeColor="accent1" w:themeShade="BF"/>
                          <w:sz w:val="32"/>
                          <w:szCs w:val="32"/>
                        </w:rPr>
                      </w:pPr>
                      <w:r>
                        <w:rPr>
                          <w:b/>
                          <w:color w:val="365F91" w:themeColor="accent1" w:themeShade="BF"/>
                          <w:sz w:val="32"/>
                          <w:szCs w:val="32"/>
                        </w:rPr>
                        <w:t>Dra. Iris S. Padilla (UPEG/SESAL)</w:t>
                      </w:r>
                      <w:r w:rsidRPr="007B25E5">
                        <w:rPr>
                          <w:b/>
                          <w:color w:val="365F91" w:themeColor="accent1" w:themeShade="BF"/>
                          <w:sz w:val="32"/>
                          <w:szCs w:val="32"/>
                        </w:rPr>
                        <w:t xml:space="preserve">  </w:t>
                      </w:r>
                    </w:p>
                    <w:p w:rsidR="00B06A43" w:rsidRPr="00AF354F" w:rsidRDefault="00B06A43" w:rsidP="00C13E4C">
                      <w:pPr>
                        <w:jc w:val="center"/>
                        <w:rPr>
                          <w:color w:val="365F91" w:themeColor="accent1" w:themeShade="BF"/>
                        </w:rPr>
                      </w:pPr>
                    </w:p>
                    <w:p w:rsidR="00B06A43" w:rsidRPr="001A3E79" w:rsidRDefault="00B06A43" w:rsidP="00C13E4C">
                      <w:pPr>
                        <w:jc w:val="center"/>
                        <w:rPr>
                          <w:color w:val="365F91" w:themeColor="accent1" w:themeShade="BF"/>
                          <w:sz w:val="32"/>
                          <w:szCs w:val="32"/>
                        </w:rPr>
                      </w:pPr>
                      <w:r w:rsidRPr="000451FF">
                        <w:rPr>
                          <w:color w:val="365F91" w:themeColor="accent1" w:themeShade="BF"/>
                          <w:sz w:val="32"/>
                          <w:szCs w:val="32"/>
                        </w:rPr>
                        <w:t>Honduras</w:t>
                      </w:r>
                      <w:r>
                        <w:rPr>
                          <w:color w:val="365F91" w:themeColor="accent1" w:themeShade="BF"/>
                          <w:sz w:val="32"/>
                          <w:szCs w:val="32"/>
                        </w:rPr>
                        <w:t xml:space="preserve">, noviembre </w:t>
                      </w:r>
                      <w:r w:rsidRPr="001A3E79">
                        <w:rPr>
                          <w:color w:val="365F91" w:themeColor="accent1" w:themeShade="BF"/>
                          <w:sz w:val="32"/>
                          <w:szCs w:val="32"/>
                        </w:rPr>
                        <w:t>2021</w:t>
                      </w:r>
                    </w:p>
                  </w:txbxContent>
                </v:textbox>
                <w10:wrap type="through" anchorx="margin"/>
              </v:shape>
            </w:pict>
          </mc:Fallback>
        </mc:AlternateContent>
      </w:r>
    </w:p>
    <w:p w:rsidR="006E2491" w:rsidRPr="00DB152F" w:rsidRDefault="006E2491" w:rsidP="00D918CF">
      <w:pPr>
        <w:jc w:val="both"/>
        <w:rPr>
          <w:rFonts w:ascii="Bookman Old Style" w:eastAsia="Times New Roman" w:hAnsi="Bookman Old Style" w:cs="Tahoma"/>
          <w:lang w:val="pt-BR"/>
        </w:rPr>
      </w:pPr>
    </w:p>
    <w:p w:rsidR="004E3637" w:rsidRDefault="004E3637" w:rsidP="0081142A">
      <w:pPr>
        <w:shd w:val="clear" w:color="auto" w:fill="FFFFFF"/>
        <w:spacing w:after="160" w:line="235" w:lineRule="atLeast"/>
        <w:jc w:val="both"/>
        <w:rPr>
          <w:rFonts w:ascii="Bookman Old Style" w:eastAsia="Times New Roman" w:hAnsi="Bookman Old Style" w:cs="Calibri"/>
          <w:color w:val="F79646" w:themeColor="accent6"/>
          <w:lang w:eastAsia="en-US"/>
        </w:rPr>
      </w:pPr>
    </w:p>
    <w:p w:rsidR="004E3637" w:rsidRPr="00940C5E" w:rsidRDefault="004E3637" w:rsidP="00940C5E">
      <w:pPr>
        <w:shd w:val="clear" w:color="auto" w:fill="FFFFFF"/>
        <w:spacing w:after="160" w:line="360" w:lineRule="auto"/>
        <w:jc w:val="both"/>
        <w:rPr>
          <w:rFonts w:ascii="Bookman Old Style" w:eastAsia="Times New Roman" w:hAnsi="Bookman Old Style" w:cs="Arial"/>
          <w:color w:val="222222"/>
          <w:lang w:eastAsia="es-HN"/>
        </w:rPr>
      </w:pPr>
      <w:r w:rsidRPr="00940C5E">
        <w:rPr>
          <w:rFonts w:ascii="Bookman Old Style" w:eastAsia="Times New Roman" w:hAnsi="Bookman Old Style" w:cs="Arial"/>
          <w:color w:val="222222"/>
          <w:lang w:eastAsia="es-HN"/>
        </w:rPr>
        <w:t xml:space="preserve">El presente documento responde a la comunicación de solicitud de información </w:t>
      </w:r>
      <w:r w:rsidR="00C71CB3" w:rsidRPr="00940C5E">
        <w:rPr>
          <w:rFonts w:ascii="Bookman Old Style" w:eastAsia="Times New Roman" w:hAnsi="Bookman Old Style" w:cs="Arial"/>
          <w:color w:val="222222"/>
          <w:lang w:eastAsia="es-HN"/>
        </w:rPr>
        <w:t xml:space="preserve">hecha a la Secretaria de Salud (SESAL) por </w:t>
      </w:r>
      <w:r w:rsidRPr="00940C5E">
        <w:rPr>
          <w:rFonts w:ascii="Bookman Old Style" w:eastAsia="Times New Roman" w:hAnsi="Bookman Old Style" w:cs="Arial"/>
          <w:color w:val="222222"/>
          <w:lang w:eastAsia="es-HN"/>
        </w:rPr>
        <w:t xml:space="preserve">la Secretaria de Derechos Humanos </w:t>
      </w:r>
      <w:r w:rsidR="00C71CB3" w:rsidRPr="00940C5E">
        <w:rPr>
          <w:rFonts w:ascii="Bookman Old Style" w:eastAsia="Times New Roman" w:hAnsi="Bookman Old Style" w:cs="Arial"/>
          <w:color w:val="222222"/>
          <w:lang w:eastAsia="es-HN"/>
        </w:rPr>
        <w:t>de</w:t>
      </w:r>
      <w:r w:rsidRPr="00940C5E">
        <w:rPr>
          <w:rFonts w:ascii="Bookman Old Style" w:eastAsia="Times New Roman" w:hAnsi="Bookman Old Style" w:cs="Arial"/>
          <w:color w:val="222222"/>
          <w:lang w:eastAsia="es-HN"/>
        </w:rPr>
        <w:t xml:space="preserve"> parte de la Abogada Nolvia Amador, relacionada con </w:t>
      </w:r>
      <w:r w:rsidR="00C643EF" w:rsidRPr="00940C5E">
        <w:rPr>
          <w:rFonts w:ascii="Bookman Old Style" w:eastAsia="Times New Roman" w:hAnsi="Bookman Old Style" w:cs="Arial"/>
          <w:color w:val="222222"/>
          <w:lang w:eastAsia="es-HN"/>
        </w:rPr>
        <w:t>contribuciones para el informe sobre los criterios normativos y las obligaciones en virtud del derecho internacional, respecto de la “Promoción y la protección de los derechos humanos de las personas de edad, relacionadas con la resolución 48/3 del Consejo de Derechos Humanos</w:t>
      </w:r>
      <w:r w:rsidRPr="00940C5E">
        <w:rPr>
          <w:rFonts w:ascii="Bookman Old Style" w:eastAsia="Times New Roman" w:hAnsi="Bookman Old Style" w:cs="Arial"/>
          <w:color w:val="222222"/>
          <w:lang w:eastAsia="es-HN"/>
        </w:rPr>
        <w:t>.</w:t>
      </w:r>
    </w:p>
    <w:p w:rsidR="00D2484F" w:rsidRPr="00AE2E79" w:rsidRDefault="00C71CB3" w:rsidP="00940C5E">
      <w:pPr>
        <w:spacing w:before="240" w:after="160" w:line="360" w:lineRule="auto"/>
        <w:jc w:val="both"/>
        <w:rPr>
          <w:rFonts w:ascii="Bookman Old Style" w:eastAsiaTheme="minorHAnsi" w:hAnsi="Bookman Old Style" w:cs="Arial"/>
        </w:rPr>
      </w:pPr>
      <w:r w:rsidRPr="00AE2E79">
        <w:rPr>
          <w:rFonts w:ascii="Bookman Old Style" w:eastAsiaTheme="minorHAnsi" w:hAnsi="Bookman Old Style" w:cs="Arial"/>
        </w:rPr>
        <w:t>En virtud de lo anterior</w:t>
      </w:r>
      <w:r w:rsidR="00DA0320">
        <w:rPr>
          <w:rFonts w:ascii="Bookman Old Style" w:eastAsiaTheme="minorHAnsi" w:hAnsi="Bookman Old Style" w:cs="Arial"/>
        </w:rPr>
        <w:t>,</w:t>
      </w:r>
      <w:r w:rsidRPr="00AE2E79">
        <w:rPr>
          <w:rFonts w:ascii="Bookman Old Style" w:eastAsiaTheme="minorHAnsi" w:hAnsi="Bookman Old Style" w:cs="Arial"/>
        </w:rPr>
        <w:t xml:space="preserve"> se </w:t>
      </w:r>
      <w:r w:rsidR="00C643EF" w:rsidRPr="00AE2E79">
        <w:rPr>
          <w:rFonts w:ascii="Bookman Old Style" w:eastAsiaTheme="minorHAnsi" w:hAnsi="Bookman Old Style" w:cs="Arial"/>
        </w:rPr>
        <w:t xml:space="preserve">solicitó información a diferentes </w:t>
      </w:r>
      <w:r w:rsidRPr="00AE2E79">
        <w:rPr>
          <w:rFonts w:ascii="Bookman Old Style" w:eastAsiaTheme="minorHAnsi" w:hAnsi="Bookman Old Style" w:cs="Arial"/>
        </w:rPr>
        <w:t xml:space="preserve">unidades ejecutoras de Nivel Central de la SESAL, recibiendo </w:t>
      </w:r>
      <w:r w:rsidR="00C643EF" w:rsidRPr="00AE2E79">
        <w:rPr>
          <w:rFonts w:ascii="Bookman Old Style" w:eastAsiaTheme="minorHAnsi" w:hAnsi="Bookman Old Style" w:cs="Arial"/>
        </w:rPr>
        <w:t>aportes de</w:t>
      </w:r>
      <w:r w:rsidRPr="00AE2E79">
        <w:rPr>
          <w:rFonts w:ascii="Bookman Old Style" w:eastAsiaTheme="minorHAnsi" w:hAnsi="Bookman Old Style" w:cs="Arial"/>
        </w:rPr>
        <w:t xml:space="preserve">: </w:t>
      </w:r>
      <w:r w:rsidR="004E3637" w:rsidRPr="00AE2E79">
        <w:rPr>
          <w:rFonts w:ascii="Bookman Old Style" w:eastAsiaTheme="minorHAnsi" w:hAnsi="Bookman Old Style" w:cs="Arial"/>
        </w:rPr>
        <w:t xml:space="preserve"> </w:t>
      </w:r>
      <w:r w:rsidRPr="00AE2E79">
        <w:rPr>
          <w:rFonts w:ascii="Bookman Old Style" w:eastAsiaTheme="minorHAnsi" w:hAnsi="Bookman Old Style" w:cs="Arial"/>
        </w:rPr>
        <w:t>Unidad de Planeamiento y Evaluación de la Gestión (UPEG), Dirección General de Vigilancia del Marco Normativo (DGVMN), Dirección General de Normalización</w:t>
      </w:r>
      <w:r w:rsidR="00AE2E79" w:rsidRPr="00AE2E79">
        <w:rPr>
          <w:rFonts w:ascii="Bookman Old Style" w:eastAsiaTheme="minorHAnsi" w:hAnsi="Bookman Old Style" w:cs="Arial"/>
        </w:rPr>
        <w:t xml:space="preserve"> (DGN)</w:t>
      </w:r>
      <w:r w:rsidRPr="00AE2E79">
        <w:rPr>
          <w:rFonts w:ascii="Bookman Old Style" w:eastAsiaTheme="minorHAnsi" w:hAnsi="Bookman Old Style" w:cs="Arial"/>
        </w:rPr>
        <w:t xml:space="preserve">, </w:t>
      </w:r>
      <w:r w:rsidR="00C643EF" w:rsidRPr="00AE2E79">
        <w:rPr>
          <w:rFonts w:ascii="Bookman Old Style" w:eastAsiaTheme="minorHAnsi" w:hAnsi="Bookman Old Style" w:cs="Arial"/>
        </w:rPr>
        <w:t>Dpto.</w:t>
      </w:r>
      <w:r w:rsidR="00AE2E79" w:rsidRPr="00AE2E79">
        <w:rPr>
          <w:rFonts w:ascii="Bookman Old Style" w:eastAsiaTheme="minorHAnsi" w:hAnsi="Bookman Old Style" w:cs="Arial"/>
        </w:rPr>
        <w:t xml:space="preserve"> de Servicios de </w:t>
      </w:r>
      <w:r w:rsidR="00C643EF" w:rsidRPr="00AE2E79">
        <w:rPr>
          <w:rFonts w:ascii="Bookman Old Style" w:eastAsiaTheme="minorHAnsi" w:hAnsi="Bookman Old Style" w:cs="Arial"/>
        </w:rPr>
        <w:t xml:space="preserve">Primer Nivel de Atención, Dpto. </w:t>
      </w:r>
      <w:r w:rsidR="00AE2E79" w:rsidRPr="00AE2E79">
        <w:rPr>
          <w:rFonts w:ascii="Bookman Old Style" w:eastAsiaTheme="minorHAnsi" w:hAnsi="Bookman Old Style" w:cs="Arial"/>
        </w:rPr>
        <w:t xml:space="preserve">de Servicios de </w:t>
      </w:r>
      <w:r w:rsidR="00C643EF" w:rsidRPr="00AE2E79">
        <w:rPr>
          <w:rFonts w:ascii="Bookman Old Style" w:eastAsiaTheme="minorHAnsi" w:hAnsi="Bookman Old Style" w:cs="Arial"/>
        </w:rPr>
        <w:t xml:space="preserve">Segundo Nivel de Atención, </w:t>
      </w:r>
      <w:r w:rsidR="00CD3A25" w:rsidRPr="00CD3A25">
        <w:rPr>
          <w:rFonts w:ascii="Bookman Old Style" w:eastAsiaTheme="minorHAnsi" w:hAnsi="Bookman Old Style" w:cs="Arial"/>
        </w:rPr>
        <w:t xml:space="preserve">Área de Estadística (AES), </w:t>
      </w:r>
      <w:r w:rsidR="00E169C1" w:rsidRPr="00E169C1">
        <w:rPr>
          <w:rFonts w:ascii="Bookman Old Style" w:eastAsiaTheme="minorHAnsi" w:hAnsi="Bookman Old Style" w:cs="Arial"/>
          <w:highlight w:val="yellow"/>
        </w:rPr>
        <w:t>Dirección General de Redes Integradas de Servicios de Salud (DGRISS),</w:t>
      </w:r>
      <w:r w:rsidR="00E169C1">
        <w:rPr>
          <w:rFonts w:ascii="Bookman Old Style" w:eastAsiaTheme="minorHAnsi" w:hAnsi="Bookman Old Style" w:cs="Arial"/>
          <w:highlight w:val="yellow"/>
        </w:rPr>
        <w:t xml:space="preserve"> </w:t>
      </w:r>
      <w:r w:rsidR="00E169C1" w:rsidRPr="00E169C1">
        <w:rPr>
          <w:rFonts w:ascii="Bookman Old Style" w:eastAsiaTheme="minorHAnsi" w:hAnsi="Bookman Old Style" w:cs="Arial"/>
          <w:highlight w:val="yellow"/>
        </w:rPr>
        <w:t>Unidad de Cooperación Externa y Movilización de Recursos, Unidad Técnica de Gestión de Proyectos (UTGP),</w:t>
      </w:r>
      <w:r w:rsidR="00E169C1">
        <w:rPr>
          <w:rFonts w:ascii="Bookman Old Style" w:eastAsia="Times New Roman" w:hAnsi="Bookman Old Style" w:cs="Calibri"/>
          <w:color w:val="1D2228"/>
          <w:sz w:val="22"/>
          <w:szCs w:val="22"/>
          <w:lang w:val="es-HN" w:eastAsia="en-US"/>
        </w:rPr>
        <w:t xml:space="preserve"> </w:t>
      </w:r>
      <w:r w:rsidR="00645EA8" w:rsidRPr="00AE2E79">
        <w:rPr>
          <w:rFonts w:ascii="Bookman Old Style" w:eastAsiaTheme="minorHAnsi" w:hAnsi="Bookman Old Style" w:cs="Arial"/>
          <w:highlight w:val="yellow"/>
        </w:rPr>
        <w:t>PENDIENTE</w:t>
      </w:r>
      <w:r w:rsidR="00D2484F" w:rsidRPr="00AE2E79">
        <w:rPr>
          <w:rFonts w:ascii="Bookman Old Style" w:eastAsiaTheme="minorHAnsi" w:hAnsi="Bookman Old Style" w:cs="Arial"/>
          <w:highlight w:val="yellow"/>
        </w:rPr>
        <w:t>.</w:t>
      </w:r>
      <w:r w:rsidR="00D2484F" w:rsidRPr="00AE2E79">
        <w:rPr>
          <w:rFonts w:ascii="Bookman Old Style" w:eastAsiaTheme="minorHAnsi" w:hAnsi="Bookman Old Style" w:cs="Arial"/>
        </w:rPr>
        <w:t xml:space="preserve"> </w:t>
      </w:r>
    </w:p>
    <w:p w:rsidR="0081142A" w:rsidRPr="00AE2E79" w:rsidRDefault="0081142A" w:rsidP="0081142A">
      <w:pPr>
        <w:rPr>
          <w:rFonts w:ascii="Bookman Old Style" w:eastAsia="Times New Roman" w:hAnsi="Bookman Old Style"/>
          <w:lang w:eastAsia="en-US"/>
        </w:rPr>
      </w:pPr>
    </w:p>
    <w:p w:rsidR="00D2484F" w:rsidRPr="00AE2E79" w:rsidRDefault="00D2484F" w:rsidP="0081142A">
      <w:pPr>
        <w:rPr>
          <w:rFonts w:ascii="Bookman Old Style" w:eastAsia="Times New Roman" w:hAnsi="Bookman Old Style"/>
          <w:lang w:eastAsia="en-US"/>
        </w:rPr>
      </w:pPr>
    </w:p>
    <w:p w:rsidR="0081142A" w:rsidRPr="00920BA2" w:rsidRDefault="00AE2E79" w:rsidP="00684201">
      <w:pPr>
        <w:shd w:val="clear" w:color="auto" w:fill="FFFFFF"/>
        <w:spacing w:after="160" w:line="235" w:lineRule="atLeast"/>
        <w:jc w:val="center"/>
        <w:rPr>
          <w:rFonts w:ascii="Bookman Old Style" w:eastAsiaTheme="minorHAnsi" w:hAnsi="Bookman Old Style" w:cs="Arial"/>
          <w:color w:val="365F91" w:themeColor="accent1" w:themeShade="BF"/>
        </w:rPr>
      </w:pPr>
      <w:r w:rsidRPr="00920BA2">
        <w:rPr>
          <w:rFonts w:ascii="Bookman Old Style" w:eastAsiaTheme="minorHAnsi" w:hAnsi="Bookman Old Style" w:cs="Arial"/>
          <w:b/>
          <w:color w:val="365F91" w:themeColor="accent1" w:themeShade="BF"/>
          <w:sz w:val="32"/>
          <w:szCs w:val="32"/>
        </w:rPr>
        <w:t>CONTRIBUCIONES SEGÚN PETICION</w:t>
      </w:r>
      <w:r w:rsidRPr="00920BA2">
        <w:rPr>
          <w:rFonts w:ascii="Bookman Old Style" w:eastAsiaTheme="minorHAnsi" w:hAnsi="Bookman Old Style" w:cs="Arial"/>
          <w:color w:val="365F91" w:themeColor="accent1" w:themeShade="BF"/>
        </w:rPr>
        <w:t xml:space="preserve"> </w:t>
      </w:r>
    </w:p>
    <w:p w:rsidR="00D2484F" w:rsidRPr="00920BA2" w:rsidRDefault="00D2484F" w:rsidP="00684201">
      <w:pPr>
        <w:shd w:val="clear" w:color="auto" w:fill="FFFFFF"/>
        <w:spacing w:after="160" w:line="235" w:lineRule="atLeast"/>
        <w:jc w:val="center"/>
        <w:rPr>
          <w:rFonts w:ascii="Bookman Old Style" w:eastAsiaTheme="minorHAnsi" w:hAnsi="Bookman Old Style" w:cs="Arial"/>
          <w:color w:val="365F91" w:themeColor="accent1" w:themeShade="BF"/>
        </w:rPr>
      </w:pPr>
    </w:p>
    <w:p w:rsidR="00B54FAE" w:rsidRPr="00920BA2" w:rsidRDefault="00AE2E79" w:rsidP="00B54FAE">
      <w:pPr>
        <w:pStyle w:val="Prrafodelista"/>
        <w:numPr>
          <w:ilvl w:val="0"/>
          <w:numId w:val="35"/>
        </w:numPr>
        <w:shd w:val="clear" w:color="auto" w:fill="FFFFFF"/>
        <w:spacing w:after="160" w:line="235" w:lineRule="atLeast"/>
        <w:jc w:val="both"/>
        <w:rPr>
          <w:rFonts w:ascii="Bookman Old Style" w:eastAsiaTheme="minorHAnsi" w:hAnsi="Bookman Old Style" w:cs="Arial"/>
          <w:color w:val="365F91" w:themeColor="accent1" w:themeShade="BF"/>
        </w:rPr>
      </w:pPr>
      <w:r w:rsidRPr="00920BA2">
        <w:rPr>
          <w:rFonts w:ascii="Bookman Old Style" w:eastAsiaTheme="minorHAnsi" w:hAnsi="Bookman Old Style" w:cs="Arial"/>
          <w:color w:val="365F91" w:themeColor="accent1" w:themeShade="BF"/>
        </w:rPr>
        <w:t>Brindar información sobre políticas, legislación, mecanismos, fondos, estadísticas, proyectos y programas, que se realicen desde sus instituciones en virtud de la promoción y protección de derechos humanos para las personas de edad (adulto mayor). </w:t>
      </w:r>
    </w:p>
    <w:p w:rsidR="00262A44" w:rsidRDefault="00262A44" w:rsidP="00262A44">
      <w:pPr>
        <w:shd w:val="clear" w:color="auto" w:fill="FFFFFF"/>
        <w:spacing w:after="160" w:line="235" w:lineRule="atLeast"/>
        <w:jc w:val="both"/>
        <w:rPr>
          <w:rFonts w:ascii="Bookman Old Style" w:eastAsiaTheme="minorHAnsi" w:hAnsi="Bookman Old Style" w:cs="Arial"/>
        </w:rPr>
      </w:pPr>
      <w:r w:rsidRPr="00262A44">
        <w:rPr>
          <w:rFonts w:ascii="Bookman Old Style" w:eastAsiaTheme="minorHAnsi" w:hAnsi="Bookman Old Style" w:cs="Arial"/>
        </w:rPr>
        <w:t xml:space="preserve">La población adulta mayor en Honduras es entre el 7 y 8 por ciento del total de la población lo cual asciende a un aproximado de 800,000 personas según datos de INE 2019. Teniendo en cuenta que el programa Nacional de Atención Integral al Adulto Mayor desapareció con la estructura Organizativa promovida en el Sistema Nacional de Salud en el año 2014 cuando se implementa el nuevo Modelo Nacional de salud, en el cual las acciones antes realizadas por el programa serian dirigidas por </w:t>
      </w:r>
      <w:r w:rsidRPr="00262A44">
        <w:rPr>
          <w:rFonts w:ascii="Bookman Old Style" w:eastAsiaTheme="minorHAnsi" w:hAnsi="Bookman Old Style" w:cs="Arial"/>
        </w:rPr>
        <w:lastRenderedPageBreak/>
        <w:t>cada una de las Direcciones Generales de acuerdo a su competencia, y en el cual la población Adulta Mayor es considerada una población Vulnerable y por tanto priorizada para su abordaje integral en los establecimientos de salud del país.</w:t>
      </w:r>
    </w:p>
    <w:p w:rsidR="00985AD0" w:rsidRDefault="00985AD0" w:rsidP="00985AD0">
      <w:pPr>
        <w:shd w:val="clear" w:color="auto" w:fill="FFFFFF"/>
        <w:spacing w:after="160" w:line="235" w:lineRule="atLeast"/>
        <w:jc w:val="both"/>
      </w:pPr>
      <w:r w:rsidRPr="00985AD0">
        <w:rPr>
          <w:rFonts w:ascii="Bookman Old Style" w:eastAsiaTheme="minorHAnsi" w:hAnsi="Bookman Old Style" w:cs="Arial"/>
        </w:rPr>
        <w:t xml:space="preserve">El gobierno de la República de Honduras a través del decreto ejecutivo número PCM051-2017 publicado en el diario oficial La Gaceta No. 34438 con fecha 8 de septiembre del 2017 establece el Modelo Nacional de Salud en el cual prioriza la atención de salud integral a los adultos mayores en toda su Red de establecimientos de salud teniendo una cobertura universal para los adultos mayores en condición de pobreza y con discapacidad, y complementando la atención a través de los equipos de salud familiar (ESFAM) con evaluaciones periódicas domiciliarias y organización comunitaria para los adultos mayores. </w:t>
      </w:r>
      <w:r>
        <w:t>(</w:t>
      </w:r>
      <w:hyperlink r:id="rId9" w:history="1">
        <w:r w:rsidRPr="001C0866">
          <w:rPr>
            <w:rStyle w:val="Hipervnculo"/>
          </w:rPr>
          <w:t>http://www.consejosecretariosdeestado.gob.hn/2017/PCM%20051-2017.pdf</w:t>
        </w:r>
      </w:hyperlink>
      <w:r>
        <w:t xml:space="preserve"> )</w:t>
      </w:r>
    </w:p>
    <w:p w:rsidR="00036642" w:rsidRPr="00036642" w:rsidRDefault="00036642" w:rsidP="00036642">
      <w:pPr>
        <w:shd w:val="clear" w:color="auto" w:fill="FFFFFF"/>
        <w:spacing w:after="160" w:line="235" w:lineRule="atLeast"/>
        <w:jc w:val="both"/>
        <w:rPr>
          <w:rFonts w:ascii="Bookman Old Style" w:eastAsiaTheme="minorHAnsi" w:hAnsi="Bookman Old Style" w:cs="Arial"/>
        </w:rPr>
      </w:pPr>
      <w:r w:rsidRPr="00036642">
        <w:rPr>
          <w:rFonts w:ascii="Bookman Old Style" w:eastAsiaTheme="minorHAnsi" w:hAnsi="Bookman Old Style" w:cs="Arial"/>
        </w:rPr>
        <w:t>De acuerdo al Modelo Nacional de Salud, proporciona las líneas de dirección para el acceso a un conjunto garantizado de servicios de salud equitativo solidario y financieramente sostenible, las prestaciones se definen por curso de vida y están normadas como: Promoción, Prevención, Curación y Rehabilitación, enfatizando buenas prácticas y estilos de vida saludable (alimentación, ejercicio, higiene y recreación).</w:t>
      </w:r>
    </w:p>
    <w:p w:rsidR="00036642" w:rsidRPr="00036642" w:rsidRDefault="00036642" w:rsidP="00036642">
      <w:pPr>
        <w:shd w:val="clear" w:color="auto" w:fill="FFFFFF"/>
        <w:spacing w:after="160" w:line="235" w:lineRule="atLeast"/>
        <w:jc w:val="both"/>
        <w:rPr>
          <w:rFonts w:ascii="Bookman Old Style" w:eastAsiaTheme="minorHAnsi" w:hAnsi="Bookman Old Style" w:cs="Arial"/>
        </w:rPr>
      </w:pPr>
      <w:r w:rsidRPr="00036642">
        <w:rPr>
          <w:rFonts w:ascii="Bookman Old Style" w:eastAsiaTheme="minorHAnsi" w:hAnsi="Bookman Old Style" w:cs="Arial"/>
        </w:rPr>
        <w:t>En el componente de atención provisión, se definen los mecanismos para la detección del riesgo y enfermedades, a grupos priorizados promoviendo que las prestaciones sean oportunas y con calidad en el sistema nacional de salud.</w:t>
      </w:r>
    </w:p>
    <w:p w:rsidR="00036642" w:rsidRPr="00036642" w:rsidRDefault="00036642" w:rsidP="00036642">
      <w:pPr>
        <w:shd w:val="clear" w:color="auto" w:fill="FFFFFF"/>
        <w:spacing w:after="160" w:line="235" w:lineRule="atLeast"/>
        <w:jc w:val="both"/>
        <w:rPr>
          <w:rFonts w:ascii="Bookman Old Style" w:eastAsiaTheme="minorHAnsi" w:hAnsi="Bookman Old Style" w:cs="Arial"/>
        </w:rPr>
      </w:pPr>
      <w:r w:rsidRPr="00036642">
        <w:rPr>
          <w:rFonts w:ascii="Bookman Old Style" w:eastAsiaTheme="minorHAnsi" w:hAnsi="Bookman Old Style" w:cs="Arial"/>
        </w:rPr>
        <w:t>Las regiones sanitarias han avanzado en la implementación del modelo a través de los equipos de salud familiar en las redes integradas de servicios de salud y disponen de fichas familiares y fichas seguimiento individual del riesgo, priorizando a la población clave en condición de niñez, adolescencia, adultez y adulto mayor.</w:t>
      </w:r>
    </w:p>
    <w:p w:rsidR="00985AD0" w:rsidRPr="00036642" w:rsidRDefault="00036642" w:rsidP="00036642">
      <w:pPr>
        <w:shd w:val="clear" w:color="auto" w:fill="FFFFFF"/>
        <w:spacing w:after="160" w:line="235" w:lineRule="atLeast"/>
        <w:jc w:val="both"/>
        <w:rPr>
          <w:rFonts w:ascii="Bookman Old Style" w:eastAsiaTheme="minorHAnsi" w:hAnsi="Bookman Old Style" w:cs="Arial"/>
        </w:rPr>
      </w:pPr>
      <w:r w:rsidRPr="00036642">
        <w:rPr>
          <w:rFonts w:ascii="Bookman Old Style" w:eastAsiaTheme="minorHAnsi" w:hAnsi="Bookman Old Style" w:cs="Arial"/>
        </w:rPr>
        <w:t>En este contexto del componente del modelo se privilegia a grupos de población más postergados, vulnerables y con menor oportunidad de acceso a los servicios de salud.</w:t>
      </w:r>
    </w:p>
    <w:p w:rsidR="00036642" w:rsidRDefault="00036642" w:rsidP="00985AD0">
      <w:pPr>
        <w:shd w:val="clear" w:color="auto" w:fill="FFFFFF"/>
        <w:spacing w:after="160" w:line="235" w:lineRule="atLeast"/>
        <w:jc w:val="both"/>
        <w:rPr>
          <w:rFonts w:ascii="Bookman Old Style" w:eastAsiaTheme="minorHAnsi" w:hAnsi="Bookman Old Style" w:cs="Arial"/>
          <w:b/>
          <w:color w:val="365F91" w:themeColor="accent1" w:themeShade="BF"/>
        </w:rPr>
      </w:pPr>
    </w:p>
    <w:p w:rsidR="00985AD0" w:rsidRPr="00985AD0" w:rsidRDefault="00985AD0" w:rsidP="00985AD0">
      <w:pPr>
        <w:shd w:val="clear" w:color="auto" w:fill="FFFFFF"/>
        <w:spacing w:after="160" w:line="235" w:lineRule="atLeast"/>
        <w:jc w:val="both"/>
        <w:rPr>
          <w:rFonts w:ascii="Bookman Old Style" w:eastAsiaTheme="minorHAnsi" w:hAnsi="Bookman Old Style" w:cs="Arial"/>
          <w:b/>
          <w:color w:val="365F91" w:themeColor="accent1" w:themeShade="BF"/>
        </w:rPr>
      </w:pPr>
      <w:r w:rsidRPr="00985AD0">
        <w:rPr>
          <w:rFonts w:ascii="Bookman Old Style" w:eastAsiaTheme="minorHAnsi" w:hAnsi="Bookman Old Style" w:cs="Arial"/>
          <w:b/>
          <w:color w:val="365F91" w:themeColor="accent1" w:themeShade="BF"/>
        </w:rPr>
        <w:t xml:space="preserve">En relación al servicio integral de salud que responda a las necesidades de las personas mayores </w:t>
      </w:r>
    </w:p>
    <w:p w:rsidR="00985AD0" w:rsidRDefault="00985AD0" w:rsidP="00985AD0">
      <w:pPr>
        <w:shd w:val="clear" w:color="auto" w:fill="FFFFFF"/>
        <w:spacing w:after="160" w:line="235" w:lineRule="atLeast"/>
        <w:jc w:val="both"/>
        <w:rPr>
          <w:rFonts w:ascii="Bookman Old Style" w:eastAsiaTheme="minorHAnsi" w:hAnsi="Bookman Old Style" w:cs="Arial"/>
        </w:rPr>
      </w:pPr>
      <w:r w:rsidRPr="00985AD0">
        <w:rPr>
          <w:rFonts w:ascii="Bookman Old Style" w:eastAsiaTheme="minorHAnsi" w:hAnsi="Bookman Old Style" w:cs="Arial"/>
        </w:rPr>
        <w:t>La población adulta mayor es una de las poblaciones Priorizadas. Esto se puede evidenciar en los Planes Nacionales de salud, 2014-2018 y 2018- 2022.</w:t>
      </w:r>
    </w:p>
    <w:p w:rsidR="000F2CA2" w:rsidRPr="000F2CA2" w:rsidRDefault="000F2CA2" w:rsidP="000F2CA2">
      <w:pPr>
        <w:jc w:val="both"/>
        <w:rPr>
          <w:rFonts w:ascii="Bookman Old Style" w:eastAsiaTheme="minorHAnsi" w:hAnsi="Bookman Old Style" w:cs="Arial"/>
        </w:rPr>
      </w:pPr>
      <w:r w:rsidRPr="000F2CA2">
        <w:rPr>
          <w:rFonts w:ascii="Bookman Old Style" w:eastAsiaTheme="minorHAnsi" w:hAnsi="Bookman Old Style" w:cs="Arial"/>
        </w:rPr>
        <w:lastRenderedPageBreak/>
        <w:t>A la vez, de acuerdo a los Objetivos de Desarrollo Sostenible 3 “Salud para todos” se disponen del Plan Estratégico Institucional PEI 2018-2022 (Objetivos 8 y 9) se describen las prestaciones para el adulto mayor.</w:t>
      </w:r>
    </w:p>
    <w:p w:rsidR="000F2CA2" w:rsidRPr="000F2CA2" w:rsidRDefault="000F2CA2" w:rsidP="000F2CA2">
      <w:pPr>
        <w:jc w:val="both"/>
        <w:rPr>
          <w:rFonts w:ascii="Bookman Old Style" w:hAnsi="Bookman Old Style"/>
          <w:color w:val="000000"/>
          <w:lang w:eastAsia="es-HN"/>
        </w:rPr>
      </w:pPr>
      <w:r w:rsidRPr="000F2CA2">
        <w:rPr>
          <w:rFonts w:ascii="Bookman Old Style" w:hAnsi="Bookman Old Style"/>
          <w:b/>
        </w:rPr>
        <w:t>OE 8</w:t>
      </w:r>
      <w:r w:rsidRPr="000F2CA2">
        <w:rPr>
          <w:rFonts w:ascii="Bookman Old Style" w:hAnsi="Bookman Old Style"/>
        </w:rPr>
        <w:t xml:space="preserve"> </w:t>
      </w:r>
      <w:r w:rsidRPr="000F2CA2">
        <w:rPr>
          <w:rFonts w:ascii="Bookman Old Style" w:hAnsi="Bookman Old Style"/>
          <w:u w:val="single"/>
        </w:rPr>
        <w:t>Mejorar el control y manejo de las enfermedades crónicas no transmisibles priorizadas</w:t>
      </w:r>
      <w:r w:rsidRPr="000F2CA2">
        <w:rPr>
          <w:rFonts w:ascii="Bookman Old Style" w:hAnsi="Bookman Old Style"/>
          <w:color w:val="000000"/>
          <w:lang w:eastAsia="es-HN"/>
        </w:rPr>
        <w:t xml:space="preserve"> </w:t>
      </w:r>
    </w:p>
    <w:p w:rsidR="000F2CA2" w:rsidRPr="00753434" w:rsidRDefault="000F2CA2" w:rsidP="000F2CA2">
      <w:pPr>
        <w:jc w:val="both"/>
        <w:rPr>
          <w:color w:val="000000"/>
          <w:lang w:eastAsia="es-HN"/>
        </w:rPr>
      </w:pPr>
    </w:p>
    <w:p w:rsidR="000F2CA2" w:rsidRPr="000F2CA2" w:rsidRDefault="000F2CA2" w:rsidP="000F2CA2">
      <w:pPr>
        <w:pStyle w:val="Prrafodelista"/>
        <w:numPr>
          <w:ilvl w:val="0"/>
          <w:numId w:val="39"/>
        </w:numPr>
        <w:jc w:val="both"/>
        <w:rPr>
          <w:rFonts w:ascii="Bookman Old Style" w:hAnsi="Bookman Old Style"/>
          <w:color w:val="000000"/>
          <w:lang w:eastAsia="es-HN"/>
        </w:rPr>
      </w:pPr>
      <w:r w:rsidRPr="000F2CA2">
        <w:rPr>
          <w:rFonts w:ascii="Bookman Old Style" w:hAnsi="Bookman Old Style"/>
          <w:color w:val="000000"/>
          <w:lang w:eastAsia="es-HN"/>
        </w:rPr>
        <w:t xml:space="preserve">Acciones de Prevención a la población por Hipertensión, Atención Clínica por hipertensión Arterial </w:t>
      </w:r>
    </w:p>
    <w:p w:rsidR="000F2CA2" w:rsidRPr="000F2CA2" w:rsidRDefault="000F2CA2" w:rsidP="000F2CA2">
      <w:pPr>
        <w:pStyle w:val="Prrafodelista"/>
        <w:numPr>
          <w:ilvl w:val="0"/>
          <w:numId w:val="39"/>
        </w:numPr>
        <w:jc w:val="both"/>
        <w:rPr>
          <w:rFonts w:ascii="Bookman Old Style" w:hAnsi="Bookman Old Style"/>
          <w:color w:val="000000"/>
          <w:lang w:eastAsia="es-HN"/>
        </w:rPr>
      </w:pPr>
      <w:r w:rsidRPr="000F2CA2">
        <w:rPr>
          <w:rFonts w:ascii="Bookman Old Style" w:hAnsi="Bookman Old Style"/>
          <w:color w:val="000000"/>
          <w:lang w:eastAsia="es-HN"/>
        </w:rPr>
        <w:t xml:space="preserve">Acciones de promoción por Hipertensión Arterial. </w:t>
      </w:r>
    </w:p>
    <w:p w:rsidR="000F2CA2" w:rsidRPr="000F2CA2" w:rsidRDefault="000F2CA2" w:rsidP="000F2CA2">
      <w:pPr>
        <w:pStyle w:val="Prrafodelista"/>
        <w:numPr>
          <w:ilvl w:val="0"/>
          <w:numId w:val="39"/>
        </w:numPr>
        <w:jc w:val="both"/>
        <w:rPr>
          <w:rFonts w:ascii="Bookman Old Style" w:hAnsi="Bookman Old Style"/>
          <w:color w:val="000000"/>
          <w:lang w:eastAsia="es-HN"/>
        </w:rPr>
      </w:pPr>
      <w:r w:rsidRPr="000F2CA2">
        <w:rPr>
          <w:rFonts w:ascii="Bookman Old Style" w:hAnsi="Bookman Old Style"/>
          <w:color w:val="000000"/>
          <w:lang w:eastAsia="es-HN"/>
        </w:rPr>
        <w:t xml:space="preserve">Acciones de promoción a la población sobre Diabetes Mellitus </w:t>
      </w:r>
    </w:p>
    <w:p w:rsidR="000F2CA2" w:rsidRPr="000F2CA2" w:rsidRDefault="000F2CA2" w:rsidP="000F2CA2">
      <w:pPr>
        <w:pStyle w:val="Prrafodelista"/>
        <w:numPr>
          <w:ilvl w:val="0"/>
          <w:numId w:val="39"/>
        </w:numPr>
        <w:jc w:val="both"/>
        <w:rPr>
          <w:rFonts w:ascii="Bookman Old Style" w:hAnsi="Bookman Old Style"/>
          <w:color w:val="000000"/>
          <w:lang w:eastAsia="es-HN"/>
        </w:rPr>
      </w:pPr>
      <w:r w:rsidRPr="000F2CA2">
        <w:rPr>
          <w:rFonts w:ascii="Bookman Old Style" w:hAnsi="Bookman Old Style"/>
          <w:color w:val="000000"/>
          <w:lang w:eastAsia="es-HN"/>
        </w:rPr>
        <w:t xml:space="preserve">Acciones de Prevención a la población por Diabetes Mellitus </w:t>
      </w:r>
    </w:p>
    <w:p w:rsidR="000F2CA2" w:rsidRPr="000F2CA2" w:rsidRDefault="000F2CA2" w:rsidP="000F2CA2">
      <w:pPr>
        <w:pStyle w:val="Prrafodelista"/>
        <w:numPr>
          <w:ilvl w:val="0"/>
          <w:numId w:val="39"/>
        </w:numPr>
        <w:jc w:val="both"/>
        <w:rPr>
          <w:rFonts w:ascii="Bookman Old Style" w:hAnsi="Bookman Old Style"/>
          <w:color w:val="000000"/>
          <w:lang w:eastAsia="es-HN"/>
        </w:rPr>
      </w:pPr>
      <w:r w:rsidRPr="000F2CA2">
        <w:rPr>
          <w:rFonts w:ascii="Bookman Old Style" w:hAnsi="Bookman Old Style"/>
          <w:color w:val="000000"/>
          <w:lang w:eastAsia="es-HN"/>
        </w:rPr>
        <w:t xml:space="preserve">Atención Clínica por Diabetes Mellitus </w:t>
      </w:r>
    </w:p>
    <w:p w:rsidR="000F2CA2" w:rsidRPr="000F2CA2" w:rsidRDefault="000F2CA2" w:rsidP="000F2CA2">
      <w:pPr>
        <w:pStyle w:val="Prrafodelista"/>
        <w:numPr>
          <w:ilvl w:val="0"/>
          <w:numId w:val="39"/>
        </w:numPr>
        <w:jc w:val="both"/>
        <w:rPr>
          <w:rFonts w:ascii="Bookman Old Style" w:hAnsi="Bookman Old Style"/>
          <w:color w:val="000000"/>
          <w:lang w:eastAsia="es-HN"/>
        </w:rPr>
      </w:pPr>
      <w:r w:rsidRPr="000F2CA2">
        <w:rPr>
          <w:rFonts w:ascii="Bookman Old Style" w:hAnsi="Bookman Old Style"/>
          <w:color w:val="000000"/>
          <w:lang w:eastAsia="es-HN"/>
        </w:rPr>
        <w:t xml:space="preserve">Acciones de promoción por enfermedad oncológica priorizada a la población. </w:t>
      </w:r>
    </w:p>
    <w:p w:rsidR="000F2CA2" w:rsidRPr="001B046E" w:rsidRDefault="000F2CA2" w:rsidP="000F2CA2">
      <w:pPr>
        <w:pStyle w:val="Prrafodelista"/>
        <w:numPr>
          <w:ilvl w:val="0"/>
          <w:numId w:val="39"/>
        </w:numPr>
        <w:jc w:val="both"/>
        <w:rPr>
          <w:color w:val="000000"/>
          <w:lang w:eastAsia="es-HN"/>
        </w:rPr>
      </w:pPr>
      <w:r w:rsidRPr="000F2CA2">
        <w:rPr>
          <w:rFonts w:ascii="Bookman Old Style" w:hAnsi="Bookman Old Style"/>
          <w:color w:val="000000"/>
          <w:lang w:eastAsia="es-HN"/>
        </w:rPr>
        <w:t>Otras acciones de prevención por enfermedad oncológica priorizada a la población</w:t>
      </w:r>
    </w:p>
    <w:p w:rsidR="000F2CA2" w:rsidRPr="001B046E" w:rsidRDefault="000F2CA2" w:rsidP="000F2CA2">
      <w:pPr>
        <w:jc w:val="both"/>
        <w:rPr>
          <w:b/>
        </w:rPr>
      </w:pPr>
    </w:p>
    <w:p w:rsidR="000F2CA2" w:rsidRPr="000F2CA2" w:rsidRDefault="000F2CA2" w:rsidP="000F2CA2">
      <w:pPr>
        <w:jc w:val="both"/>
        <w:rPr>
          <w:rFonts w:ascii="Bookman Old Style" w:hAnsi="Bookman Old Style"/>
          <w:b/>
          <w:u w:val="single"/>
        </w:rPr>
      </w:pPr>
      <w:r w:rsidRPr="000F2CA2">
        <w:rPr>
          <w:rFonts w:ascii="Bookman Old Style" w:hAnsi="Bookman Old Style"/>
          <w:b/>
        </w:rPr>
        <w:t>OE 9</w:t>
      </w:r>
      <w:r w:rsidRPr="000F2CA2">
        <w:rPr>
          <w:rFonts w:ascii="Bookman Old Style" w:hAnsi="Bookman Old Style"/>
        </w:rPr>
        <w:t xml:space="preserve"> </w:t>
      </w:r>
      <w:r w:rsidRPr="000F2CA2">
        <w:rPr>
          <w:rFonts w:ascii="Bookman Old Style" w:hAnsi="Bookman Old Style"/>
          <w:u w:val="single"/>
        </w:rPr>
        <w:t>Mejorar Implementar intervenciones por curso de vida para mitigar el riesgo de enfermar y morir en la población</w:t>
      </w:r>
    </w:p>
    <w:p w:rsidR="000F2CA2" w:rsidRPr="000F2CA2" w:rsidRDefault="000F2CA2" w:rsidP="000F2CA2">
      <w:pPr>
        <w:pStyle w:val="Prrafodelista"/>
        <w:numPr>
          <w:ilvl w:val="0"/>
          <w:numId w:val="38"/>
        </w:numPr>
        <w:spacing w:after="200" w:line="276" w:lineRule="auto"/>
        <w:jc w:val="both"/>
        <w:rPr>
          <w:rFonts w:ascii="Bookman Old Style" w:hAnsi="Bookman Old Style"/>
          <w:color w:val="000000"/>
          <w:lang w:eastAsia="es-HN"/>
        </w:rPr>
      </w:pPr>
      <w:r w:rsidRPr="000F2CA2">
        <w:rPr>
          <w:rFonts w:ascii="Bookman Old Style" w:hAnsi="Bookman Old Style"/>
          <w:color w:val="000000"/>
          <w:lang w:eastAsia="es-HN"/>
        </w:rPr>
        <w:t>Acciones de Promoción no Priorizadas a Grupos y Enfermedades</w:t>
      </w:r>
    </w:p>
    <w:p w:rsidR="000F2CA2" w:rsidRPr="000F2CA2" w:rsidRDefault="000F2CA2" w:rsidP="000F2CA2">
      <w:pPr>
        <w:pStyle w:val="Prrafodelista"/>
        <w:numPr>
          <w:ilvl w:val="0"/>
          <w:numId w:val="38"/>
        </w:numPr>
        <w:spacing w:after="200" w:line="276" w:lineRule="auto"/>
        <w:jc w:val="both"/>
        <w:rPr>
          <w:rFonts w:ascii="Bookman Old Style" w:hAnsi="Bookman Old Style"/>
          <w:color w:val="000000"/>
          <w:lang w:eastAsia="es-HN"/>
        </w:rPr>
      </w:pPr>
      <w:r w:rsidRPr="000F2CA2">
        <w:rPr>
          <w:rFonts w:ascii="Bookman Old Style" w:hAnsi="Bookman Old Style"/>
          <w:color w:val="000000"/>
          <w:lang w:eastAsia="es-HN"/>
        </w:rPr>
        <w:t>Referencia y respuesta en las regiones priorizadas</w:t>
      </w:r>
    </w:p>
    <w:p w:rsidR="000F2CA2" w:rsidRPr="000F2CA2" w:rsidRDefault="000F2CA2" w:rsidP="000F2CA2">
      <w:pPr>
        <w:pStyle w:val="Prrafodelista"/>
        <w:numPr>
          <w:ilvl w:val="0"/>
          <w:numId w:val="38"/>
        </w:numPr>
        <w:spacing w:after="200" w:line="276" w:lineRule="auto"/>
        <w:jc w:val="both"/>
        <w:rPr>
          <w:rFonts w:ascii="Bookman Old Style" w:hAnsi="Bookman Old Style"/>
          <w:color w:val="000000"/>
          <w:lang w:eastAsia="es-HN"/>
        </w:rPr>
      </w:pPr>
      <w:r w:rsidRPr="000F2CA2">
        <w:rPr>
          <w:rFonts w:ascii="Bookman Old Style" w:hAnsi="Bookman Old Style"/>
          <w:color w:val="000000"/>
          <w:lang w:eastAsia="es-HN"/>
        </w:rPr>
        <w:t>Atención Clínica por COVID-19</w:t>
      </w:r>
    </w:p>
    <w:p w:rsidR="000F2CA2" w:rsidRPr="000F2CA2" w:rsidRDefault="000F2CA2" w:rsidP="000F2CA2">
      <w:pPr>
        <w:pStyle w:val="Prrafodelista"/>
        <w:numPr>
          <w:ilvl w:val="0"/>
          <w:numId w:val="38"/>
        </w:numPr>
        <w:spacing w:after="200" w:line="276" w:lineRule="auto"/>
        <w:jc w:val="both"/>
        <w:rPr>
          <w:rFonts w:ascii="Bookman Old Style" w:hAnsi="Bookman Old Style"/>
          <w:b/>
          <w:u w:val="single"/>
        </w:rPr>
      </w:pPr>
      <w:r w:rsidRPr="000F2CA2">
        <w:rPr>
          <w:rFonts w:ascii="Bookman Old Style" w:hAnsi="Bookman Old Style"/>
          <w:color w:val="000000"/>
          <w:lang w:eastAsia="es-HN"/>
        </w:rPr>
        <w:t xml:space="preserve">Acciones de Vacunación contra el COVID-19 priorizando a los adultos mayores </w:t>
      </w:r>
    </w:p>
    <w:p w:rsidR="000F2CA2" w:rsidRPr="000F2CA2" w:rsidRDefault="000F2CA2" w:rsidP="000F2CA2">
      <w:pPr>
        <w:pStyle w:val="Prrafodelista"/>
        <w:numPr>
          <w:ilvl w:val="0"/>
          <w:numId w:val="38"/>
        </w:numPr>
        <w:spacing w:after="200" w:line="276" w:lineRule="auto"/>
        <w:jc w:val="both"/>
        <w:rPr>
          <w:rFonts w:ascii="Bookman Old Style" w:hAnsi="Bookman Old Style"/>
          <w:b/>
          <w:u w:val="single"/>
        </w:rPr>
      </w:pPr>
      <w:r w:rsidRPr="000F2CA2">
        <w:rPr>
          <w:rFonts w:ascii="Bookman Old Style" w:hAnsi="Bookman Old Style"/>
          <w:color w:val="000000"/>
          <w:lang w:eastAsia="es-HN"/>
        </w:rPr>
        <w:t>Configuración de los servicios COVID en la RISS.</w:t>
      </w:r>
    </w:p>
    <w:p w:rsidR="00985AD0" w:rsidRPr="00985AD0" w:rsidRDefault="00985AD0" w:rsidP="00985AD0">
      <w:pPr>
        <w:shd w:val="clear" w:color="auto" w:fill="FFFFFF"/>
        <w:spacing w:after="160" w:line="235" w:lineRule="atLeast"/>
        <w:jc w:val="both"/>
        <w:rPr>
          <w:rFonts w:ascii="Bookman Old Style" w:eastAsiaTheme="minorHAnsi" w:hAnsi="Bookman Old Style" w:cs="Arial"/>
        </w:rPr>
      </w:pPr>
      <w:r w:rsidRPr="00985AD0">
        <w:rPr>
          <w:rFonts w:ascii="Bookman Old Style" w:eastAsiaTheme="minorHAnsi" w:hAnsi="Bookman Old Style" w:cs="Arial"/>
        </w:rPr>
        <w:t xml:space="preserve">La cobertura en salud de la Republica de Honduras es universal y gratuita para toda la Población, incluyendo por supuesto la población Adulta Mayor; se cuenta con los suministros y medicamentos para dar atenciones las enfermedades crónicas y degenerativas, pero con el número creciente de la población, incremento de la esperanza de vida y también la mayor incidencia de enfermedades crónicas y degenerativas nunca es suficiente y aunque se hace el mayor esfuerzo, siempre hay un porcentaje de desabastecimiento. </w:t>
      </w:r>
    </w:p>
    <w:p w:rsidR="00985AD0" w:rsidRPr="00985AD0" w:rsidRDefault="00985AD0" w:rsidP="00985AD0">
      <w:pPr>
        <w:shd w:val="clear" w:color="auto" w:fill="FFFFFF"/>
        <w:spacing w:after="160" w:line="235" w:lineRule="atLeast"/>
        <w:jc w:val="both"/>
        <w:rPr>
          <w:rFonts w:ascii="Bookman Old Style" w:eastAsiaTheme="minorHAnsi" w:hAnsi="Bookman Old Style" w:cs="Arial"/>
        </w:rPr>
      </w:pPr>
      <w:r w:rsidRPr="00985AD0">
        <w:rPr>
          <w:rFonts w:ascii="Bookman Old Style" w:eastAsiaTheme="minorHAnsi" w:hAnsi="Bookman Old Style" w:cs="Arial"/>
        </w:rPr>
        <w:t>El país cuenta con acceso gratuito y universal a los medicamentos básicos o a las ayudas y servicios de rehabilitación para las personas mayores a través de las redes de establecimientos de salud del primer nivel y segundo nivel de atención del sistema público y con los establecimientos en modalidad de servicios descentralizados y sub rogados</w:t>
      </w:r>
    </w:p>
    <w:p w:rsidR="00985AD0" w:rsidRPr="00985AD0" w:rsidRDefault="00985AD0" w:rsidP="00985AD0">
      <w:pPr>
        <w:shd w:val="clear" w:color="auto" w:fill="FFFFFF"/>
        <w:spacing w:after="160" w:line="235" w:lineRule="atLeast"/>
        <w:jc w:val="both"/>
        <w:rPr>
          <w:rFonts w:ascii="Bookman Old Style" w:eastAsiaTheme="minorHAnsi" w:hAnsi="Bookman Old Style" w:cs="Arial"/>
        </w:rPr>
      </w:pPr>
      <w:r w:rsidRPr="00985AD0">
        <w:rPr>
          <w:rFonts w:ascii="Bookman Old Style" w:eastAsiaTheme="minorHAnsi" w:hAnsi="Bookman Old Style" w:cs="Arial"/>
        </w:rPr>
        <w:t xml:space="preserve">Las resoluciones e interrogantes planteadas por el 48 periodo de sesiones del Consejo de los Derechos Humanos de Naciones Unidas van relacionadas básicamente hacia las formas discriminación para las personas mayores. En tal sentido es de destacar que el Sistema </w:t>
      </w:r>
      <w:r>
        <w:rPr>
          <w:rFonts w:ascii="Bookman Old Style" w:eastAsiaTheme="minorHAnsi" w:hAnsi="Bookman Old Style" w:cs="Arial"/>
        </w:rPr>
        <w:t>N</w:t>
      </w:r>
      <w:r w:rsidRPr="00985AD0">
        <w:rPr>
          <w:rFonts w:ascii="Bookman Old Style" w:eastAsiaTheme="minorHAnsi" w:hAnsi="Bookman Old Style" w:cs="Arial"/>
        </w:rPr>
        <w:t xml:space="preserve">acional </w:t>
      </w:r>
      <w:r w:rsidRPr="00985AD0">
        <w:rPr>
          <w:rFonts w:ascii="Bookman Old Style" w:eastAsiaTheme="minorHAnsi" w:hAnsi="Bookman Old Style" w:cs="Arial"/>
        </w:rPr>
        <w:lastRenderedPageBreak/>
        <w:t xml:space="preserve">de Salud condena y combate cualquier forma de discriminación contra cualquier grupo poblacional, en este caso específico con los Adultos mayores, Tomándolo como una prioridad dentro de nuestro </w:t>
      </w:r>
      <w:r>
        <w:rPr>
          <w:rFonts w:ascii="Bookman Old Style" w:eastAsiaTheme="minorHAnsi" w:hAnsi="Bookman Old Style" w:cs="Arial"/>
        </w:rPr>
        <w:t>M</w:t>
      </w:r>
      <w:r w:rsidRPr="00985AD0">
        <w:rPr>
          <w:rFonts w:ascii="Bookman Old Style" w:eastAsiaTheme="minorHAnsi" w:hAnsi="Bookman Old Style" w:cs="Arial"/>
        </w:rPr>
        <w:t xml:space="preserve">odelo </w:t>
      </w:r>
      <w:r>
        <w:rPr>
          <w:rFonts w:ascii="Bookman Old Style" w:eastAsiaTheme="minorHAnsi" w:hAnsi="Bookman Old Style" w:cs="Arial"/>
        </w:rPr>
        <w:t>Nacional de Salud y los P</w:t>
      </w:r>
      <w:r w:rsidRPr="00985AD0">
        <w:rPr>
          <w:rFonts w:ascii="Bookman Old Style" w:eastAsiaTheme="minorHAnsi" w:hAnsi="Bookman Old Style" w:cs="Arial"/>
        </w:rPr>
        <w:t xml:space="preserve">lanes de </w:t>
      </w:r>
      <w:r>
        <w:rPr>
          <w:rFonts w:ascii="Bookman Old Style" w:eastAsiaTheme="minorHAnsi" w:hAnsi="Bookman Old Style" w:cs="Arial"/>
        </w:rPr>
        <w:t>S</w:t>
      </w:r>
      <w:r w:rsidRPr="00985AD0">
        <w:rPr>
          <w:rFonts w:ascii="Bookman Old Style" w:eastAsiaTheme="minorHAnsi" w:hAnsi="Bookman Old Style" w:cs="Arial"/>
        </w:rPr>
        <w:t xml:space="preserve">alud para los periodos gubernamentales. </w:t>
      </w:r>
    </w:p>
    <w:p w:rsidR="00985AD0" w:rsidRPr="00985AD0" w:rsidRDefault="00985AD0" w:rsidP="00985AD0">
      <w:pPr>
        <w:shd w:val="clear" w:color="auto" w:fill="FFFFFF"/>
        <w:spacing w:after="160" w:line="235" w:lineRule="atLeast"/>
        <w:jc w:val="both"/>
        <w:rPr>
          <w:rFonts w:ascii="Bookman Old Style" w:eastAsiaTheme="minorHAnsi" w:hAnsi="Bookman Old Style" w:cs="Arial"/>
        </w:rPr>
      </w:pPr>
      <w:r w:rsidRPr="00985AD0">
        <w:rPr>
          <w:rFonts w:ascii="Bookman Old Style" w:eastAsiaTheme="minorHAnsi" w:hAnsi="Bookman Old Style" w:cs="Arial"/>
        </w:rPr>
        <w:t>Para evitar cualquier actitud discriminatoria la Secretaria de Salud ha desarrollado la estrategia de “</w:t>
      </w:r>
      <w:r>
        <w:rPr>
          <w:rFonts w:ascii="Bookman Old Style" w:eastAsiaTheme="minorHAnsi" w:hAnsi="Bookman Old Style" w:cs="Arial"/>
        </w:rPr>
        <w:t>A</w:t>
      </w:r>
      <w:r w:rsidRPr="00985AD0">
        <w:rPr>
          <w:rFonts w:ascii="Bookman Old Style" w:eastAsiaTheme="minorHAnsi" w:hAnsi="Bookman Old Style" w:cs="Arial"/>
        </w:rPr>
        <w:t xml:space="preserve">tención </w:t>
      </w:r>
      <w:r>
        <w:rPr>
          <w:rFonts w:ascii="Bookman Old Style" w:eastAsiaTheme="minorHAnsi" w:hAnsi="Bookman Old Style" w:cs="Arial"/>
        </w:rPr>
        <w:t>P</w:t>
      </w:r>
      <w:r w:rsidRPr="00985AD0">
        <w:rPr>
          <w:rFonts w:ascii="Bookman Old Style" w:eastAsiaTheme="minorHAnsi" w:hAnsi="Bookman Old Style" w:cs="Arial"/>
        </w:rPr>
        <w:t xml:space="preserve">referencial y </w:t>
      </w:r>
      <w:r>
        <w:rPr>
          <w:rFonts w:ascii="Bookman Old Style" w:eastAsiaTheme="minorHAnsi" w:hAnsi="Bookman Old Style" w:cs="Arial"/>
        </w:rPr>
        <w:t>P</w:t>
      </w:r>
      <w:r w:rsidRPr="00985AD0">
        <w:rPr>
          <w:rFonts w:ascii="Bookman Old Style" w:eastAsiaTheme="minorHAnsi" w:hAnsi="Bookman Old Style" w:cs="Arial"/>
        </w:rPr>
        <w:t xml:space="preserve">rioritaria para las </w:t>
      </w:r>
      <w:r>
        <w:rPr>
          <w:rFonts w:ascii="Bookman Old Style" w:eastAsiaTheme="minorHAnsi" w:hAnsi="Bookman Old Style" w:cs="Arial"/>
        </w:rPr>
        <w:t>Personas M</w:t>
      </w:r>
      <w:r w:rsidRPr="00985AD0">
        <w:rPr>
          <w:rFonts w:ascii="Bookman Old Style" w:eastAsiaTheme="minorHAnsi" w:hAnsi="Bookman Old Style" w:cs="Arial"/>
        </w:rPr>
        <w:t>ayores</w:t>
      </w:r>
      <w:r>
        <w:rPr>
          <w:rFonts w:ascii="Bookman Old Style" w:eastAsiaTheme="minorHAnsi" w:hAnsi="Bookman Old Style" w:cs="Arial"/>
        </w:rPr>
        <w:t>”</w:t>
      </w:r>
      <w:r w:rsidRPr="00985AD0">
        <w:rPr>
          <w:rFonts w:ascii="Bookman Old Style" w:eastAsiaTheme="minorHAnsi" w:hAnsi="Bookman Old Style" w:cs="Arial"/>
        </w:rPr>
        <w:t>, que consiste en atender en las primeras horas, disminuir su tiempo de espera, eliminación de filas, atención preferencial en ventanillas, eliminación de barreras arquitectónicas y otras.</w:t>
      </w:r>
    </w:p>
    <w:p w:rsidR="009425EB" w:rsidRDefault="00845010" w:rsidP="009425EB">
      <w:pPr>
        <w:pStyle w:val="Prrafodelista"/>
        <w:ind w:left="0"/>
        <w:jc w:val="both"/>
        <w:rPr>
          <w:rFonts w:ascii="Bookman Old Style" w:eastAsiaTheme="minorHAnsi" w:hAnsi="Bookman Old Style" w:cs="Arial"/>
        </w:rPr>
      </w:pPr>
      <w:r w:rsidRPr="00845010">
        <w:rPr>
          <w:rFonts w:ascii="Bookman Old Style" w:eastAsiaTheme="minorHAnsi" w:hAnsi="Bookman Old Style" w:cs="Arial"/>
        </w:rPr>
        <w:t>La política Nacional de envejecimiento y el adulto mayor (PCM-005-2021)</w:t>
      </w:r>
      <w:r w:rsidRPr="00540592">
        <w:t xml:space="preserve"> </w:t>
      </w:r>
      <w:r>
        <w:t>(</w:t>
      </w:r>
      <w:hyperlink r:id="rId10" w:history="1">
        <w:r w:rsidRPr="0016779B">
          <w:rPr>
            <w:rStyle w:val="Hipervnculo"/>
          </w:rPr>
          <w:t>https://www.tsc.gob.hn/biblioteca/index.php/varios/1003-politica-nacional-de-envejecimiento-y-del-adulto-mayor-2021-2050</w:t>
        </w:r>
      </w:hyperlink>
      <w:r>
        <w:t xml:space="preserve">) </w:t>
      </w:r>
      <w:r w:rsidRPr="00845010">
        <w:rPr>
          <w:rFonts w:ascii="Bookman Old Style" w:eastAsiaTheme="minorHAnsi" w:hAnsi="Bookman Old Style" w:cs="Arial"/>
        </w:rPr>
        <w:t>plantea como principios orientadores la equidad, igualdad y dignidad entre otras, como líneas estratégicas plantea la atención Diferenciada en salud para las personas mayores en lo que ya se trabaja, habiéndose establecido una serie de atenciones en el Conjunto Garantizado de Prestaciones de servicios que brinda la red de servicios de salud a nivel nacional. También se ha elaborado la ”Guía de evaluación integral al adulto mayor”</w:t>
      </w:r>
      <w:r>
        <w:t xml:space="preserve"> (</w:t>
      </w:r>
      <w:hyperlink r:id="rId11" w:history="1">
        <w:r w:rsidRPr="008B3B29">
          <w:rPr>
            <w:rStyle w:val="Hipervnculo"/>
          </w:rPr>
          <w:t>http://www.salud.gob.hn/site/index.php/component/edocman/guia-de-evaluacion-integral-al-adulto-mayor</w:t>
        </w:r>
      </w:hyperlink>
      <w:r>
        <w:t xml:space="preserve">) </w:t>
      </w:r>
      <w:r w:rsidR="002F79C0">
        <w:t>(</w:t>
      </w:r>
      <w:r w:rsidR="002F79C0" w:rsidRPr="002F79C0">
        <w:t>RESOLUCION No. 01 - DGN -2020- G30:2019 del 13 Enero de 2020</w:t>
      </w:r>
      <w:r w:rsidR="002F79C0">
        <w:t xml:space="preserve">), </w:t>
      </w:r>
      <w:r>
        <w:t xml:space="preserve"> </w:t>
      </w:r>
      <w:r w:rsidR="002F79C0">
        <w:rPr>
          <w:rFonts w:ascii="Bookman Old Style" w:eastAsiaTheme="minorHAnsi" w:hAnsi="Bookman Old Style" w:cs="Arial"/>
        </w:rPr>
        <w:t>la</w:t>
      </w:r>
      <w:r w:rsidRPr="00845010">
        <w:rPr>
          <w:rFonts w:ascii="Bookman Old Style" w:eastAsiaTheme="minorHAnsi" w:hAnsi="Bookman Old Style" w:cs="Arial"/>
        </w:rPr>
        <w:t xml:space="preserve"> cual establece los estándares mínimos de evaluación y atención que se debe brindar al adulto mayor en los establecimiento</w:t>
      </w:r>
      <w:r w:rsidR="009425EB">
        <w:rPr>
          <w:rFonts w:ascii="Bookman Old Style" w:eastAsiaTheme="minorHAnsi" w:hAnsi="Bookman Old Style" w:cs="Arial"/>
        </w:rPr>
        <w:t>s del primer nivel de atención.</w:t>
      </w:r>
    </w:p>
    <w:p w:rsidR="009425EB" w:rsidRDefault="009425EB" w:rsidP="009425EB">
      <w:pPr>
        <w:pStyle w:val="Prrafodelista"/>
        <w:ind w:left="0"/>
        <w:jc w:val="both"/>
        <w:rPr>
          <w:rFonts w:ascii="Bookman Old Style" w:eastAsiaTheme="minorHAnsi" w:hAnsi="Bookman Old Style" w:cs="Arial"/>
        </w:rPr>
      </w:pPr>
    </w:p>
    <w:p w:rsidR="009425EB" w:rsidRDefault="009425EB" w:rsidP="009425EB">
      <w:pPr>
        <w:pStyle w:val="Prrafodelista"/>
        <w:ind w:left="0"/>
        <w:jc w:val="both"/>
        <w:rPr>
          <w:rFonts w:ascii="Bookman Old Style" w:eastAsiaTheme="minorHAnsi" w:hAnsi="Bookman Old Style" w:cs="Arial"/>
        </w:rPr>
      </w:pPr>
      <w:r w:rsidRPr="009425EB">
        <w:rPr>
          <w:rFonts w:ascii="Bookman Old Style" w:eastAsiaTheme="minorHAnsi" w:hAnsi="Bookman Old Style" w:cs="Arial"/>
        </w:rPr>
        <w:t>Durante la pandemia el Gobierno adopto medidas para proteger a la población fue el distanciamiento social con aislamiento durante los primeros meses de la pandemia, lo cual tuvo como consecuencia una disminución importante de las atenciones médicas para los adultos mayores, quienes no asistían a los establecimientos de salud por el miedo inminente a una infección con la COVID-19.  Consecuencia de esto fue que un porcentaje importante de la población adulto mayor sufrió descompensaciones en sus enfermedades crónicas, lo que se fue solventando con la apertura paulatina de los servicios y la distribución de medicamentos.</w:t>
      </w:r>
    </w:p>
    <w:p w:rsidR="009425EB" w:rsidRPr="009425EB" w:rsidRDefault="009425EB" w:rsidP="009425EB">
      <w:pPr>
        <w:jc w:val="both"/>
        <w:rPr>
          <w:rFonts w:ascii="Bookman Old Style" w:eastAsiaTheme="minorHAnsi" w:hAnsi="Bookman Old Style" w:cs="Arial"/>
        </w:rPr>
      </w:pPr>
    </w:p>
    <w:p w:rsidR="009425EB" w:rsidRDefault="009425EB" w:rsidP="009425EB">
      <w:pPr>
        <w:jc w:val="both"/>
        <w:rPr>
          <w:rFonts w:ascii="Bookman Old Style" w:eastAsiaTheme="minorHAnsi" w:hAnsi="Bookman Old Style" w:cs="Arial"/>
        </w:rPr>
      </w:pPr>
      <w:r w:rsidRPr="009425EB">
        <w:rPr>
          <w:rFonts w:ascii="Bookman Old Style" w:eastAsiaTheme="minorHAnsi" w:hAnsi="Bookman Old Style" w:cs="Arial"/>
        </w:rPr>
        <w:t xml:space="preserve">De manera simultánea se estableció un plan de comunicación institucional con información básica sobre la enfermedad, y también con estrategias útiles para mantener activa la población dentro del confinamiento, evitar problemas de pánico y depresión, también se habilitaron líneas de asistencia psicológica para pacientes con COVID-19 y sus familiares. La población adulta mayor en residencias y hogares tuvieron medidas más estrictas de aislamiento para evitar contagios masivos, y en ningún </w:t>
      </w:r>
      <w:r w:rsidRPr="009425EB">
        <w:rPr>
          <w:rFonts w:ascii="Bookman Old Style" w:eastAsiaTheme="minorHAnsi" w:hAnsi="Bookman Old Style" w:cs="Arial"/>
        </w:rPr>
        <w:lastRenderedPageBreak/>
        <w:t>momento se detuvo la atención por parte del personal de cuidados, trabajos sociales, psicológicos y de atención médica.</w:t>
      </w:r>
    </w:p>
    <w:p w:rsidR="009425EB" w:rsidRDefault="009425EB" w:rsidP="009425EB">
      <w:pPr>
        <w:jc w:val="both"/>
        <w:rPr>
          <w:rFonts w:ascii="Bookman Old Style" w:eastAsiaTheme="minorHAnsi" w:hAnsi="Bookman Old Style" w:cs="Arial"/>
        </w:rPr>
      </w:pPr>
    </w:p>
    <w:p w:rsidR="00845010" w:rsidRDefault="009425EB" w:rsidP="009425EB">
      <w:pPr>
        <w:jc w:val="both"/>
        <w:rPr>
          <w:rFonts w:ascii="Bookman Old Style" w:eastAsiaTheme="minorHAnsi" w:hAnsi="Bookman Old Style" w:cs="Arial"/>
        </w:rPr>
      </w:pPr>
      <w:r w:rsidRPr="009425EB">
        <w:rPr>
          <w:rFonts w:ascii="Bookman Old Style" w:eastAsiaTheme="minorHAnsi" w:hAnsi="Bookman Old Style" w:cs="Arial"/>
        </w:rPr>
        <w:t>La priorización de las personas Adultas mayores en el proceso de Inmunización fue mandatorio, y la poca cantidad de vacuna que se obtuvo a inicios de la pandemia fue destinada para el personal de primera línea y la Población Adulta mayor, también se elaboró y Aplicó el lineamiento para la prevención y manejo del COVID- 19 en Hogares de Adultos Mayores y personas con discapacidad (DEC 19-19:2020)</w:t>
      </w:r>
      <w:r>
        <w:t xml:space="preserve"> (</w:t>
      </w:r>
      <w:hyperlink r:id="rId12" w:history="1">
        <w:r w:rsidRPr="008B3B29">
          <w:rPr>
            <w:rStyle w:val="Hipervnculo"/>
          </w:rPr>
          <w:t>http://www.salud.gob.hn/site/index.php/component/edocman/lineamientos-para-la-prevencio-n-y-manejo-de-covid-19-hogares</w:t>
        </w:r>
      </w:hyperlink>
      <w:r>
        <w:rPr>
          <w:rStyle w:val="Hipervnculo"/>
        </w:rPr>
        <w:t>).</w:t>
      </w:r>
    </w:p>
    <w:p w:rsidR="005B5511" w:rsidRDefault="005B5511" w:rsidP="005B5511">
      <w:pPr>
        <w:shd w:val="clear" w:color="auto" w:fill="FFFFFF"/>
        <w:jc w:val="both"/>
        <w:rPr>
          <w:rFonts w:ascii="Bookman Old Style" w:eastAsiaTheme="minorHAnsi" w:hAnsi="Bookman Old Style" w:cs="Arial"/>
          <w:b/>
          <w:color w:val="365F91" w:themeColor="accent1" w:themeShade="BF"/>
        </w:rPr>
      </w:pPr>
    </w:p>
    <w:p w:rsidR="005B5511" w:rsidRPr="005B5511" w:rsidRDefault="005B5511" w:rsidP="005B5511">
      <w:pPr>
        <w:shd w:val="clear" w:color="auto" w:fill="FFFFFF"/>
        <w:jc w:val="both"/>
        <w:rPr>
          <w:rFonts w:ascii="Bookman Old Style" w:eastAsia="Times New Roman" w:hAnsi="Bookman Old Style" w:cs="Arial"/>
          <w:color w:val="222222"/>
          <w:lang w:eastAsia="es-HN"/>
        </w:rPr>
      </w:pPr>
      <w:r w:rsidRPr="005B5511">
        <w:rPr>
          <w:rFonts w:ascii="Bookman Old Style" w:eastAsiaTheme="minorHAnsi" w:hAnsi="Bookman Old Style" w:cs="Arial"/>
        </w:rPr>
        <w:t>En</w:t>
      </w:r>
      <w:r w:rsidRPr="005B5511">
        <w:rPr>
          <w:rFonts w:ascii="Bookman Old Style" w:eastAsia="Times New Roman" w:hAnsi="Bookman Old Style" w:cs="Arial"/>
          <w:lang w:eastAsia="es-HN"/>
        </w:rPr>
        <w:t xml:space="preserve"> la </w:t>
      </w:r>
      <w:r w:rsidRPr="005B5511">
        <w:rPr>
          <w:rFonts w:ascii="Bookman Old Style" w:eastAsia="Times New Roman" w:hAnsi="Bookman Old Style" w:cs="Arial"/>
          <w:color w:val="222222"/>
          <w:lang w:eastAsia="es-HN"/>
        </w:rPr>
        <w:t>red de hospitales de la Secretaría de Salud, y en el marco del Modelo de Gestión Hospitalaria y especialmente en el componente de gestión de pacientes se han desarrollado procesos y procedimientos en respuesta a la atención del adulto mayor, tales como:</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Definición de flujos de atención y de tránsito especiales para la atención del adulto mayor, en hospitalización y consulta externa.</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Definición de flujos y organización interna para la atención del adulto mayor en todos los servicios de apoyo.</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Organización en las salas de espera con mobiliario diferenciado para garantizar el confort durante la espera del proceso de atención.</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Identificación de áreas y ventanillas únicas para atención del adulto mayor, por ejemplo, dispensación de medicamentos, gestión de citas, otros.</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Mejora en la infraestructura a través de: construcción de rampas de acceso a las diferentes áreas del hospital, disponibilidad de sillas de ruedas en áreas de emergencia y hospitalización para su desplazamiento</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Apertura de horario especiales para la atención del adulto mayor en las áreas de consulta externa y emergencia</w:t>
      </w:r>
    </w:p>
    <w:p w:rsidR="005B5511" w:rsidRPr="005B5511" w:rsidRDefault="005B5511" w:rsidP="005B5511">
      <w:pPr>
        <w:pStyle w:val="Prrafodelista"/>
        <w:numPr>
          <w:ilvl w:val="0"/>
          <w:numId w:val="40"/>
        </w:numPr>
        <w:shd w:val="clear" w:color="auto" w:fill="FFFFFF"/>
        <w:jc w:val="both"/>
        <w:rPr>
          <w:rFonts w:ascii="Bookman Old Style" w:eastAsia="Times New Roman" w:hAnsi="Bookman Old Style" w:cs="Arial"/>
          <w:color w:val="222222"/>
          <w:lang w:eastAsia="es-HN"/>
        </w:rPr>
      </w:pPr>
      <w:r w:rsidRPr="005B5511">
        <w:rPr>
          <w:rFonts w:ascii="Bookman Old Style" w:eastAsia="Times New Roman" w:hAnsi="Bookman Old Style" w:cs="Arial"/>
          <w:color w:val="222222"/>
          <w:lang w:eastAsia="es-HN"/>
        </w:rPr>
        <w:t>Acompañamiento en todos los procesos de atención por la Unidad de Atención al Usuario.</w:t>
      </w:r>
    </w:p>
    <w:p w:rsidR="005B5511" w:rsidRDefault="005B5511" w:rsidP="00B54FAE">
      <w:pPr>
        <w:shd w:val="clear" w:color="auto" w:fill="FFFFFF"/>
        <w:spacing w:after="160" w:line="235" w:lineRule="atLeast"/>
        <w:jc w:val="both"/>
        <w:rPr>
          <w:rFonts w:ascii="Bookman Old Style" w:eastAsiaTheme="minorHAnsi" w:hAnsi="Bookman Old Style" w:cs="Arial"/>
          <w:b/>
          <w:color w:val="365F91" w:themeColor="accent1" w:themeShade="BF"/>
        </w:rPr>
      </w:pPr>
    </w:p>
    <w:p w:rsidR="00B54FAE" w:rsidRPr="00035CFA" w:rsidRDefault="00035CFA" w:rsidP="00B54FAE">
      <w:pPr>
        <w:shd w:val="clear" w:color="auto" w:fill="FFFFFF"/>
        <w:spacing w:after="160" w:line="235" w:lineRule="atLeast"/>
        <w:jc w:val="both"/>
        <w:rPr>
          <w:rFonts w:ascii="Bookman Old Style" w:eastAsiaTheme="minorHAnsi" w:hAnsi="Bookman Old Style" w:cs="Arial"/>
          <w:b/>
          <w:color w:val="365F91" w:themeColor="accent1" w:themeShade="BF"/>
        </w:rPr>
      </w:pPr>
      <w:r w:rsidRPr="00035CFA">
        <w:rPr>
          <w:rFonts w:ascii="Bookman Old Style" w:eastAsiaTheme="minorHAnsi" w:hAnsi="Bookman Old Style" w:cs="Arial"/>
          <w:b/>
          <w:color w:val="365F91" w:themeColor="accent1" w:themeShade="BF"/>
        </w:rPr>
        <w:t>Documentos Normativos</w:t>
      </w:r>
      <w:r w:rsidR="009425EB">
        <w:rPr>
          <w:rFonts w:ascii="Bookman Old Style" w:eastAsiaTheme="minorHAnsi" w:hAnsi="Bookman Old Style" w:cs="Arial"/>
          <w:b/>
          <w:color w:val="365F91" w:themeColor="accent1" w:themeShade="BF"/>
        </w:rPr>
        <w:t xml:space="preserve"> (algunos)</w:t>
      </w:r>
      <w:r w:rsidRPr="00035CFA">
        <w:rPr>
          <w:rFonts w:ascii="Bookman Old Style" w:eastAsiaTheme="minorHAnsi" w:hAnsi="Bookman Old Style" w:cs="Arial"/>
          <w:b/>
          <w:color w:val="365F91" w:themeColor="accent1" w:themeShade="BF"/>
        </w:rPr>
        <w:t xml:space="preserve">: </w:t>
      </w:r>
    </w:p>
    <w:p w:rsidR="00985AD0" w:rsidRDefault="00985AD0" w:rsidP="00985AD0">
      <w:pPr>
        <w:pStyle w:val="Prrafodelista"/>
        <w:numPr>
          <w:ilvl w:val="0"/>
          <w:numId w:val="37"/>
        </w:numPr>
        <w:shd w:val="clear" w:color="auto" w:fill="FFFFFF"/>
        <w:spacing w:after="160" w:line="235" w:lineRule="atLeast"/>
        <w:jc w:val="both"/>
        <w:rPr>
          <w:rFonts w:ascii="Bookman Old Style" w:eastAsiaTheme="minorHAnsi" w:hAnsi="Bookman Old Style" w:cs="Arial"/>
        </w:rPr>
      </w:pPr>
      <w:r w:rsidRPr="00985AD0">
        <w:rPr>
          <w:rFonts w:ascii="Bookman Old Style" w:eastAsiaTheme="minorHAnsi" w:hAnsi="Bookman Old Style" w:cs="Arial"/>
        </w:rPr>
        <w:t>Planes Nacionales de salud, 2014-2018 y 2018- 2022</w:t>
      </w:r>
    </w:p>
    <w:p w:rsidR="00297576" w:rsidRDefault="00297576" w:rsidP="00985AD0">
      <w:pPr>
        <w:pStyle w:val="Prrafodelista"/>
        <w:numPr>
          <w:ilvl w:val="0"/>
          <w:numId w:val="37"/>
        </w:numPr>
        <w:shd w:val="clear" w:color="auto" w:fill="FFFFFF"/>
        <w:spacing w:after="160" w:line="235" w:lineRule="atLeast"/>
        <w:jc w:val="both"/>
        <w:rPr>
          <w:rFonts w:ascii="Bookman Old Style" w:eastAsiaTheme="minorHAnsi" w:hAnsi="Bookman Old Style" w:cs="Arial"/>
        </w:rPr>
      </w:pPr>
      <w:r>
        <w:rPr>
          <w:rFonts w:ascii="Bookman Old Style" w:eastAsiaTheme="minorHAnsi" w:hAnsi="Bookman Old Style" w:cs="Arial"/>
        </w:rPr>
        <w:t>Plan Estratégico Institucional 2018-2022</w:t>
      </w:r>
    </w:p>
    <w:p w:rsidR="00035CFA" w:rsidRDefault="00035CFA" w:rsidP="00035CFA">
      <w:pPr>
        <w:pStyle w:val="Prrafodelista"/>
        <w:numPr>
          <w:ilvl w:val="0"/>
          <w:numId w:val="37"/>
        </w:numPr>
        <w:shd w:val="clear" w:color="auto" w:fill="FFFFFF"/>
        <w:spacing w:after="160" w:line="235" w:lineRule="atLeast"/>
        <w:jc w:val="both"/>
        <w:rPr>
          <w:rFonts w:ascii="Bookman Old Style" w:eastAsiaTheme="minorHAnsi" w:hAnsi="Bookman Old Style" w:cs="Arial"/>
        </w:rPr>
      </w:pPr>
      <w:r w:rsidRPr="00035CFA">
        <w:rPr>
          <w:rFonts w:ascii="Bookman Old Style" w:eastAsiaTheme="minorHAnsi" w:hAnsi="Bookman Old Style" w:cs="Arial"/>
        </w:rPr>
        <w:t>Ley Integral de Protección al Adulto Mayor y Jubilado, Decreto NO. 199-2006 del 21 de julio de 2021.</w:t>
      </w:r>
    </w:p>
    <w:p w:rsidR="00035CFA" w:rsidRDefault="00035CFA" w:rsidP="00035CFA">
      <w:pPr>
        <w:pStyle w:val="Prrafodelista"/>
        <w:numPr>
          <w:ilvl w:val="0"/>
          <w:numId w:val="37"/>
        </w:numPr>
        <w:shd w:val="clear" w:color="auto" w:fill="FFFFFF"/>
        <w:spacing w:after="160" w:line="235" w:lineRule="atLeast"/>
        <w:jc w:val="both"/>
        <w:rPr>
          <w:rFonts w:ascii="Bookman Old Style" w:eastAsiaTheme="minorHAnsi" w:hAnsi="Bookman Old Style" w:cs="Arial"/>
        </w:rPr>
      </w:pPr>
      <w:r w:rsidRPr="00035CFA">
        <w:rPr>
          <w:rFonts w:ascii="Bookman Old Style" w:eastAsiaTheme="minorHAnsi" w:hAnsi="Bookman Old Style" w:cs="Arial"/>
        </w:rPr>
        <w:t>Política Nacional de Envejecimiento y del Adulto Mayor 2021-2050, Decreto Ejecutivo número PCM-005-2021, marzo 2021.</w:t>
      </w:r>
    </w:p>
    <w:p w:rsidR="00035CFA" w:rsidRDefault="00035CFA" w:rsidP="00035CFA">
      <w:pPr>
        <w:pStyle w:val="Prrafodelista"/>
        <w:numPr>
          <w:ilvl w:val="0"/>
          <w:numId w:val="37"/>
        </w:numPr>
        <w:shd w:val="clear" w:color="auto" w:fill="FFFFFF"/>
        <w:spacing w:after="160" w:line="235" w:lineRule="atLeast"/>
        <w:jc w:val="both"/>
        <w:rPr>
          <w:rFonts w:ascii="Bookman Old Style" w:eastAsiaTheme="minorHAnsi" w:hAnsi="Bookman Old Style" w:cs="Arial"/>
        </w:rPr>
      </w:pPr>
      <w:r w:rsidRPr="00035CFA">
        <w:rPr>
          <w:rFonts w:ascii="Bookman Old Style" w:eastAsiaTheme="minorHAnsi" w:hAnsi="Bookman Old Style" w:cs="Arial"/>
        </w:rPr>
        <w:t>Política de protección Social, 2012.</w:t>
      </w:r>
    </w:p>
    <w:p w:rsidR="00035CFA" w:rsidRDefault="00035CFA" w:rsidP="006920F2">
      <w:pPr>
        <w:pStyle w:val="Prrafodelista"/>
        <w:numPr>
          <w:ilvl w:val="0"/>
          <w:numId w:val="37"/>
        </w:numPr>
        <w:shd w:val="clear" w:color="auto" w:fill="FFFFFF"/>
        <w:spacing w:after="160" w:line="235" w:lineRule="atLeast"/>
        <w:rPr>
          <w:rFonts w:ascii="Bookman Old Style" w:eastAsiaTheme="minorHAnsi" w:hAnsi="Bookman Old Style" w:cs="Arial"/>
        </w:rPr>
      </w:pPr>
      <w:r w:rsidRPr="00035CFA">
        <w:rPr>
          <w:rFonts w:ascii="Bookman Old Style" w:eastAsiaTheme="minorHAnsi" w:hAnsi="Bookman Old Style" w:cs="Arial"/>
        </w:rPr>
        <w:lastRenderedPageBreak/>
        <w:t>Guía de Evaluación Integral al Adulto Mayor, Secretaría de Salud, diciembre 2019.</w:t>
      </w:r>
      <w:r w:rsidR="006920F2">
        <w:rPr>
          <w:rFonts w:ascii="Bookman Old Style" w:eastAsiaTheme="minorHAnsi" w:hAnsi="Bookman Old Style" w:cs="Arial"/>
        </w:rPr>
        <w:t xml:space="preserve"> </w:t>
      </w:r>
      <w:r w:rsidR="006920F2" w:rsidRPr="006920F2">
        <w:rPr>
          <w:rFonts w:ascii="Bookman Old Style" w:eastAsiaTheme="minorHAnsi" w:hAnsi="Bookman Old Style" w:cs="Arial"/>
        </w:rPr>
        <w:t>RESOLUCION No. 01 - DGN -2020- G30:2019 del 13 Enero de 2020</w:t>
      </w:r>
      <w:r w:rsidRPr="00035CFA">
        <w:rPr>
          <w:rFonts w:ascii="Bookman Old Style" w:eastAsiaTheme="minorHAnsi" w:hAnsi="Bookman Old Style" w:cs="Arial"/>
        </w:rPr>
        <w:t xml:space="preserve">  </w:t>
      </w:r>
      <w:r w:rsidRPr="00035CFA">
        <w:rPr>
          <w:rFonts w:ascii="Bookman Old Style" w:eastAsiaTheme="minorHAnsi" w:hAnsi="Bookman Old Style" w:cs="Arial"/>
        </w:rPr>
        <w:tab/>
      </w:r>
    </w:p>
    <w:p w:rsidR="00035CFA" w:rsidRDefault="00985AD0" w:rsidP="00035CFA">
      <w:pPr>
        <w:pStyle w:val="Prrafodelista"/>
        <w:numPr>
          <w:ilvl w:val="0"/>
          <w:numId w:val="37"/>
        </w:numPr>
        <w:shd w:val="clear" w:color="auto" w:fill="FFFFFF"/>
        <w:spacing w:after="160" w:line="235" w:lineRule="atLeast"/>
        <w:jc w:val="both"/>
        <w:rPr>
          <w:rFonts w:ascii="Bookman Old Style" w:eastAsiaTheme="minorHAnsi" w:hAnsi="Bookman Old Style" w:cs="Arial"/>
        </w:rPr>
      </w:pPr>
      <w:r>
        <w:rPr>
          <w:rFonts w:ascii="Bookman Old Style" w:eastAsiaTheme="minorHAnsi" w:hAnsi="Bookman Old Style" w:cs="Arial"/>
        </w:rPr>
        <w:t>Modelo Nacional de Salud. D</w:t>
      </w:r>
      <w:r w:rsidRPr="00985AD0">
        <w:rPr>
          <w:rFonts w:ascii="Bookman Old Style" w:eastAsiaTheme="minorHAnsi" w:hAnsi="Bookman Old Style" w:cs="Arial"/>
        </w:rPr>
        <w:t>ecreto ejecutivo número PCM051-2017 publicado en el diario oficial La Gaceta No. 34438 con fecha 8 de septiembre del 2017</w:t>
      </w:r>
      <w:r w:rsidR="00035CFA" w:rsidRPr="00035CFA">
        <w:rPr>
          <w:rFonts w:ascii="Bookman Old Style" w:eastAsiaTheme="minorHAnsi" w:hAnsi="Bookman Old Style" w:cs="Arial"/>
        </w:rPr>
        <w:t>.</w:t>
      </w:r>
    </w:p>
    <w:p w:rsidR="00985AD0" w:rsidRDefault="00985AD0" w:rsidP="00035CFA">
      <w:pPr>
        <w:pStyle w:val="Prrafodelista"/>
        <w:numPr>
          <w:ilvl w:val="0"/>
          <w:numId w:val="37"/>
        </w:numPr>
        <w:shd w:val="clear" w:color="auto" w:fill="FFFFFF"/>
        <w:spacing w:after="160" w:line="235" w:lineRule="atLeast"/>
        <w:jc w:val="both"/>
        <w:rPr>
          <w:rFonts w:ascii="Bookman Old Style" w:eastAsiaTheme="minorHAnsi" w:hAnsi="Bookman Old Style" w:cs="Arial"/>
        </w:rPr>
      </w:pPr>
      <w:r>
        <w:rPr>
          <w:rFonts w:ascii="Bookman Old Style" w:eastAsiaTheme="minorHAnsi" w:hAnsi="Bookman Old Style" w:cs="Arial"/>
        </w:rPr>
        <w:t>E</w:t>
      </w:r>
      <w:r w:rsidRPr="00985AD0">
        <w:rPr>
          <w:rFonts w:ascii="Bookman Old Style" w:eastAsiaTheme="minorHAnsi" w:hAnsi="Bookman Old Style" w:cs="Arial"/>
        </w:rPr>
        <w:t>strategia de “</w:t>
      </w:r>
      <w:r>
        <w:rPr>
          <w:rFonts w:ascii="Bookman Old Style" w:eastAsiaTheme="minorHAnsi" w:hAnsi="Bookman Old Style" w:cs="Arial"/>
        </w:rPr>
        <w:t>A</w:t>
      </w:r>
      <w:r w:rsidRPr="00985AD0">
        <w:rPr>
          <w:rFonts w:ascii="Bookman Old Style" w:eastAsiaTheme="minorHAnsi" w:hAnsi="Bookman Old Style" w:cs="Arial"/>
        </w:rPr>
        <w:t xml:space="preserve">tención </w:t>
      </w:r>
      <w:r>
        <w:rPr>
          <w:rFonts w:ascii="Bookman Old Style" w:eastAsiaTheme="minorHAnsi" w:hAnsi="Bookman Old Style" w:cs="Arial"/>
        </w:rPr>
        <w:t>P</w:t>
      </w:r>
      <w:r w:rsidRPr="00985AD0">
        <w:rPr>
          <w:rFonts w:ascii="Bookman Old Style" w:eastAsiaTheme="minorHAnsi" w:hAnsi="Bookman Old Style" w:cs="Arial"/>
        </w:rPr>
        <w:t xml:space="preserve">referencial y </w:t>
      </w:r>
      <w:r>
        <w:rPr>
          <w:rFonts w:ascii="Bookman Old Style" w:eastAsiaTheme="minorHAnsi" w:hAnsi="Bookman Old Style" w:cs="Arial"/>
        </w:rPr>
        <w:t>P</w:t>
      </w:r>
      <w:r w:rsidRPr="00985AD0">
        <w:rPr>
          <w:rFonts w:ascii="Bookman Old Style" w:eastAsiaTheme="minorHAnsi" w:hAnsi="Bookman Old Style" w:cs="Arial"/>
        </w:rPr>
        <w:t xml:space="preserve">rioritaria para las </w:t>
      </w:r>
      <w:r>
        <w:rPr>
          <w:rFonts w:ascii="Bookman Old Style" w:eastAsiaTheme="minorHAnsi" w:hAnsi="Bookman Old Style" w:cs="Arial"/>
        </w:rPr>
        <w:t>Personas M</w:t>
      </w:r>
      <w:r w:rsidRPr="00985AD0">
        <w:rPr>
          <w:rFonts w:ascii="Bookman Old Style" w:eastAsiaTheme="minorHAnsi" w:hAnsi="Bookman Old Style" w:cs="Arial"/>
        </w:rPr>
        <w:t>ayores</w:t>
      </w:r>
      <w:r>
        <w:rPr>
          <w:rFonts w:ascii="Bookman Old Style" w:eastAsiaTheme="minorHAnsi" w:hAnsi="Bookman Old Style" w:cs="Arial"/>
        </w:rPr>
        <w:t>”.</w:t>
      </w:r>
    </w:p>
    <w:p w:rsidR="009425EB" w:rsidRPr="009425EB" w:rsidRDefault="009425EB" w:rsidP="009425EB">
      <w:pPr>
        <w:pStyle w:val="Prrafodelista"/>
        <w:numPr>
          <w:ilvl w:val="0"/>
          <w:numId w:val="37"/>
        </w:numPr>
        <w:shd w:val="clear" w:color="auto" w:fill="FFFFFF"/>
        <w:spacing w:after="160" w:line="235" w:lineRule="atLeast"/>
        <w:jc w:val="both"/>
        <w:rPr>
          <w:rFonts w:ascii="Bookman Old Style" w:eastAsiaTheme="minorHAnsi" w:hAnsi="Bookman Old Style" w:cs="Arial"/>
        </w:rPr>
      </w:pPr>
      <w:r>
        <w:rPr>
          <w:rFonts w:ascii="Bookman Old Style" w:eastAsiaTheme="minorHAnsi" w:hAnsi="Bookman Old Style" w:cs="Arial"/>
        </w:rPr>
        <w:t>L</w:t>
      </w:r>
      <w:r w:rsidRPr="009425EB">
        <w:rPr>
          <w:rFonts w:ascii="Bookman Old Style" w:eastAsiaTheme="minorHAnsi" w:hAnsi="Bookman Old Style" w:cs="Arial"/>
        </w:rPr>
        <w:t>ineamiento para la prevención y manejo del COVID- 19 en Hogares de Adultos Mayores y personas con discapacidad (DEC 19-19:2020)</w:t>
      </w:r>
    </w:p>
    <w:p w:rsidR="00035CFA" w:rsidRDefault="00035CFA" w:rsidP="00B54FAE">
      <w:pPr>
        <w:shd w:val="clear" w:color="auto" w:fill="FFFFFF"/>
        <w:spacing w:after="160" w:line="235" w:lineRule="atLeast"/>
        <w:jc w:val="both"/>
        <w:rPr>
          <w:rFonts w:ascii="Bookman Old Style" w:eastAsiaTheme="minorHAnsi" w:hAnsi="Bookman Old Style" w:cs="Arial"/>
        </w:rPr>
      </w:pPr>
    </w:p>
    <w:p w:rsidR="00F21B0E" w:rsidRDefault="00035CFA" w:rsidP="00276905">
      <w:pPr>
        <w:shd w:val="clear" w:color="auto" w:fill="FFFFFF"/>
        <w:spacing w:after="160" w:line="235" w:lineRule="atLeast"/>
        <w:rPr>
          <w:rFonts w:ascii="Bookman Old Style" w:eastAsiaTheme="minorHAnsi" w:hAnsi="Bookman Old Style" w:cs="Arial"/>
          <w:b/>
          <w:color w:val="365F91" w:themeColor="accent1" w:themeShade="BF"/>
        </w:rPr>
      </w:pPr>
      <w:r w:rsidRPr="00035CFA">
        <w:rPr>
          <w:rFonts w:ascii="Bookman Old Style" w:eastAsiaTheme="minorHAnsi" w:hAnsi="Bookman Old Style" w:cs="Arial"/>
          <w:b/>
          <w:color w:val="365F91" w:themeColor="accent1" w:themeShade="BF"/>
        </w:rPr>
        <w:t>Información Estadística</w:t>
      </w:r>
      <w:r w:rsidR="00262A44">
        <w:rPr>
          <w:rFonts w:ascii="Bookman Old Style" w:eastAsiaTheme="minorHAnsi" w:hAnsi="Bookman Old Style" w:cs="Arial"/>
          <w:b/>
          <w:color w:val="365F91" w:themeColor="accent1" w:themeShade="BF"/>
        </w:rPr>
        <w:t xml:space="preserve"> Institucional</w:t>
      </w:r>
      <w:r w:rsidR="00276905">
        <w:rPr>
          <w:rFonts w:ascii="Bookman Old Style" w:eastAsiaTheme="minorHAnsi" w:hAnsi="Bookman Old Style" w:cs="Arial"/>
          <w:b/>
          <w:color w:val="365F91" w:themeColor="accent1" w:themeShade="BF"/>
        </w:rPr>
        <w:t>:</w:t>
      </w:r>
    </w:p>
    <w:tbl>
      <w:tblPr>
        <w:tblW w:w="8404" w:type="dxa"/>
        <w:jc w:val="center"/>
        <w:tblLook w:val="04A0" w:firstRow="1" w:lastRow="0" w:firstColumn="1" w:lastColumn="0" w:noHBand="0" w:noVBand="1"/>
      </w:tblPr>
      <w:tblGrid>
        <w:gridCol w:w="2942"/>
        <w:gridCol w:w="1091"/>
        <w:gridCol w:w="1091"/>
        <w:gridCol w:w="1091"/>
        <w:gridCol w:w="1097"/>
        <w:gridCol w:w="1092"/>
      </w:tblGrid>
      <w:tr w:rsidR="00FC2865" w:rsidRPr="00FC2865" w:rsidTr="00F21B0E">
        <w:trPr>
          <w:trHeight w:val="278"/>
          <w:jc w:val="center"/>
        </w:trPr>
        <w:tc>
          <w:tcPr>
            <w:tcW w:w="8404" w:type="dxa"/>
            <w:gridSpan w:val="6"/>
            <w:tcBorders>
              <w:top w:val="nil"/>
              <w:left w:val="nil"/>
              <w:bottom w:val="nil"/>
              <w:right w:val="nil"/>
            </w:tcBorders>
            <w:shd w:val="clear" w:color="auto" w:fill="auto"/>
            <w:noWrap/>
            <w:vAlign w:val="bottom"/>
            <w:hideMark/>
          </w:tcPr>
          <w:p w:rsidR="00FC2865" w:rsidRPr="00276905" w:rsidRDefault="00FC2865" w:rsidP="00FC2865">
            <w:pPr>
              <w:jc w:val="center"/>
              <w:rPr>
                <w:rFonts w:ascii="Calibri" w:eastAsia="Times New Roman" w:hAnsi="Calibri" w:cs="Calibri"/>
                <w:b/>
                <w:bCs/>
                <w:color w:val="365F91" w:themeColor="accent1" w:themeShade="BF"/>
                <w:sz w:val="22"/>
                <w:szCs w:val="22"/>
                <w:lang w:val="en-US" w:eastAsia="en-US"/>
              </w:rPr>
            </w:pPr>
            <w:r w:rsidRPr="00276905">
              <w:rPr>
                <w:rFonts w:ascii="Calibri" w:eastAsia="Times New Roman" w:hAnsi="Calibri" w:cs="Calibri"/>
                <w:b/>
                <w:bCs/>
                <w:color w:val="365F91" w:themeColor="accent1" w:themeShade="BF"/>
                <w:sz w:val="22"/>
                <w:szCs w:val="22"/>
                <w:lang w:val="en-US" w:eastAsia="en-US"/>
              </w:rPr>
              <w:t>SECRETARÍA DE SALUD</w:t>
            </w:r>
          </w:p>
        </w:tc>
      </w:tr>
      <w:tr w:rsidR="00FC2865" w:rsidRPr="00FC2865" w:rsidTr="00C95993">
        <w:trPr>
          <w:trHeight w:val="279"/>
          <w:jc w:val="center"/>
        </w:trPr>
        <w:tc>
          <w:tcPr>
            <w:tcW w:w="8404" w:type="dxa"/>
            <w:gridSpan w:val="6"/>
            <w:tcBorders>
              <w:top w:val="nil"/>
              <w:left w:val="nil"/>
              <w:bottom w:val="nil"/>
              <w:right w:val="nil"/>
            </w:tcBorders>
            <w:shd w:val="clear" w:color="auto" w:fill="auto"/>
            <w:noWrap/>
            <w:vAlign w:val="bottom"/>
            <w:hideMark/>
          </w:tcPr>
          <w:p w:rsidR="00FC2865" w:rsidRPr="00276905" w:rsidRDefault="00FC2865" w:rsidP="00FC2865">
            <w:pPr>
              <w:jc w:val="center"/>
              <w:rPr>
                <w:rFonts w:ascii="Calibri" w:eastAsia="Times New Roman" w:hAnsi="Calibri" w:cs="Calibri"/>
                <w:b/>
                <w:bCs/>
                <w:color w:val="365F91" w:themeColor="accent1" w:themeShade="BF"/>
                <w:sz w:val="22"/>
                <w:szCs w:val="22"/>
                <w:lang w:eastAsia="en-US"/>
              </w:rPr>
            </w:pPr>
            <w:r w:rsidRPr="00276905">
              <w:rPr>
                <w:rFonts w:ascii="Calibri" w:eastAsia="Times New Roman" w:hAnsi="Calibri" w:cs="Calibri"/>
                <w:b/>
                <w:bCs/>
                <w:color w:val="365F91" w:themeColor="accent1" w:themeShade="BF"/>
                <w:sz w:val="22"/>
                <w:szCs w:val="22"/>
                <w:lang w:eastAsia="en-US"/>
              </w:rPr>
              <w:t>ÁREA ESTADÍSTICA DE LA SALUD</w:t>
            </w:r>
          </w:p>
        </w:tc>
      </w:tr>
      <w:tr w:rsidR="00FC2865" w:rsidRPr="00FC2865" w:rsidTr="00C95993">
        <w:trPr>
          <w:trHeight w:val="574"/>
          <w:jc w:val="center"/>
        </w:trPr>
        <w:tc>
          <w:tcPr>
            <w:tcW w:w="8404" w:type="dxa"/>
            <w:gridSpan w:val="6"/>
            <w:tcBorders>
              <w:top w:val="nil"/>
              <w:left w:val="nil"/>
              <w:bottom w:val="nil"/>
              <w:right w:val="nil"/>
            </w:tcBorders>
            <w:shd w:val="clear" w:color="auto" w:fill="auto"/>
            <w:vAlign w:val="bottom"/>
            <w:hideMark/>
          </w:tcPr>
          <w:p w:rsidR="00FC2865" w:rsidRPr="00276905" w:rsidRDefault="00FC2865" w:rsidP="00FC2865">
            <w:pPr>
              <w:jc w:val="center"/>
              <w:rPr>
                <w:rFonts w:ascii="Calibri" w:eastAsia="Times New Roman" w:hAnsi="Calibri" w:cs="Calibri"/>
                <w:b/>
                <w:bCs/>
                <w:color w:val="365F91" w:themeColor="accent1" w:themeShade="BF"/>
                <w:sz w:val="22"/>
                <w:szCs w:val="22"/>
                <w:lang w:eastAsia="en-US"/>
              </w:rPr>
            </w:pPr>
            <w:r w:rsidRPr="00276905">
              <w:rPr>
                <w:rFonts w:ascii="Calibri" w:eastAsia="Times New Roman" w:hAnsi="Calibri" w:cs="Calibri"/>
                <w:b/>
                <w:bCs/>
                <w:color w:val="365F91" w:themeColor="accent1" w:themeShade="BF"/>
                <w:sz w:val="22"/>
                <w:szCs w:val="22"/>
                <w:lang w:eastAsia="en-US"/>
              </w:rPr>
              <w:t>NÚMERO DE ATENCIONES BRINDADAS (NUEVAS Y SUBSIGUIENTES) A PERSONAS DE 60 Y MÁS AÑOS, SEGÚN REGIÓN SANITARIA Y AÑO</w:t>
            </w:r>
          </w:p>
        </w:tc>
      </w:tr>
      <w:tr w:rsidR="00FC2865" w:rsidRPr="00FC2865" w:rsidTr="00C95993">
        <w:trPr>
          <w:trHeight w:val="279"/>
          <w:jc w:val="center"/>
        </w:trPr>
        <w:tc>
          <w:tcPr>
            <w:tcW w:w="8404" w:type="dxa"/>
            <w:gridSpan w:val="6"/>
            <w:tcBorders>
              <w:top w:val="nil"/>
              <w:left w:val="nil"/>
              <w:bottom w:val="nil"/>
              <w:right w:val="nil"/>
            </w:tcBorders>
            <w:shd w:val="clear" w:color="auto" w:fill="auto"/>
            <w:noWrap/>
            <w:vAlign w:val="bottom"/>
            <w:hideMark/>
          </w:tcPr>
          <w:p w:rsidR="00FC2865" w:rsidRPr="006A6182" w:rsidRDefault="00FC2865" w:rsidP="00FC2865">
            <w:pPr>
              <w:jc w:val="center"/>
              <w:rPr>
                <w:rFonts w:ascii="Calibri" w:eastAsia="Times New Roman" w:hAnsi="Calibri" w:cs="Calibri"/>
                <w:b/>
                <w:bCs/>
                <w:color w:val="365F91" w:themeColor="accent1" w:themeShade="BF"/>
                <w:sz w:val="20"/>
                <w:szCs w:val="20"/>
                <w:lang w:val="en-US" w:eastAsia="en-US"/>
              </w:rPr>
            </w:pPr>
            <w:r w:rsidRPr="006A6182">
              <w:rPr>
                <w:rFonts w:ascii="Calibri" w:eastAsia="Times New Roman" w:hAnsi="Calibri" w:cs="Calibri"/>
                <w:b/>
                <w:bCs/>
                <w:color w:val="365F91" w:themeColor="accent1" w:themeShade="BF"/>
                <w:sz w:val="20"/>
                <w:szCs w:val="20"/>
                <w:lang w:val="en-US" w:eastAsia="en-US"/>
              </w:rPr>
              <w:t>HONDURAS, C.A.</w:t>
            </w:r>
          </w:p>
        </w:tc>
      </w:tr>
      <w:tr w:rsidR="00FC2865" w:rsidRPr="00FC2865" w:rsidTr="00C95993">
        <w:trPr>
          <w:trHeight w:val="279"/>
          <w:jc w:val="center"/>
        </w:trPr>
        <w:tc>
          <w:tcPr>
            <w:tcW w:w="8404" w:type="dxa"/>
            <w:gridSpan w:val="6"/>
            <w:tcBorders>
              <w:top w:val="nil"/>
              <w:left w:val="nil"/>
              <w:bottom w:val="nil"/>
              <w:right w:val="nil"/>
            </w:tcBorders>
            <w:shd w:val="clear" w:color="auto" w:fill="auto"/>
            <w:noWrap/>
            <w:vAlign w:val="bottom"/>
            <w:hideMark/>
          </w:tcPr>
          <w:p w:rsidR="00FC2865" w:rsidRPr="006A6182" w:rsidRDefault="00FC2865" w:rsidP="00FC2865">
            <w:pPr>
              <w:jc w:val="center"/>
              <w:rPr>
                <w:rFonts w:ascii="Calibri" w:eastAsia="Times New Roman" w:hAnsi="Calibri" w:cs="Calibri"/>
                <w:b/>
                <w:bCs/>
                <w:color w:val="365F91" w:themeColor="accent1" w:themeShade="BF"/>
                <w:sz w:val="20"/>
                <w:szCs w:val="20"/>
                <w:lang w:val="en-US" w:eastAsia="en-US"/>
              </w:rPr>
            </w:pPr>
            <w:r w:rsidRPr="006A6182">
              <w:rPr>
                <w:rFonts w:ascii="Calibri" w:eastAsia="Times New Roman" w:hAnsi="Calibri" w:cs="Calibri"/>
                <w:b/>
                <w:bCs/>
                <w:color w:val="365F91" w:themeColor="accent1" w:themeShade="BF"/>
                <w:sz w:val="20"/>
                <w:szCs w:val="20"/>
                <w:lang w:val="en-US" w:eastAsia="en-US"/>
              </w:rPr>
              <w:t>2016 AL 2020</w:t>
            </w:r>
          </w:p>
        </w:tc>
      </w:tr>
      <w:tr w:rsidR="00FC2865" w:rsidRPr="00FC2865" w:rsidTr="006A6182">
        <w:trPr>
          <w:trHeight w:val="57"/>
          <w:jc w:val="center"/>
        </w:trPr>
        <w:tc>
          <w:tcPr>
            <w:tcW w:w="2942"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b/>
                <w:bCs/>
                <w:color w:val="000000"/>
                <w:sz w:val="22"/>
                <w:szCs w:val="22"/>
                <w:lang w:val="en-US" w:eastAsia="en-US"/>
              </w:rPr>
            </w:pPr>
          </w:p>
        </w:tc>
        <w:tc>
          <w:tcPr>
            <w:tcW w:w="1091" w:type="dxa"/>
            <w:tcBorders>
              <w:top w:val="nil"/>
              <w:left w:val="nil"/>
              <w:bottom w:val="nil"/>
              <w:right w:val="nil"/>
            </w:tcBorders>
            <w:shd w:val="clear" w:color="auto" w:fill="auto"/>
            <w:noWrap/>
            <w:vAlign w:val="bottom"/>
            <w:hideMark/>
          </w:tcPr>
          <w:p w:rsidR="00FC2865" w:rsidRPr="00FC2865" w:rsidRDefault="00FC2865" w:rsidP="00FC2865">
            <w:pPr>
              <w:rPr>
                <w:rFonts w:eastAsia="Times New Roman"/>
                <w:sz w:val="20"/>
                <w:szCs w:val="20"/>
                <w:lang w:val="en-US" w:eastAsia="en-US"/>
              </w:rPr>
            </w:pP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c>
          <w:tcPr>
            <w:tcW w:w="1092"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r>
      <w:tr w:rsidR="00FC2865" w:rsidRPr="00FC2865" w:rsidTr="005C2383">
        <w:trPr>
          <w:trHeight w:val="616"/>
          <w:jc w:val="center"/>
        </w:trPr>
        <w:tc>
          <w:tcPr>
            <w:tcW w:w="2942" w:type="dxa"/>
            <w:tcBorders>
              <w:top w:val="single" w:sz="8" w:space="0" w:color="auto"/>
              <w:left w:val="single" w:sz="8" w:space="0" w:color="auto"/>
              <w:bottom w:val="single" w:sz="8" w:space="0" w:color="auto"/>
              <w:right w:val="single" w:sz="4" w:space="0" w:color="auto"/>
            </w:tcBorders>
            <w:shd w:val="clear" w:color="DDEBF7" w:fill="DDEBF7"/>
            <w:vAlign w:val="center"/>
            <w:hideMark/>
          </w:tcPr>
          <w:p w:rsidR="00FC2865" w:rsidRPr="00FC2865" w:rsidRDefault="00FC2865" w:rsidP="00FC2865">
            <w:pPr>
              <w:jc w:val="center"/>
              <w:rPr>
                <w:rFonts w:ascii="Calibri" w:eastAsia="Times New Roman" w:hAnsi="Calibri" w:cs="Calibri"/>
                <w:b/>
                <w:bCs/>
                <w:color w:val="000000"/>
                <w:sz w:val="22"/>
                <w:szCs w:val="22"/>
                <w:lang w:eastAsia="en-US"/>
              </w:rPr>
            </w:pPr>
            <w:r w:rsidRPr="00FC2865">
              <w:rPr>
                <w:rFonts w:ascii="Calibri" w:eastAsia="Times New Roman" w:hAnsi="Calibri" w:cs="Calibri"/>
                <w:b/>
                <w:bCs/>
                <w:color w:val="000000"/>
                <w:sz w:val="22"/>
                <w:szCs w:val="22"/>
                <w:lang w:eastAsia="en-US"/>
              </w:rPr>
              <w:t>Región Sanitaria / Concepto de la Atención</w:t>
            </w:r>
          </w:p>
        </w:tc>
        <w:tc>
          <w:tcPr>
            <w:tcW w:w="1091" w:type="dxa"/>
            <w:tcBorders>
              <w:top w:val="single" w:sz="8" w:space="0" w:color="auto"/>
              <w:left w:val="nil"/>
              <w:bottom w:val="single" w:sz="8" w:space="0" w:color="auto"/>
              <w:right w:val="single" w:sz="4" w:space="0" w:color="auto"/>
            </w:tcBorders>
            <w:shd w:val="clear" w:color="DDEBF7" w:fill="DDEBF7"/>
            <w:noWrap/>
            <w:vAlign w:val="center"/>
            <w:hideMark/>
          </w:tcPr>
          <w:p w:rsidR="00FC2865" w:rsidRPr="00FC2865" w:rsidRDefault="00FC2865" w:rsidP="00FC2865">
            <w:pPr>
              <w:jc w:val="cente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2016</w:t>
            </w:r>
          </w:p>
        </w:tc>
        <w:tc>
          <w:tcPr>
            <w:tcW w:w="1091" w:type="dxa"/>
            <w:tcBorders>
              <w:top w:val="single" w:sz="8" w:space="0" w:color="auto"/>
              <w:left w:val="nil"/>
              <w:bottom w:val="single" w:sz="8" w:space="0" w:color="auto"/>
              <w:right w:val="single" w:sz="4" w:space="0" w:color="auto"/>
            </w:tcBorders>
            <w:shd w:val="clear" w:color="DDEBF7" w:fill="DDEBF7"/>
            <w:noWrap/>
            <w:vAlign w:val="center"/>
            <w:hideMark/>
          </w:tcPr>
          <w:p w:rsidR="00FC2865" w:rsidRPr="00FC2865" w:rsidRDefault="00FC2865" w:rsidP="00FC2865">
            <w:pPr>
              <w:jc w:val="cente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2017</w:t>
            </w:r>
          </w:p>
        </w:tc>
        <w:tc>
          <w:tcPr>
            <w:tcW w:w="1091" w:type="dxa"/>
            <w:tcBorders>
              <w:top w:val="single" w:sz="8" w:space="0" w:color="auto"/>
              <w:left w:val="nil"/>
              <w:bottom w:val="single" w:sz="8" w:space="0" w:color="auto"/>
              <w:right w:val="single" w:sz="4" w:space="0" w:color="auto"/>
            </w:tcBorders>
            <w:shd w:val="clear" w:color="DDEBF7" w:fill="DDEBF7"/>
            <w:noWrap/>
            <w:vAlign w:val="center"/>
            <w:hideMark/>
          </w:tcPr>
          <w:p w:rsidR="00FC2865" w:rsidRPr="00FC2865" w:rsidRDefault="00FC2865" w:rsidP="00FC2865">
            <w:pPr>
              <w:jc w:val="cente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2018</w:t>
            </w:r>
          </w:p>
        </w:tc>
        <w:tc>
          <w:tcPr>
            <w:tcW w:w="1097" w:type="dxa"/>
            <w:tcBorders>
              <w:top w:val="single" w:sz="8" w:space="0" w:color="auto"/>
              <w:left w:val="nil"/>
              <w:bottom w:val="single" w:sz="8" w:space="0" w:color="auto"/>
              <w:right w:val="single" w:sz="4" w:space="0" w:color="auto"/>
            </w:tcBorders>
            <w:shd w:val="clear" w:color="DDEBF7" w:fill="DDEBF7"/>
            <w:noWrap/>
            <w:vAlign w:val="center"/>
            <w:hideMark/>
          </w:tcPr>
          <w:p w:rsidR="00FC2865" w:rsidRPr="00FC2865" w:rsidRDefault="00FC2865" w:rsidP="00FC2865">
            <w:pPr>
              <w:jc w:val="cente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2019</w:t>
            </w:r>
          </w:p>
        </w:tc>
        <w:tc>
          <w:tcPr>
            <w:tcW w:w="1092" w:type="dxa"/>
            <w:tcBorders>
              <w:top w:val="single" w:sz="8" w:space="0" w:color="auto"/>
              <w:left w:val="nil"/>
              <w:bottom w:val="single" w:sz="8" w:space="0" w:color="auto"/>
              <w:right w:val="single" w:sz="8" w:space="0" w:color="auto"/>
            </w:tcBorders>
            <w:shd w:val="clear" w:color="DDEBF7" w:fill="DDEBF7"/>
            <w:noWrap/>
            <w:vAlign w:val="center"/>
            <w:hideMark/>
          </w:tcPr>
          <w:p w:rsidR="00FC2865" w:rsidRPr="00FC2865" w:rsidRDefault="00FC2865" w:rsidP="00FC2865">
            <w:pPr>
              <w:jc w:val="cente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2020</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 xml:space="preserve">Atlántida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29819</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31615</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41001</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48076</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41341</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31871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34040</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33474</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34035</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29433</w:t>
            </w:r>
          </w:p>
        </w:tc>
      </w:tr>
      <w:tr w:rsidR="00FC2865" w:rsidRPr="00FC2865" w:rsidTr="005C2383">
        <w:trPr>
          <w:trHeight w:val="234"/>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Intibucá</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eastAsia="Times New Roman"/>
                <w:sz w:val="20"/>
                <w:szCs w:val="20"/>
                <w:lang w:val="en-US" w:eastAsia="en-US"/>
              </w:rPr>
            </w:pP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34"/>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9377</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9627</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11138</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11777</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10510</w:t>
            </w:r>
          </w:p>
        </w:tc>
      </w:tr>
      <w:tr w:rsidR="00FC2865" w:rsidRPr="00FC2865" w:rsidTr="005C2383">
        <w:trPr>
          <w:trHeight w:val="234"/>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23671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24024</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25546</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30418</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24605</w:t>
            </w:r>
          </w:p>
        </w:tc>
      </w:tr>
      <w:tr w:rsidR="00FC2865" w:rsidRPr="00FC2865" w:rsidTr="005C2383">
        <w:trPr>
          <w:trHeight w:val="234"/>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Islas de la Bahia</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34"/>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2521</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2216</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2327</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2609</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3889</w:t>
            </w:r>
          </w:p>
        </w:tc>
      </w:tr>
      <w:tr w:rsidR="00FC2865" w:rsidRPr="00FC2865" w:rsidTr="005C2383">
        <w:trPr>
          <w:trHeight w:val="264"/>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4342</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4872</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5802</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5574</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6502</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La Paz</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11167</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12551</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11791</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11654</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12439</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26539</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29016</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30765</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34183</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31111</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Lempira</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16259</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16576</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16542</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17356</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13577</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26190</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26895</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28568</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34996</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34348</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Ocotepeque</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11652</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13123</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12870</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13725</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12368</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17312</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16725</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16534</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21201</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19930</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Olancho</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21203</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20863</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21784</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22134</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20593</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39153</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39702</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45762</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51429</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45605</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Santa Bárbara</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16689</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17558</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17615</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18461</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17794</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lastRenderedPageBreak/>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38385</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41367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40521</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45759</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40848</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Valle</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10922</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11198</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9901</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13032</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8196</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25941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27411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29956</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34101</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16031</w:t>
            </w:r>
          </w:p>
        </w:tc>
      </w:tr>
      <w:tr w:rsidR="00FC2865" w:rsidRPr="00FC2865" w:rsidTr="00F21B0E">
        <w:trPr>
          <w:trHeight w:val="270"/>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Yoro</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30532</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32579</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31593</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32676</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28341</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47027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45146</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50607</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52006</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42519</w:t>
            </w:r>
          </w:p>
        </w:tc>
      </w:tr>
      <w:tr w:rsidR="00FC2865" w:rsidRPr="00FC2865" w:rsidTr="005C2383">
        <w:trPr>
          <w:trHeight w:val="560"/>
          <w:jc w:val="center"/>
        </w:trPr>
        <w:tc>
          <w:tcPr>
            <w:tcW w:w="2942" w:type="dxa"/>
            <w:tcBorders>
              <w:top w:val="nil"/>
              <w:left w:val="single" w:sz="8" w:space="0" w:color="auto"/>
              <w:bottom w:val="nil"/>
              <w:right w:val="nil"/>
            </w:tcBorders>
            <w:shd w:val="clear" w:color="auto" w:fill="auto"/>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Metropolitana Distrito Central</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82444</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80900</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83824</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78464</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60352</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183271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192798</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215196</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230268</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142772</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 xml:space="preserve"> Colón</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12854</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13107</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13784</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14733</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12291</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19131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22335</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23063</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25989</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22745</w:t>
            </w:r>
          </w:p>
        </w:tc>
      </w:tr>
      <w:tr w:rsidR="00FC2865" w:rsidRPr="00FC2865" w:rsidTr="005C2383">
        <w:trPr>
          <w:trHeight w:val="560"/>
          <w:jc w:val="center"/>
        </w:trPr>
        <w:tc>
          <w:tcPr>
            <w:tcW w:w="2942" w:type="dxa"/>
            <w:tcBorders>
              <w:top w:val="nil"/>
              <w:left w:val="single" w:sz="8" w:space="0" w:color="auto"/>
              <w:bottom w:val="nil"/>
              <w:right w:val="nil"/>
            </w:tcBorders>
            <w:shd w:val="clear" w:color="auto" w:fill="auto"/>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Metropolitana San Pedro Sula</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35291</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36752</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39656</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36568</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23853</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55127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52126</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60874</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52561</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27833</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Comayagua</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18776</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21696</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20442</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22074</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19891</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31371</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33890</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35285</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37736</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39708</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Copán</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25690</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25924</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23060</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24889</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21948</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27082</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33847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38086</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38113</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34161</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Cortés</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17953</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19360</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22128</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23127</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46586</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29657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32348</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38271</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43687</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44782</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Choluteca</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27834</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25473</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24417</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25926</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23511</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41714</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50463</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54570</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59256</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58305</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El Paraíso</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19211</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17842</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17519</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17876</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21552</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30839</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33734</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36723</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39020</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37481</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Francisco Morazán</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10706</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11777</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11901</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12985</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12445</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29408</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31777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33619</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38408</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39255</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Gracias a Dios</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3645</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4120</w:t>
            </w:r>
          </w:p>
        </w:tc>
        <w:tc>
          <w:tcPr>
            <w:tcW w:w="1091"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4185</w:t>
            </w:r>
          </w:p>
        </w:tc>
        <w:tc>
          <w:tcPr>
            <w:tcW w:w="1097" w:type="dxa"/>
            <w:tcBorders>
              <w:top w:val="nil"/>
              <w:left w:val="nil"/>
              <w:bottom w:val="nil"/>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4331</w:t>
            </w:r>
          </w:p>
        </w:tc>
        <w:tc>
          <w:tcPr>
            <w:tcW w:w="1092" w:type="dxa"/>
            <w:tcBorders>
              <w:top w:val="nil"/>
              <w:left w:val="nil"/>
              <w:bottom w:val="nil"/>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4150</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auto" w:fill="auto"/>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9297</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10110</w:t>
            </w:r>
          </w:p>
        </w:tc>
        <w:tc>
          <w:tcPr>
            <w:tcW w:w="1091"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12133</w:t>
            </w:r>
          </w:p>
        </w:tc>
        <w:tc>
          <w:tcPr>
            <w:tcW w:w="1097" w:type="dxa"/>
            <w:tcBorders>
              <w:top w:val="nil"/>
              <w:left w:val="nil"/>
              <w:bottom w:val="single" w:sz="8" w:space="0" w:color="auto"/>
              <w:right w:val="nil"/>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11724</w:t>
            </w:r>
          </w:p>
        </w:tc>
        <w:tc>
          <w:tcPr>
            <w:tcW w:w="1092" w:type="dxa"/>
            <w:tcBorders>
              <w:top w:val="nil"/>
              <w:left w:val="nil"/>
              <w:bottom w:val="single" w:sz="8" w:space="0" w:color="auto"/>
              <w:right w:val="single" w:sz="8" w:space="0" w:color="auto"/>
            </w:tcBorders>
            <w:shd w:val="clear" w:color="auto" w:fill="auto"/>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11731</w:t>
            </w:r>
          </w:p>
        </w:tc>
      </w:tr>
      <w:tr w:rsidR="00FC2865" w:rsidRPr="00FC2865" w:rsidTr="005C2383">
        <w:trPr>
          <w:trHeight w:val="279"/>
          <w:jc w:val="center"/>
        </w:trPr>
        <w:tc>
          <w:tcPr>
            <w:tcW w:w="2942" w:type="dxa"/>
            <w:tcBorders>
              <w:top w:val="nil"/>
              <w:left w:val="single" w:sz="8" w:space="0" w:color="auto"/>
              <w:bottom w:val="nil"/>
              <w:right w:val="nil"/>
            </w:tcBorders>
            <w:shd w:val="clear" w:color="000000" w:fill="BDD7EE"/>
            <w:noWrap/>
            <w:vAlign w:val="bottom"/>
            <w:hideMark/>
          </w:tcPr>
          <w:p w:rsidR="00FC2865" w:rsidRPr="00FC2865" w:rsidRDefault="00FC2865" w:rsidP="00FC2865">
            <w:pPr>
              <w:rPr>
                <w:rFonts w:ascii="Calibri" w:eastAsia="Times New Roman" w:hAnsi="Calibri" w:cs="Calibri"/>
                <w:b/>
                <w:bCs/>
                <w:color w:val="000000"/>
                <w:sz w:val="22"/>
                <w:szCs w:val="22"/>
                <w:lang w:val="en-US" w:eastAsia="en-US"/>
              </w:rPr>
            </w:pPr>
            <w:r w:rsidRPr="00FC2865">
              <w:rPr>
                <w:rFonts w:ascii="Calibri" w:eastAsia="Times New Roman" w:hAnsi="Calibri" w:cs="Calibri"/>
                <w:b/>
                <w:bCs/>
                <w:color w:val="000000"/>
                <w:sz w:val="22"/>
                <w:szCs w:val="22"/>
                <w:lang w:val="en-US" w:eastAsia="en-US"/>
              </w:rPr>
              <w:t xml:space="preserve">Total Nacional </w:t>
            </w:r>
          </w:p>
        </w:tc>
        <w:tc>
          <w:tcPr>
            <w:tcW w:w="1091"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1"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7"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c>
          <w:tcPr>
            <w:tcW w:w="1092" w:type="dxa"/>
            <w:tcBorders>
              <w:top w:val="nil"/>
              <w:left w:val="nil"/>
              <w:bottom w:val="nil"/>
              <w:right w:val="single" w:sz="8" w:space="0" w:color="auto"/>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w:t>
            </w:r>
          </w:p>
        </w:tc>
      </w:tr>
      <w:tr w:rsidR="00FC2865" w:rsidRPr="00FC2865" w:rsidTr="005C2383">
        <w:trPr>
          <w:trHeight w:val="279"/>
          <w:jc w:val="center"/>
        </w:trPr>
        <w:tc>
          <w:tcPr>
            <w:tcW w:w="2942" w:type="dxa"/>
            <w:tcBorders>
              <w:top w:val="nil"/>
              <w:left w:val="single" w:sz="8" w:space="0" w:color="auto"/>
              <w:bottom w:val="nil"/>
              <w:right w:val="nil"/>
            </w:tcBorders>
            <w:shd w:val="clear" w:color="000000" w:fill="BDD7EE"/>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Primera Vez </w:t>
            </w:r>
          </w:p>
        </w:tc>
        <w:tc>
          <w:tcPr>
            <w:tcW w:w="1091"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402893</w:t>
            </w:r>
          </w:p>
        </w:tc>
        <w:tc>
          <w:tcPr>
            <w:tcW w:w="1091"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411734</w:t>
            </w:r>
          </w:p>
        </w:tc>
        <w:tc>
          <w:tcPr>
            <w:tcW w:w="1091"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424608</w:t>
            </w:r>
          </w:p>
        </w:tc>
        <w:tc>
          <w:tcPr>
            <w:tcW w:w="1097" w:type="dxa"/>
            <w:tcBorders>
              <w:top w:val="nil"/>
              <w:left w:val="nil"/>
              <w:bottom w:val="nil"/>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438748</w:t>
            </w:r>
          </w:p>
        </w:tc>
        <w:tc>
          <w:tcPr>
            <w:tcW w:w="1092" w:type="dxa"/>
            <w:tcBorders>
              <w:top w:val="nil"/>
              <w:left w:val="nil"/>
              <w:bottom w:val="nil"/>
              <w:right w:val="single" w:sz="8" w:space="0" w:color="auto"/>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403259</w:t>
            </w:r>
          </w:p>
        </w:tc>
      </w:tr>
      <w:tr w:rsidR="00FC2865" w:rsidRPr="00FC2865" w:rsidTr="005C2383">
        <w:trPr>
          <w:trHeight w:val="293"/>
          <w:jc w:val="center"/>
        </w:trPr>
        <w:tc>
          <w:tcPr>
            <w:tcW w:w="2942" w:type="dxa"/>
            <w:tcBorders>
              <w:top w:val="nil"/>
              <w:left w:val="single" w:sz="8" w:space="0" w:color="auto"/>
              <w:bottom w:val="single" w:sz="8" w:space="0" w:color="auto"/>
              <w:right w:val="nil"/>
            </w:tcBorders>
            <w:shd w:val="clear" w:color="000000" w:fill="BDD7EE"/>
            <w:noWrap/>
            <w:vAlign w:val="bottom"/>
            <w:hideMark/>
          </w:tcPr>
          <w:p w:rsidR="00FC2865" w:rsidRPr="00FC2865" w:rsidRDefault="00FC2865" w:rsidP="00FC2865">
            <w:pPr>
              <w:jc w:val="right"/>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 xml:space="preserve">Subsiguiente </w:t>
            </w:r>
          </w:p>
        </w:tc>
        <w:tc>
          <w:tcPr>
            <w:tcW w:w="1091" w:type="dxa"/>
            <w:tcBorders>
              <w:top w:val="nil"/>
              <w:left w:val="nil"/>
              <w:bottom w:val="single" w:sz="8" w:space="0" w:color="auto"/>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720016</w:t>
            </w:r>
          </w:p>
        </w:tc>
        <w:tc>
          <w:tcPr>
            <w:tcW w:w="1091" w:type="dxa"/>
            <w:tcBorders>
              <w:top w:val="nil"/>
              <w:left w:val="nil"/>
              <w:bottom w:val="single" w:sz="8" w:space="0" w:color="auto"/>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765901</w:t>
            </w:r>
          </w:p>
        </w:tc>
        <w:tc>
          <w:tcPr>
            <w:tcW w:w="1091" w:type="dxa"/>
            <w:tcBorders>
              <w:top w:val="nil"/>
              <w:left w:val="nil"/>
              <w:bottom w:val="single" w:sz="8" w:space="0" w:color="auto"/>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838821</w:t>
            </w:r>
          </w:p>
        </w:tc>
        <w:tc>
          <w:tcPr>
            <w:tcW w:w="1097" w:type="dxa"/>
            <w:tcBorders>
              <w:top w:val="nil"/>
              <w:left w:val="nil"/>
              <w:bottom w:val="single" w:sz="8" w:space="0" w:color="auto"/>
              <w:right w:val="nil"/>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899263</w:t>
            </w:r>
          </w:p>
        </w:tc>
        <w:tc>
          <w:tcPr>
            <w:tcW w:w="1092" w:type="dxa"/>
            <w:tcBorders>
              <w:top w:val="nil"/>
              <w:left w:val="nil"/>
              <w:bottom w:val="single" w:sz="8" w:space="0" w:color="auto"/>
              <w:right w:val="single" w:sz="8" w:space="0" w:color="auto"/>
            </w:tcBorders>
            <w:shd w:val="clear" w:color="000000" w:fill="BDD7EE"/>
            <w:noWrap/>
            <w:vAlign w:val="bottom"/>
            <w:hideMark/>
          </w:tcPr>
          <w:p w:rsidR="00FC2865" w:rsidRPr="00FC2865" w:rsidRDefault="00FC2865" w:rsidP="00FC2865">
            <w:pPr>
              <w:jc w:val="center"/>
              <w:rPr>
                <w:rFonts w:ascii="Calibri" w:eastAsia="Times New Roman" w:hAnsi="Calibri" w:cs="Calibri"/>
                <w:color w:val="000000"/>
                <w:sz w:val="22"/>
                <w:szCs w:val="22"/>
                <w:lang w:val="en-US" w:eastAsia="en-US"/>
              </w:rPr>
            </w:pPr>
            <w:r w:rsidRPr="00FC2865">
              <w:rPr>
                <w:rFonts w:ascii="Calibri" w:eastAsia="Times New Roman" w:hAnsi="Calibri" w:cs="Calibri"/>
                <w:color w:val="000000"/>
                <w:sz w:val="22"/>
                <w:szCs w:val="22"/>
                <w:lang w:val="en-US" w:eastAsia="en-US"/>
              </w:rPr>
              <w:t>729775</w:t>
            </w:r>
          </w:p>
        </w:tc>
      </w:tr>
      <w:tr w:rsidR="00FC2865" w:rsidRPr="00FC2865" w:rsidTr="00C95993">
        <w:trPr>
          <w:trHeight w:val="279"/>
          <w:jc w:val="center"/>
        </w:trPr>
        <w:tc>
          <w:tcPr>
            <w:tcW w:w="7312" w:type="dxa"/>
            <w:gridSpan w:val="5"/>
            <w:tcBorders>
              <w:top w:val="nil"/>
              <w:left w:val="nil"/>
              <w:bottom w:val="nil"/>
              <w:right w:val="nil"/>
            </w:tcBorders>
            <w:shd w:val="clear" w:color="auto" w:fill="auto"/>
            <w:noWrap/>
            <w:vAlign w:val="bottom"/>
            <w:hideMark/>
          </w:tcPr>
          <w:p w:rsidR="00FC2865" w:rsidRPr="00FC2865" w:rsidRDefault="00FC2865" w:rsidP="00FC2865">
            <w:pPr>
              <w:rPr>
                <w:rFonts w:ascii="Calibri" w:eastAsia="Times New Roman" w:hAnsi="Calibri" w:cs="Calibri"/>
                <w:color w:val="000000"/>
                <w:sz w:val="22"/>
                <w:szCs w:val="22"/>
                <w:lang w:eastAsia="en-US"/>
              </w:rPr>
            </w:pPr>
            <w:r w:rsidRPr="00FC2865">
              <w:rPr>
                <w:rFonts w:ascii="Calibri" w:eastAsia="Times New Roman" w:hAnsi="Calibri" w:cs="Calibri"/>
                <w:b/>
                <w:bCs/>
                <w:color w:val="000000"/>
                <w:sz w:val="22"/>
                <w:szCs w:val="22"/>
                <w:lang w:eastAsia="en-US"/>
              </w:rPr>
              <w:t>Fuente:</w:t>
            </w:r>
            <w:r w:rsidRPr="00FC2865">
              <w:rPr>
                <w:rFonts w:ascii="Calibri" w:eastAsia="Times New Roman" w:hAnsi="Calibri" w:cs="Calibri"/>
                <w:color w:val="000000"/>
                <w:sz w:val="22"/>
                <w:szCs w:val="22"/>
                <w:lang w:eastAsia="en-US"/>
              </w:rPr>
              <w:t xml:space="preserve"> Secretaría de Salud. Área Estadística de la Salud, AT2-R</w:t>
            </w:r>
          </w:p>
        </w:tc>
        <w:tc>
          <w:tcPr>
            <w:tcW w:w="1092" w:type="dxa"/>
            <w:tcBorders>
              <w:top w:val="nil"/>
              <w:left w:val="nil"/>
              <w:bottom w:val="nil"/>
              <w:right w:val="nil"/>
            </w:tcBorders>
            <w:shd w:val="clear" w:color="auto" w:fill="auto"/>
            <w:noWrap/>
            <w:vAlign w:val="bottom"/>
            <w:hideMark/>
          </w:tcPr>
          <w:p w:rsidR="00FC2865" w:rsidRPr="00FC2865" w:rsidRDefault="00FC2865" w:rsidP="00FC2865">
            <w:pPr>
              <w:rPr>
                <w:rFonts w:ascii="Calibri" w:eastAsia="Times New Roman" w:hAnsi="Calibri" w:cs="Calibri"/>
                <w:color w:val="000000"/>
                <w:sz w:val="22"/>
                <w:szCs w:val="22"/>
                <w:lang w:eastAsia="en-US"/>
              </w:rPr>
            </w:pPr>
          </w:p>
        </w:tc>
      </w:tr>
    </w:tbl>
    <w:p w:rsidR="00FC2865" w:rsidRDefault="00FC2865" w:rsidP="00B54FAE">
      <w:pPr>
        <w:shd w:val="clear" w:color="auto" w:fill="FFFFFF"/>
        <w:spacing w:after="160" w:line="235" w:lineRule="atLeast"/>
        <w:jc w:val="both"/>
        <w:rPr>
          <w:rFonts w:ascii="Bookman Old Style" w:eastAsiaTheme="minorHAnsi" w:hAnsi="Bookman Old Style" w:cs="Arial"/>
        </w:rPr>
      </w:pPr>
    </w:p>
    <w:p w:rsidR="00F44E4E" w:rsidRDefault="00F44E4E" w:rsidP="00B54FAE">
      <w:pPr>
        <w:shd w:val="clear" w:color="auto" w:fill="FFFFFF"/>
        <w:spacing w:after="160" w:line="235" w:lineRule="atLeast"/>
        <w:jc w:val="both"/>
        <w:rPr>
          <w:rFonts w:ascii="Bookman Old Style" w:eastAsiaTheme="minorHAnsi" w:hAnsi="Bookman Old Style" w:cs="Arial"/>
        </w:rPr>
      </w:pPr>
    </w:p>
    <w:tbl>
      <w:tblPr>
        <w:tblW w:w="10420" w:type="dxa"/>
        <w:jc w:val="center"/>
        <w:tblLook w:val="04A0" w:firstRow="1" w:lastRow="0" w:firstColumn="1" w:lastColumn="0" w:noHBand="0" w:noVBand="1"/>
      </w:tblPr>
      <w:tblGrid>
        <w:gridCol w:w="9116"/>
        <w:gridCol w:w="1304"/>
      </w:tblGrid>
      <w:tr w:rsidR="00CD3A25" w:rsidRPr="00CD3A25" w:rsidTr="00CD3A25">
        <w:trPr>
          <w:trHeight w:val="300"/>
          <w:jc w:val="center"/>
        </w:trPr>
        <w:tc>
          <w:tcPr>
            <w:tcW w:w="10420" w:type="dxa"/>
            <w:gridSpan w:val="2"/>
            <w:tcBorders>
              <w:top w:val="nil"/>
              <w:left w:val="nil"/>
              <w:bottom w:val="nil"/>
              <w:right w:val="nil"/>
            </w:tcBorders>
            <w:shd w:val="clear" w:color="auto" w:fill="auto"/>
            <w:noWrap/>
            <w:vAlign w:val="bottom"/>
            <w:hideMark/>
          </w:tcPr>
          <w:p w:rsidR="00CD3A25" w:rsidRPr="00CD3A25" w:rsidRDefault="00CD3A25" w:rsidP="00CD3A25">
            <w:pPr>
              <w:jc w:val="center"/>
              <w:rPr>
                <w:rFonts w:ascii="Calibri" w:eastAsia="Times New Roman" w:hAnsi="Calibri" w:cs="Calibri"/>
                <w:b/>
                <w:bCs/>
                <w:color w:val="365F91" w:themeColor="accent1" w:themeShade="BF"/>
                <w:sz w:val="22"/>
                <w:szCs w:val="22"/>
                <w:lang w:val="en-US" w:eastAsia="en-US"/>
              </w:rPr>
            </w:pPr>
            <w:r w:rsidRPr="00CD3A25">
              <w:rPr>
                <w:rFonts w:ascii="Calibri" w:eastAsia="Times New Roman" w:hAnsi="Calibri" w:cs="Calibri"/>
                <w:b/>
                <w:bCs/>
                <w:color w:val="365F91" w:themeColor="accent1" w:themeShade="BF"/>
                <w:sz w:val="22"/>
                <w:szCs w:val="22"/>
                <w:lang w:val="en-US" w:eastAsia="en-US"/>
              </w:rPr>
              <w:t>SECRETARIA DE SALUD</w:t>
            </w:r>
          </w:p>
        </w:tc>
      </w:tr>
      <w:tr w:rsidR="00CD3A25" w:rsidRPr="00CD3A25" w:rsidTr="00CD3A25">
        <w:trPr>
          <w:trHeight w:val="300"/>
          <w:jc w:val="center"/>
        </w:trPr>
        <w:tc>
          <w:tcPr>
            <w:tcW w:w="10420" w:type="dxa"/>
            <w:gridSpan w:val="2"/>
            <w:tcBorders>
              <w:top w:val="nil"/>
              <w:left w:val="nil"/>
              <w:bottom w:val="nil"/>
              <w:right w:val="nil"/>
            </w:tcBorders>
            <w:shd w:val="clear" w:color="auto" w:fill="auto"/>
            <w:noWrap/>
            <w:vAlign w:val="bottom"/>
            <w:hideMark/>
          </w:tcPr>
          <w:p w:rsidR="00CD3A25" w:rsidRPr="00CD3A25" w:rsidRDefault="00CD3A25" w:rsidP="00CD3A25">
            <w:pPr>
              <w:jc w:val="center"/>
              <w:rPr>
                <w:rFonts w:ascii="Calibri" w:eastAsia="Times New Roman" w:hAnsi="Calibri" w:cs="Calibri"/>
                <w:b/>
                <w:bCs/>
                <w:color w:val="365F91" w:themeColor="accent1" w:themeShade="BF"/>
                <w:sz w:val="22"/>
                <w:szCs w:val="22"/>
                <w:lang w:eastAsia="en-US"/>
              </w:rPr>
            </w:pPr>
            <w:r w:rsidRPr="00CD3A25">
              <w:rPr>
                <w:rFonts w:ascii="Calibri" w:eastAsia="Times New Roman" w:hAnsi="Calibri" w:cs="Calibri"/>
                <w:b/>
                <w:bCs/>
                <w:color w:val="365F91" w:themeColor="accent1" w:themeShade="BF"/>
                <w:sz w:val="22"/>
                <w:szCs w:val="22"/>
                <w:lang w:eastAsia="en-US"/>
              </w:rPr>
              <w:t>AREA ESTADISTICA DE LA SALUD</w:t>
            </w:r>
          </w:p>
        </w:tc>
      </w:tr>
      <w:tr w:rsidR="00CD3A25" w:rsidRPr="00CD3A25" w:rsidTr="00CD3A25">
        <w:trPr>
          <w:trHeight w:val="300"/>
          <w:jc w:val="center"/>
        </w:trPr>
        <w:tc>
          <w:tcPr>
            <w:tcW w:w="10420" w:type="dxa"/>
            <w:gridSpan w:val="2"/>
            <w:tcBorders>
              <w:top w:val="nil"/>
              <w:left w:val="nil"/>
              <w:bottom w:val="nil"/>
              <w:right w:val="nil"/>
            </w:tcBorders>
            <w:shd w:val="clear" w:color="auto" w:fill="auto"/>
            <w:noWrap/>
            <w:vAlign w:val="bottom"/>
            <w:hideMark/>
          </w:tcPr>
          <w:p w:rsidR="00CD3A25" w:rsidRPr="00CD3A25" w:rsidRDefault="00CD3A25" w:rsidP="00CD3A25">
            <w:pPr>
              <w:jc w:val="center"/>
              <w:rPr>
                <w:rFonts w:ascii="Calibri" w:eastAsia="Times New Roman" w:hAnsi="Calibri" w:cs="Calibri"/>
                <w:b/>
                <w:bCs/>
                <w:color w:val="365F91" w:themeColor="accent1" w:themeShade="BF"/>
                <w:sz w:val="22"/>
                <w:szCs w:val="22"/>
                <w:lang w:eastAsia="en-US"/>
              </w:rPr>
            </w:pPr>
            <w:r w:rsidRPr="00CD3A25">
              <w:rPr>
                <w:rFonts w:ascii="Calibri" w:eastAsia="Times New Roman" w:hAnsi="Calibri" w:cs="Calibri"/>
                <w:b/>
                <w:bCs/>
                <w:color w:val="365F91" w:themeColor="accent1" w:themeShade="BF"/>
                <w:sz w:val="22"/>
                <w:szCs w:val="22"/>
                <w:lang w:eastAsia="en-US"/>
              </w:rPr>
              <w:t xml:space="preserve"> DIEZ PRIMERAS CAUSAS DE EGRESOS  HOSPITALARIOS EN PACIENTES MAYORES DE 60 AÑOS </w:t>
            </w:r>
          </w:p>
        </w:tc>
      </w:tr>
      <w:tr w:rsidR="00CD3A25" w:rsidRPr="00CD3A25" w:rsidTr="00CD3A25">
        <w:trPr>
          <w:trHeight w:val="315"/>
          <w:jc w:val="center"/>
        </w:trPr>
        <w:tc>
          <w:tcPr>
            <w:tcW w:w="10420" w:type="dxa"/>
            <w:gridSpan w:val="2"/>
            <w:tcBorders>
              <w:top w:val="nil"/>
              <w:left w:val="nil"/>
              <w:bottom w:val="nil"/>
              <w:right w:val="nil"/>
            </w:tcBorders>
            <w:shd w:val="clear" w:color="auto" w:fill="auto"/>
            <w:noWrap/>
            <w:vAlign w:val="bottom"/>
            <w:hideMark/>
          </w:tcPr>
          <w:p w:rsidR="00CD3A25" w:rsidRPr="00CD3A25" w:rsidRDefault="00CD3A25" w:rsidP="00CD3A25">
            <w:pPr>
              <w:jc w:val="center"/>
              <w:rPr>
                <w:rFonts w:ascii="Calibri" w:eastAsia="Times New Roman" w:hAnsi="Calibri" w:cs="Calibri"/>
                <w:b/>
                <w:bCs/>
                <w:color w:val="365F91" w:themeColor="accent1" w:themeShade="BF"/>
                <w:sz w:val="22"/>
                <w:szCs w:val="22"/>
                <w:lang w:val="en-US" w:eastAsia="en-US"/>
              </w:rPr>
            </w:pPr>
            <w:r w:rsidRPr="00CD3A25">
              <w:rPr>
                <w:rFonts w:ascii="Calibri" w:eastAsia="Times New Roman" w:hAnsi="Calibri" w:cs="Calibri"/>
                <w:b/>
                <w:bCs/>
                <w:color w:val="365F91" w:themeColor="accent1" w:themeShade="BF"/>
                <w:sz w:val="22"/>
                <w:szCs w:val="22"/>
                <w:lang w:val="en-US" w:eastAsia="en-US"/>
              </w:rPr>
              <w:t xml:space="preserve">HONDURAS C. A., 2016-2020 </w:t>
            </w:r>
          </w:p>
        </w:tc>
      </w:tr>
      <w:tr w:rsidR="00CD3A25" w:rsidRPr="00CD3A25" w:rsidTr="00CD3A25">
        <w:trPr>
          <w:trHeight w:val="315"/>
          <w:jc w:val="center"/>
        </w:trPr>
        <w:tc>
          <w:tcPr>
            <w:tcW w:w="9116" w:type="dxa"/>
            <w:tcBorders>
              <w:top w:val="single" w:sz="8" w:space="0" w:color="auto"/>
              <w:left w:val="single" w:sz="8" w:space="0" w:color="auto"/>
              <w:bottom w:val="single" w:sz="8" w:space="0" w:color="auto"/>
              <w:right w:val="nil"/>
            </w:tcBorders>
            <w:shd w:val="clear" w:color="D9E1F2" w:fill="D9E1F2"/>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 xml:space="preserve">Código /  Afección Principal CIE-10 </w:t>
            </w:r>
          </w:p>
        </w:tc>
        <w:tc>
          <w:tcPr>
            <w:tcW w:w="1304" w:type="dxa"/>
            <w:tcBorders>
              <w:top w:val="single" w:sz="8" w:space="0" w:color="auto"/>
              <w:left w:val="single" w:sz="8" w:space="0" w:color="auto"/>
              <w:bottom w:val="single" w:sz="8" w:space="0" w:color="auto"/>
              <w:right w:val="single" w:sz="8" w:space="0" w:color="auto"/>
            </w:tcBorders>
            <w:shd w:val="clear" w:color="D9E1F2" w:fill="D9E1F2"/>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 xml:space="preserve">Total Egresos </w:t>
            </w:r>
          </w:p>
        </w:tc>
      </w:tr>
      <w:tr w:rsidR="00CD3A25" w:rsidRPr="00CD3A25" w:rsidTr="00CD3A25">
        <w:trPr>
          <w:trHeight w:val="300"/>
          <w:jc w:val="center"/>
        </w:trPr>
        <w:tc>
          <w:tcPr>
            <w:tcW w:w="9116" w:type="dxa"/>
            <w:tcBorders>
              <w:top w:val="nil"/>
              <w:left w:val="single" w:sz="8" w:space="0" w:color="auto"/>
              <w:bottom w:val="single" w:sz="4" w:space="0" w:color="8EA9DB"/>
              <w:right w:val="nil"/>
            </w:tcBorders>
            <w:shd w:val="clear" w:color="auto" w:fill="auto"/>
            <w:noWrap/>
            <w:vAlign w:val="bottom"/>
            <w:hideMark/>
          </w:tcPr>
          <w:p w:rsidR="00CD3A25" w:rsidRPr="00CD3A25" w:rsidRDefault="00CD3A25" w:rsidP="00CD3A25">
            <w:pP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2016</w:t>
            </w:r>
          </w:p>
        </w:tc>
        <w:tc>
          <w:tcPr>
            <w:tcW w:w="1304" w:type="dxa"/>
            <w:tcBorders>
              <w:top w:val="nil"/>
              <w:left w:val="single" w:sz="8" w:space="0" w:color="auto"/>
              <w:bottom w:val="single" w:sz="4" w:space="0" w:color="8EA9DB"/>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9696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E11.5 Diabetes Mellitus No Insulinodependiente Con Complicaciones Circulatorias Periféricas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1166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J44.1 Enfermedad Pulmonar Obstructiva Crónica Con Exacerbación Aguda,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1138</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J44.9 Enfermedad Pulmonar Obstructiva Crónica,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1111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I67.8 Otras Enfermedades Cerebrovasculares Especificadas (Isquemia cerebral)</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1021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K40.9 Hernia Inguinal Unilateral O No Especificada, Sin Obstrucción Ni Gangrena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1000</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J18.9 Neumonia,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998</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I10.X Hipertensión Esencial (Primaria)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837</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K80.1 Calculo De La Vesícula Biliar Con Otra Colecistitis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826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I11.0 Enfermedad Cardiaca Hipertensiva Con Insuficiencia Cardiaca (Congestiva)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808</w:t>
            </w:r>
          </w:p>
        </w:tc>
      </w:tr>
      <w:tr w:rsidR="00CD3A25" w:rsidRPr="00CD3A25" w:rsidTr="00CD3A25">
        <w:trPr>
          <w:trHeight w:val="315"/>
          <w:jc w:val="center"/>
        </w:trPr>
        <w:tc>
          <w:tcPr>
            <w:tcW w:w="9116" w:type="dxa"/>
            <w:tcBorders>
              <w:top w:val="nil"/>
              <w:left w:val="single" w:sz="8" w:space="0" w:color="auto"/>
              <w:bottom w:val="single" w:sz="8" w:space="0" w:color="auto"/>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E11.2 Diabetes Mellitus No Insulinodependiente Con Complicaciones Renales</w:t>
            </w:r>
          </w:p>
        </w:tc>
        <w:tc>
          <w:tcPr>
            <w:tcW w:w="1304" w:type="dxa"/>
            <w:tcBorders>
              <w:top w:val="nil"/>
              <w:left w:val="single" w:sz="8" w:space="0" w:color="auto"/>
              <w:bottom w:val="single" w:sz="8" w:space="0" w:color="auto"/>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791</w:t>
            </w:r>
          </w:p>
        </w:tc>
      </w:tr>
      <w:tr w:rsidR="00CD3A25" w:rsidRPr="00CD3A25" w:rsidTr="00CD3A25">
        <w:trPr>
          <w:trHeight w:val="300"/>
          <w:jc w:val="center"/>
        </w:trPr>
        <w:tc>
          <w:tcPr>
            <w:tcW w:w="9116" w:type="dxa"/>
            <w:tcBorders>
              <w:top w:val="nil"/>
              <w:left w:val="single" w:sz="8" w:space="0" w:color="auto"/>
              <w:bottom w:val="single" w:sz="4" w:space="0" w:color="8EA9DB"/>
              <w:right w:val="nil"/>
            </w:tcBorders>
            <w:shd w:val="clear" w:color="auto" w:fill="auto"/>
            <w:noWrap/>
            <w:vAlign w:val="bottom"/>
            <w:hideMark/>
          </w:tcPr>
          <w:p w:rsidR="00CD3A25" w:rsidRPr="00CD3A25" w:rsidRDefault="00CD3A25" w:rsidP="00CD3A25">
            <w:pP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2017</w:t>
            </w:r>
          </w:p>
        </w:tc>
        <w:tc>
          <w:tcPr>
            <w:tcW w:w="1304" w:type="dxa"/>
            <w:tcBorders>
              <w:top w:val="nil"/>
              <w:left w:val="single" w:sz="8" w:space="0" w:color="auto"/>
              <w:bottom w:val="single" w:sz="4" w:space="0" w:color="8EA9DB"/>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10884</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J44.9 Enfermedad Pulmonar Obstructiva Crónica,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1389</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E11.5 Diabetes Mellitus No Insulinodependiente Con Complicaciones Circulatorias Periféricas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1358</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J18.9 Neumonia,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1343</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J44.1 Enfermedad Pulmonar Obstructiva Crónica Con Exacerbación Aguda,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1155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I67.8 Otras Enfermedades Cerebrovasculares Especificadas (Isquemia cerebral)</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1121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I11.0 Enfermedad Cardiaca Hipertensiva Con Insuficiencia Cardiaca (Congestiva)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1013</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I10.X Hipertensión Esencial (Primaria)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965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K40.9 Hernia Inguinal Unilateral O No Especificada, Sin Obstrucción Ni Gangrena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909</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E11.2 Diabetes Mellitus No Insulinodependiente Con Complicaciones Renales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848</w:t>
            </w:r>
          </w:p>
        </w:tc>
      </w:tr>
      <w:tr w:rsidR="00CD3A25" w:rsidRPr="00CD3A25" w:rsidTr="00CD3A25">
        <w:trPr>
          <w:trHeight w:val="315"/>
          <w:jc w:val="center"/>
        </w:trPr>
        <w:tc>
          <w:tcPr>
            <w:tcW w:w="9116" w:type="dxa"/>
            <w:tcBorders>
              <w:top w:val="nil"/>
              <w:left w:val="single" w:sz="8" w:space="0" w:color="auto"/>
              <w:bottom w:val="single" w:sz="8" w:space="0" w:color="auto"/>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E11.7 Diabetes Mellitus No Insulinodependiente Con Complicaciones Múltiples</w:t>
            </w:r>
          </w:p>
        </w:tc>
        <w:tc>
          <w:tcPr>
            <w:tcW w:w="1304" w:type="dxa"/>
            <w:tcBorders>
              <w:top w:val="nil"/>
              <w:left w:val="single" w:sz="8" w:space="0" w:color="auto"/>
              <w:bottom w:val="single" w:sz="8" w:space="0" w:color="auto"/>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783</w:t>
            </w:r>
          </w:p>
        </w:tc>
      </w:tr>
      <w:tr w:rsidR="00CD3A25" w:rsidRPr="00CD3A25" w:rsidTr="00CD3A25">
        <w:trPr>
          <w:trHeight w:val="300"/>
          <w:jc w:val="center"/>
        </w:trPr>
        <w:tc>
          <w:tcPr>
            <w:tcW w:w="9116" w:type="dxa"/>
            <w:tcBorders>
              <w:top w:val="nil"/>
              <w:left w:val="single" w:sz="8" w:space="0" w:color="auto"/>
              <w:bottom w:val="single" w:sz="4" w:space="0" w:color="8EA9DB"/>
              <w:right w:val="nil"/>
            </w:tcBorders>
            <w:shd w:val="clear" w:color="auto" w:fill="auto"/>
            <w:noWrap/>
            <w:vAlign w:val="bottom"/>
            <w:hideMark/>
          </w:tcPr>
          <w:p w:rsidR="00CD3A25" w:rsidRPr="00CD3A25" w:rsidRDefault="00CD3A25" w:rsidP="00CD3A25">
            <w:pP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2018</w:t>
            </w:r>
          </w:p>
        </w:tc>
        <w:tc>
          <w:tcPr>
            <w:tcW w:w="1304" w:type="dxa"/>
            <w:tcBorders>
              <w:top w:val="nil"/>
              <w:left w:val="single" w:sz="8" w:space="0" w:color="auto"/>
              <w:bottom w:val="single" w:sz="4" w:space="0" w:color="8EA9DB"/>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11312</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E11.5 Diabetes Mellitus No Insulinodependiente Con Complicaciones Circulatorias Periféricas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1627</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J44.9 Enfermedad Pulmonar Obstructiva Crónica,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1328</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J18.9 Neumonia,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1185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J44.1 Enfermedad Pulmonar Obstructiva Crónica Con Exacerbación Aguda,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1184</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I67.8 Otras Enfermedades Cerebrovasculares Especificadas (Isquemia cerebral)</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1134</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K40.9 Hernia Inguinal Unilateral O No Especificada, Sin Obstrucción Ni Gangrena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1016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E11.2 Diabetes Mellitus No Insulinodependiente Con Complicaciones Renales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1004</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I11.0 Enfermedad Cardiaca Hipertensiva Con Insuficiencia Cardiaca (Congestiva)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999</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I10.X Hipertensión Esencial (Primaria)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936</w:t>
            </w:r>
          </w:p>
        </w:tc>
      </w:tr>
      <w:tr w:rsidR="00CD3A25" w:rsidRPr="00CD3A25" w:rsidTr="00CD3A25">
        <w:trPr>
          <w:trHeight w:val="315"/>
          <w:jc w:val="center"/>
        </w:trPr>
        <w:tc>
          <w:tcPr>
            <w:tcW w:w="9116" w:type="dxa"/>
            <w:tcBorders>
              <w:top w:val="nil"/>
              <w:left w:val="single" w:sz="8" w:space="0" w:color="auto"/>
              <w:bottom w:val="single" w:sz="8" w:space="0" w:color="auto"/>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E11.7 Diabetes Mellitus No Insulinodependiente Con Complicaciones Múltiples</w:t>
            </w:r>
          </w:p>
        </w:tc>
        <w:tc>
          <w:tcPr>
            <w:tcW w:w="1304" w:type="dxa"/>
            <w:tcBorders>
              <w:top w:val="nil"/>
              <w:left w:val="single" w:sz="8" w:space="0" w:color="auto"/>
              <w:bottom w:val="single" w:sz="8" w:space="0" w:color="auto"/>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899</w:t>
            </w:r>
          </w:p>
        </w:tc>
      </w:tr>
      <w:tr w:rsidR="00CD3A25" w:rsidRPr="00CD3A25" w:rsidTr="00CD3A25">
        <w:trPr>
          <w:trHeight w:val="300"/>
          <w:jc w:val="center"/>
        </w:trPr>
        <w:tc>
          <w:tcPr>
            <w:tcW w:w="9116" w:type="dxa"/>
            <w:tcBorders>
              <w:top w:val="nil"/>
              <w:left w:val="single" w:sz="8" w:space="0" w:color="auto"/>
              <w:bottom w:val="single" w:sz="4" w:space="0" w:color="8EA9DB"/>
              <w:right w:val="nil"/>
            </w:tcBorders>
            <w:shd w:val="clear" w:color="auto" w:fill="auto"/>
            <w:noWrap/>
            <w:vAlign w:val="bottom"/>
            <w:hideMark/>
          </w:tcPr>
          <w:p w:rsidR="00CD3A25" w:rsidRPr="00CD3A25" w:rsidRDefault="00CD3A25" w:rsidP="00CD3A25">
            <w:pP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2019</w:t>
            </w:r>
          </w:p>
        </w:tc>
        <w:tc>
          <w:tcPr>
            <w:tcW w:w="1304" w:type="dxa"/>
            <w:tcBorders>
              <w:top w:val="nil"/>
              <w:left w:val="single" w:sz="8" w:space="0" w:color="auto"/>
              <w:bottom w:val="single" w:sz="4" w:space="0" w:color="8EA9DB"/>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12892</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J18.9 Neumonia,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1615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lastRenderedPageBreak/>
              <w:t>E11.5 Diabetes Mellitus No Insulinodependiente Con Complicaciones Circulatorias Periféricas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1536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J44.9 Enfermedad Pulmonar Obstructiva Crónica,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1432</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I67.8 Otras Enfermedades Cerebrovasculares Especificadas (Isquemia cerebral)</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1211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J44.1 Enfermedad Pulmonar Obstructiva Crónica Con Exacerbación Aguda,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1186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I11.0 Enfermedad Cardiaca Hipertensiva Con Insuficiencia Cardiaca (Congestiva)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1055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A90.X Fiebre Del Dengue [Dengue Clásico]</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1021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K40.9 Hernia Inguinal Unilateral O No Especificada, Sin Obstrucción Ni Gangrena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979</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E11.2 Diabetes Mellitus No Insulinodependiente Con Complicaciones Renales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959</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A41.9 Septicemia,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949</w:t>
            </w:r>
          </w:p>
        </w:tc>
      </w:tr>
      <w:tr w:rsidR="00CD3A25" w:rsidRPr="00CD3A25" w:rsidTr="00CD3A25">
        <w:trPr>
          <w:trHeight w:val="315"/>
          <w:jc w:val="center"/>
        </w:trPr>
        <w:tc>
          <w:tcPr>
            <w:tcW w:w="9116" w:type="dxa"/>
            <w:tcBorders>
              <w:top w:val="nil"/>
              <w:left w:val="single" w:sz="8" w:space="0" w:color="auto"/>
              <w:bottom w:val="single" w:sz="8" w:space="0" w:color="auto"/>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I10.X Hipertensión Esencial (Primaria)</w:t>
            </w:r>
          </w:p>
        </w:tc>
        <w:tc>
          <w:tcPr>
            <w:tcW w:w="1304" w:type="dxa"/>
            <w:tcBorders>
              <w:top w:val="nil"/>
              <w:left w:val="single" w:sz="8" w:space="0" w:color="auto"/>
              <w:bottom w:val="single" w:sz="8" w:space="0" w:color="auto"/>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949</w:t>
            </w:r>
          </w:p>
        </w:tc>
      </w:tr>
      <w:tr w:rsidR="00CD3A25" w:rsidRPr="00CD3A25" w:rsidTr="00CD3A25">
        <w:trPr>
          <w:trHeight w:val="300"/>
          <w:jc w:val="center"/>
        </w:trPr>
        <w:tc>
          <w:tcPr>
            <w:tcW w:w="9116" w:type="dxa"/>
            <w:tcBorders>
              <w:top w:val="nil"/>
              <w:left w:val="single" w:sz="8" w:space="0" w:color="auto"/>
              <w:bottom w:val="single" w:sz="4" w:space="0" w:color="8EA9DB"/>
              <w:right w:val="nil"/>
            </w:tcBorders>
            <w:shd w:val="clear" w:color="auto" w:fill="auto"/>
            <w:noWrap/>
            <w:vAlign w:val="bottom"/>
            <w:hideMark/>
          </w:tcPr>
          <w:p w:rsidR="00CD3A25" w:rsidRPr="00CD3A25" w:rsidRDefault="00CD3A25" w:rsidP="00CD3A25">
            <w:pP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2020</w:t>
            </w:r>
          </w:p>
        </w:tc>
        <w:tc>
          <w:tcPr>
            <w:tcW w:w="1304" w:type="dxa"/>
            <w:tcBorders>
              <w:top w:val="nil"/>
              <w:left w:val="single" w:sz="8" w:space="0" w:color="auto"/>
              <w:bottom w:val="single" w:sz="4" w:space="0" w:color="8EA9DB"/>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b/>
                <w:bCs/>
                <w:color w:val="000000"/>
                <w:sz w:val="22"/>
                <w:szCs w:val="22"/>
                <w:lang w:val="en-US" w:eastAsia="en-US"/>
              </w:rPr>
            </w:pPr>
            <w:r w:rsidRPr="00CD3A25">
              <w:rPr>
                <w:rFonts w:ascii="Calibri" w:eastAsia="Times New Roman" w:hAnsi="Calibri" w:cs="Calibri"/>
                <w:b/>
                <w:bCs/>
                <w:color w:val="000000"/>
                <w:sz w:val="22"/>
                <w:szCs w:val="22"/>
                <w:lang w:val="en-US" w:eastAsia="en-US"/>
              </w:rPr>
              <w:t>10506</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U07.2 COVID-19, virus no identificado</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2654</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J18.9 Neumonia,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1981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E11.5 Diabetes Mellitus No Insulinodependiente Con Complicaciones Circulatorias Periféricas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1038</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U07.1 COVID-19, virus identificado</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1035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I67.8 Otras Enfermedades Cerebrovasculares Especificadas (Isquemia cerebral)</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752</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K92.2 Hemorragia Gastrointestinal,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701</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I10.X Hipertensión Esencial (Primaria)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645</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A41.9 Septicemia, No Especificada</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624</w:t>
            </w:r>
          </w:p>
        </w:tc>
      </w:tr>
      <w:tr w:rsidR="00CD3A25" w:rsidRPr="00CD3A25" w:rsidTr="00CD3A25">
        <w:trPr>
          <w:trHeight w:val="300"/>
          <w:jc w:val="center"/>
        </w:trPr>
        <w:tc>
          <w:tcPr>
            <w:tcW w:w="9116" w:type="dxa"/>
            <w:tcBorders>
              <w:top w:val="nil"/>
              <w:left w:val="single" w:sz="8" w:space="0" w:color="auto"/>
              <w:bottom w:val="nil"/>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E11.2 Diabetes Mellitus No Insulinodependiente Con Complicaciones Renales</w:t>
            </w:r>
          </w:p>
        </w:tc>
        <w:tc>
          <w:tcPr>
            <w:tcW w:w="1304" w:type="dxa"/>
            <w:tcBorders>
              <w:top w:val="nil"/>
              <w:left w:val="single" w:sz="8" w:space="0" w:color="auto"/>
              <w:bottom w:val="nil"/>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574</w:t>
            </w:r>
          </w:p>
        </w:tc>
      </w:tr>
      <w:tr w:rsidR="00CD3A25" w:rsidRPr="00CD3A25" w:rsidTr="00CD3A25">
        <w:trPr>
          <w:trHeight w:val="315"/>
          <w:jc w:val="center"/>
        </w:trPr>
        <w:tc>
          <w:tcPr>
            <w:tcW w:w="9116" w:type="dxa"/>
            <w:tcBorders>
              <w:top w:val="nil"/>
              <w:left w:val="single" w:sz="8" w:space="0" w:color="auto"/>
              <w:bottom w:val="single" w:sz="8" w:space="0" w:color="auto"/>
              <w:right w:val="nil"/>
            </w:tcBorders>
            <w:shd w:val="clear" w:color="auto" w:fill="auto"/>
            <w:noWrap/>
            <w:vAlign w:val="bottom"/>
            <w:hideMark/>
          </w:tcPr>
          <w:p w:rsidR="00CD3A25" w:rsidRPr="00CD3A25" w:rsidRDefault="00CD3A25" w:rsidP="00CD3A25">
            <w:pPr>
              <w:ind w:firstLineChars="100" w:firstLine="220"/>
              <w:rPr>
                <w:rFonts w:ascii="Calibri" w:eastAsia="Times New Roman" w:hAnsi="Calibri" w:cs="Calibri"/>
                <w:color w:val="000000"/>
                <w:sz w:val="22"/>
                <w:szCs w:val="22"/>
                <w:lang w:eastAsia="en-US"/>
              </w:rPr>
            </w:pPr>
            <w:r w:rsidRPr="00CD3A25">
              <w:rPr>
                <w:rFonts w:ascii="Calibri" w:eastAsia="Times New Roman" w:hAnsi="Calibri" w:cs="Calibri"/>
                <w:color w:val="000000"/>
                <w:sz w:val="22"/>
                <w:szCs w:val="22"/>
                <w:lang w:eastAsia="en-US"/>
              </w:rPr>
              <w:t>I11.0 Enfermedad Cardiaca Hipertensiva Con Insuficiencia Cardiaca (Congestiva)</w:t>
            </w:r>
          </w:p>
        </w:tc>
        <w:tc>
          <w:tcPr>
            <w:tcW w:w="1304" w:type="dxa"/>
            <w:tcBorders>
              <w:top w:val="nil"/>
              <w:left w:val="single" w:sz="8" w:space="0" w:color="auto"/>
              <w:bottom w:val="single" w:sz="8" w:space="0" w:color="auto"/>
              <w:right w:val="single" w:sz="8" w:space="0" w:color="auto"/>
            </w:tcBorders>
            <w:shd w:val="clear" w:color="auto" w:fill="auto"/>
            <w:noWrap/>
            <w:vAlign w:val="bottom"/>
            <w:hideMark/>
          </w:tcPr>
          <w:p w:rsidR="00CD3A25" w:rsidRPr="00CD3A25" w:rsidRDefault="00CD3A25" w:rsidP="00CD3A25">
            <w:pPr>
              <w:jc w:val="center"/>
              <w:rPr>
                <w:rFonts w:ascii="Calibri" w:eastAsia="Times New Roman" w:hAnsi="Calibri" w:cs="Calibri"/>
                <w:color w:val="000000"/>
                <w:sz w:val="22"/>
                <w:szCs w:val="22"/>
                <w:lang w:val="en-US" w:eastAsia="en-US"/>
              </w:rPr>
            </w:pPr>
            <w:r w:rsidRPr="00CD3A25">
              <w:rPr>
                <w:rFonts w:ascii="Calibri" w:eastAsia="Times New Roman" w:hAnsi="Calibri" w:cs="Calibri"/>
                <w:color w:val="000000"/>
                <w:sz w:val="22"/>
                <w:szCs w:val="22"/>
                <w:lang w:val="en-US" w:eastAsia="en-US"/>
              </w:rPr>
              <w:t>502</w:t>
            </w:r>
          </w:p>
        </w:tc>
      </w:tr>
    </w:tbl>
    <w:p w:rsidR="00FC2865" w:rsidRDefault="00FC2865" w:rsidP="00B54FAE">
      <w:pPr>
        <w:shd w:val="clear" w:color="auto" w:fill="FFFFFF"/>
        <w:spacing w:after="160" w:line="235" w:lineRule="atLeast"/>
        <w:jc w:val="both"/>
        <w:rPr>
          <w:rFonts w:ascii="Bookman Old Style" w:eastAsiaTheme="minorHAnsi" w:hAnsi="Bookman Old Style" w:cs="Arial"/>
        </w:rPr>
      </w:pPr>
    </w:p>
    <w:p w:rsidR="006E09F0" w:rsidRDefault="000612EA" w:rsidP="000612EA">
      <w:pPr>
        <w:shd w:val="clear" w:color="auto" w:fill="FFFFFF"/>
        <w:spacing w:line="120" w:lineRule="atLeast"/>
        <w:jc w:val="center"/>
        <w:rPr>
          <w:rFonts w:ascii="Calibri" w:eastAsia="Times New Roman" w:hAnsi="Calibri" w:cs="Calibri"/>
          <w:b/>
          <w:bCs/>
          <w:color w:val="365F91" w:themeColor="accent1" w:themeShade="BF"/>
          <w:sz w:val="22"/>
          <w:szCs w:val="22"/>
          <w:lang w:val="en-US" w:eastAsia="en-US"/>
        </w:rPr>
      </w:pPr>
      <w:r w:rsidRPr="00276905">
        <w:rPr>
          <w:rFonts w:ascii="Calibri" w:eastAsia="Times New Roman" w:hAnsi="Calibri" w:cs="Calibri"/>
          <w:b/>
          <w:bCs/>
          <w:color w:val="365F91" w:themeColor="accent1" w:themeShade="BF"/>
          <w:sz w:val="22"/>
          <w:szCs w:val="22"/>
          <w:lang w:val="en-US" w:eastAsia="en-US"/>
        </w:rPr>
        <w:t>SECRETARÍA DE SALUD</w:t>
      </w:r>
    </w:p>
    <w:p w:rsidR="000612EA" w:rsidRPr="000612EA" w:rsidRDefault="000612EA" w:rsidP="000612EA">
      <w:pPr>
        <w:shd w:val="clear" w:color="auto" w:fill="FFFFFF"/>
        <w:spacing w:line="120" w:lineRule="atLeast"/>
        <w:jc w:val="center"/>
        <w:rPr>
          <w:rFonts w:ascii="Calibri" w:eastAsia="Times New Roman" w:hAnsi="Calibri" w:cs="Calibri"/>
          <w:b/>
          <w:bCs/>
          <w:color w:val="365F91" w:themeColor="accent1" w:themeShade="BF"/>
          <w:sz w:val="22"/>
          <w:szCs w:val="22"/>
          <w:lang w:eastAsia="en-US"/>
        </w:rPr>
      </w:pPr>
      <w:r w:rsidRPr="000612EA">
        <w:rPr>
          <w:rFonts w:ascii="Calibri" w:eastAsia="Times New Roman" w:hAnsi="Calibri" w:cs="Calibri"/>
          <w:b/>
          <w:bCs/>
          <w:color w:val="365F91" w:themeColor="accent1" w:themeShade="BF"/>
          <w:sz w:val="22"/>
          <w:szCs w:val="22"/>
          <w:lang w:eastAsia="en-US"/>
        </w:rPr>
        <w:t>INFORME ESTADISTICO DE LA EPIDEMIA DE VIH EN HONDURAS</w:t>
      </w:r>
    </w:p>
    <w:p w:rsidR="000612EA" w:rsidRDefault="00B06A43" w:rsidP="000612EA">
      <w:pPr>
        <w:shd w:val="clear" w:color="auto" w:fill="FFFFFF"/>
        <w:spacing w:line="120" w:lineRule="atLeast"/>
        <w:jc w:val="center"/>
        <w:rPr>
          <w:rFonts w:ascii="Calibri" w:eastAsia="Times New Roman" w:hAnsi="Calibri" w:cs="Calibri"/>
          <w:b/>
          <w:bCs/>
          <w:color w:val="365F91" w:themeColor="accent1" w:themeShade="BF"/>
          <w:sz w:val="22"/>
          <w:szCs w:val="22"/>
          <w:lang w:eastAsia="en-US"/>
        </w:rPr>
      </w:pPr>
      <w:r>
        <w:rPr>
          <w:rFonts w:ascii="Bookman Old Style" w:eastAsiaTheme="minorHAnsi" w:hAnsi="Bookman Old Style" w:cs="Arial"/>
          <w:noProof/>
          <w:lang w:val="es-HN" w:eastAsia="es-HN"/>
        </w:rPr>
        <w:drawing>
          <wp:anchor distT="0" distB="0" distL="114300" distR="114300" simplePos="0" relativeHeight="251662336" behindDoc="0" locked="0" layoutInCell="1" allowOverlap="1" wp14:anchorId="6217A1E6" wp14:editId="3FAAE4B9">
            <wp:simplePos x="0" y="0"/>
            <wp:positionH relativeFrom="column">
              <wp:posOffset>3175</wp:posOffset>
            </wp:positionH>
            <wp:positionV relativeFrom="paragraph">
              <wp:posOffset>219710</wp:posOffset>
            </wp:positionV>
            <wp:extent cx="5612130" cy="3423920"/>
            <wp:effectExtent l="0" t="0" r="7620" b="5080"/>
            <wp:wrapTopAndBottom/>
            <wp:docPr id="1" name="Imagen 1" descr="C:\Users\Nidia\Downloads\IMG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ia\Downloads\IMG_67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42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2EA">
        <w:rPr>
          <w:rFonts w:ascii="Calibri" w:eastAsia="Times New Roman" w:hAnsi="Calibri" w:cs="Calibri"/>
          <w:b/>
          <w:bCs/>
          <w:color w:val="365F91" w:themeColor="accent1" w:themeShade="BF"/>
          <w:sz w:val="22"/>
          <w:szCs w:val="22"/>
          <w:lang w:eastAsia="en-US"/>
        </w:rPr>
        <w:t>PERIODO 1985 – OCTUBRE 2021</w:t>
      </w:r>
    </w:p>
    <w:p w:rsidR="000612EA" w:rsidRDefault="000612EA" w:rsidP="00B54FAE">
      <w:pPr>
        <w:shd w:val="clear" w:color="auto" w:fill="FFFFFF"/>
        <w:spacing w:after="160" w:line="235" w:lineRule="atLeast"/>
        <w:jc w:val="both"/>
        <w:rPr>
          <w:rFonts w:ascii="Bookman Old Style" w:eastAsiaTheme="minorHAnsi" w:hAnsi="Bookman Old Style" w:cs="Arial"/>
        </w:rPr>
      </w:pPr>
    </w:p>
    <w:p w:rsidR="000612EA" w:rsidRDefault="000612EA" w:rsidP="00B54FAE">
      <w:pPr>
        <w:shd w:val="clear" w:color="auto" w:fill="FFFFFF"/>
        <w:spacing w:after="160" w:line="235" w:lineRule="atLeast"/>
        <w:jc w:val="both"/>
        <w:rPr>
          <w:rFonts w:ascii="Bookman Old Style" w:eastAsiaTheme="minorHAnsi" w:hAnsi="Bookman Old Style" w:cs="Arial"/>
        </w:rPr>
      </w:pPr>
      <w:r>
        <w:rPr>
          <w:rFonts w:ascii="Bookman Old Style" w:eastAsiaTheme="minorHAnsi" w:hAnsi="Bookman Old Style" w:cs="Arial"/>
        </w:rPr>
        <w:t xml:space="preserve">Del total de casos acumulados durante la pandemia de VIH en Honduras entre 1985 a octubre del 2021 </w:t>
      </w:r>
      <w:r w:rsidR="00DA63C9">
        <w:rPr>
          <w:rFonts w:ascii="Bookman Old Style" w:eastAsiaTheme="minorHAnsi" w:hAnsi="Bookman Old Style" w:cs="Arial"/>
        </w:rPr>
        <w:t xml:space="preserve">de acuerdo a </w:t>
      </w:r>
      <w:r>
        <w:rPr>
          <w:rFonts w:ascii="Bookman Old Style" w:eastAsiaTheme="minorHAnsi" w:hAnsi="Bookman Old Style" w:cs="Arial"/>
        </w:rPr>
        <w:t xml:space="preserve">estadio, el 1.52 % </w:t>
      </w:r>
      <w:r w:rsidR="00DA63C9">
        <w:rPr>
          <w:rFonts w:ascii="Bookman Old Style" w:eastAsiaTheme="minorHAnsi" w:hAnsi="Bookman Old Style" w:cs="Arial"/>
        </w:rPr>
        <w:t>en personas</w:t>
      </w:r>
      <w:r>
        <w:rPr>
          <w:rFonts w:ascii="Bookman Old Style" w:eastAsiaTheme="minorHAnsi" w:hAnsi="Bookman Old Style" w:cs="Arial"/>
        </w:rPr>
        <w:t xml:space="preserve"> mayores de 60 años </w:t>
      </w:r>
      <w:r w:rsidR="00A1236B">
        <w:rPr>
          <w:rFonts w:ascii="Bookman Old Style" w:eastAsiaTheme="minorHAnsi" w:hAnsi="Bookman Old Style" w:cs="Arial"/>
        </w:rPr>
        <w:t xml:space="preserve">con </w:t>
      </w:r>
      <w:r>
        <w:rPr>
          <w:rFonts w:ascii="Bookman Old Style" w:eastAsiaTheme="minorHAnsi" w:hAnsi="Bookman Old Style" w:cs="Arial"/>
        </w:rPr>
        <w:t xml:space="preserve">VIH </w:t>
      </w:r>
      <w:r w:rsidR="00A1236B">
        <w:rPr>
          <w:rFonts w:ascii="Bookman Old Style" w:eastAsiaTheme="minorHAnsi" w:hAnsi="Bookman Old Style" w:cs="Arial"/>
        </w:rPr>
        <w:t>a</w:t>
      </w:r>
      <w:r>
        <w:rPr>
          <w:rFonts w:ascii="Bookman Old Style" w:eastAsiaTheme="minorHAnsi" w:hAnsi="Bookman Old Style" w:cs="Arial"/>
        </w:rPr>
        <w:t xml:space="preserve">sintomático y el 2.62 % </w:t>
      </w:r>
      <w:r w:rsidR="00A1236B">
        <w:rPr>
          <w:rFonts w:ascii="Bookman Old Style" w:eastAsiaTheme="minorHAnsi" w:hAnsi="Bookman Old Style" w:cs="Arial"/>
        </w:rPr>
        <w:t xml:space="preserve">con </w:t>
      </w:r>
      <w:r>
        <w:rPr>
          <w:rFonts w:ascii="Bookman Old Style" w:eastAsiaTheme="minorHAnsi" w:hAnsi="Bookman Old Style" w:cs="Arial"/>
        </w:rPr>
        <w:t xml:space="preserve">infección </w:t>
      </w:r>
      <w:r w:rsidR="00D22BAE">
        <w:rPr>
          <w:rFonts w:ascii="Bookman Old Style" w:eastAsiaTheme="minorHAnsi" w:hAnsi="Bookman Old Style" w:cs="Arial"/>
        </w:rPr>
        <w:t>avanzada</w:t>
      </w:r>
      <w:r w:rsidR="00A1236B">
        <w:rPr>
          <w:rFonts w:ascii="Bookman Old Style" w:eastAsiaTheme="minorHAnsi" w:hAnsi="Bookman Old Style" w:cs="Arial"/>
        </w:rPr>
        <w:t xml:space="preserve">. Reportándose </w:t>
      </w:r>
      <w:r w:rsidR="00DA63C9">
        <w:rPr>
          <w:rFonts w:ascii="Bookman Old Style" w:eastAsiaTheme="minorHAnsi" w:hAnsi="Bookman Old Style" w:cs="Arial"/>
        </w:rPr>
        <w:t xml:space="preserve">para </w:t>
      </w:r>
      <w:r w:rsidR="00A1236B">
        <w:rPr>
          <w:rFonts w:ascii="Bookman Old Style" w:eastAsiaTheme="minorHAnsi" w:hAnsi="Bookman Old Style" w:cs="Arial"/>
        </w:rPr>
        <w:t>el 2021 (hasta octubre) 22 casos (</w:t>
      </w:r>
      <w:r w:rsidR="00D22BAE">
        <w:rPr>
          <w:rFonts w:ascii="Bookman Old Style" w:eastAsiaTheme="minorHAnsi" w:hAnsi="Bookman Old Style" w:cs="Arial"/>
        </w:rPr>
        <w:t xml:space="preserve">12 </w:t>
      </w:r>
      <w:r w:rsidR="00A1236B">
        <w:rPr>
          <w:rFonts w:ascii="Bookman Old Style" w:eastAsiaTheme="minorHAnsi" w:hAnsi="Bookman Old Style" w:cs="Arial"/>
        </w:rPr>
        <w:t xml:space="preserve">VIH asintomáticos </w:t>
      </w:r>
      <w:r w:rsidR="00D22BAE">
        <w:rPr>
          <w:rFonts w:ascii="Bookman Old Style" w:eastAsiaTheme="minorHAnsi" w:hAnsi="Bookman Old Style" w:cs="Arial"/>
        </w:rPr>
        <w:t xml:space="preserve">y 10 </w:t>
      </w:r>
      <w:r w:rsidR="00A1236B">
        <w:rPr>
          <w:rFonts w:ascii="Bookman Old Style" w:eastAsiaTheme="minorHAnsi" w:hAnsi="Bookman Old Style" w:cs="Arial"/>
        </w:rPr>
        <w:t xml:space="preserve">infección avanzada), los que constituyen el 3.72% del total de </w:t>
      </w:r>
      <w:r w:rsidR="00D22BAE">
        <w:rPr>
          <w:rFonts w:ascii="Bookman Old Style" w:eastAsiaTheme="minorHAnsi" w:hAnsi="Bookman Old Style" w:cs="Arial"/>
        </w:rPr>
        <w:t xml:space="preserve">casos presentados </w:t>
      </w:r>
      <w:r w:rsidR="00A1236B">
        <w:rPr>
          <w:rFonts w:ascii="Bookman Old Style" w:eastAsiaTheme="minorHAnsi" w:hAnsi="Bookman Old Style" w:cs="Arial"/>
        </w:rPr>
        <w:t>hasta esa fecha en</w:t>
      </w:r>
      <w:r w:rsidR="00D22BAE">
        <w:rPr>
          <w:rFonts w:ascii="Bookman Old Style" w:eastAsiaTheme="minorHAnsi" w:hAnsi="Bookman Old Style" w:cs="Arial"/>
        </w:rPr>
        <w:t xml:space="preserve"> el 2021</w:t>
      </w:r>
      <w:r w:rsidR="00A1236B">
        <w:rPr>
          <w:rFonts w:ascii="Bookman Old Style" w:eastAsiaTheme="minorHAnsi" w:hAnsi="Bookman Old Style" w:cs="Arial"/>
        </w:rPr>
        <w:t xml:space="preserve"> (591</w:t>
      </w:r>
      <w:r w:rsidR="00DA63C9">
        <w:rPr>
          <w:rFonts w:ascii="Bookman Old Style" w:eastAsiaTheme="minorHAnsi" w:hAnsi="Bookman Old Style" w:cs="Arial"/>
        </w:rPr>
        <w:t xml:space="preserve"> casos</w:t>
      </w:r>
      <w:r w:rsidR="00A1236B">
        <w:rPr>
          <w:rFonts w:ascii="Bookman Old Style" w:eastAsiaTheme="minorHAnsi" w:hAnsi="Bookman Old Style" w:cs="Arial"/>
        </w:rPr>
        <w:t xml:space="preserve">). </w:t>
      </w:r>
    </w:p>
    <w:p w:rsidR="000612EA" w:rsidRDefault="000612EA" w:rsidP="00B54FAE">
      <w:pPr>
        <w:shd w:val="clear" w:color="auto" w:fill="FFFFFF"/>
        <w:spacing w:after="160" w:line="235" w:lineRule="atLeast"/>
        <w:jc w:val="both"/>
        <w:rPr>
          <w:rFonts w:ascii="Bookman Old Style" w:eastAsiaTheme="minorHAnsi" w:hAnsi="Bookman Old Style" w:cs="Arial"/>
        </w:rPr>
      </w:pPr>
    </w:p>
    <w:tbl>
      <w:tblPr>
        <w:tblW w:w="6744" w:type="dxa"/>
        <w:jc w:val="center"/>
        <w:tblLook w:val="04A0" w:firstRow="1" w:lastRow="0" w:firstColumn="1" w:lastColumn="0" w:noHBand="0" w:noVBand="1"/>
      </w:tblPr>
      <w:tblGrid>
        <w:gridCol w:w="222"/>
        <w:gridCol w:w="3076"/>
        <w:gridCol w:w="3224"/>
        <w:gridCol w:w="222"/>
      </w:tblGrid>
      <w:tr w:rsidR="00F44E4E" w:rsidRPr="00F44E4E" w:rsidTr="00940C5E">
        <w:trPr>
          <w:trHeight w:val="300"/>
          <w:jc w:val="center"/>
        </w:trPr>
        <w:tc>
          <w:tcPr>
            <w:tcW w:w="6744" w:type="dxa"/>
            <w:gridSpan w:val="4"/>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365F91" w:themeColor="accent1" w:themeShade="BF"/>
                <w:sz w:val="22"/>
                <w:szCs w:val="22"/>
                <w:lang w:val="en-US" w:eastAsia="en-US"/>
              </w:rPr>
            </w:pPr>
            <w:r w:rsidRPr="00F44E4E">
              <w:rPr>
                <w:rFonts w:ascii="Calibri" w:eastAsia="Times New Roman" w:hAnsi="Calibri" w:cs="Calibri"/>
                <w:b/>
                <w:bCs/>
                <w:color w:val="365F91" w:themeColor="accent1" w:themeShade="BF"/>
                <w:sz w:val="22"/>
                <w:szCs w:val="22"/>
                <w:lang w:val="en-US" w:eastAsia="en-US"/>
              </w:rPr>
              <w:t>SECRETARIA DE SALUD</w:t>
            </w:r>
          </w:p>
        </w:tc>
      </w:tr>
      <w:tr w:rsidR="00F44E4E" w:rsidRPr="00F44E4E" w:rsidTr="00940C5E">
        <w:trPr>
          <w:trHeight w:val="300"/>
          <w:jc w:val="center"/>
        </w:trPr>
        <w:tc>
          <w:tcPr>
            <w:tcW w:w="6744" w:type="dxa"/>
            <w:gridSpan w:val="4"/>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365F91" w:themeColor="accent1" w:themeShade="BF"/>
                <w:sz w:val="22"/>
                <w:szCs w:val="22"/>
                <w:lang w:eastAsia="en-US"/>
              </w:rPr>
            </w:pPr>
            <w:r w:rsidRPr="00F44E4E">
              <w:rPr>
                <w:rFonts w:ascii="Calibri" w:eastAsia="Times New Roman" w:hAnsi="Calibri" w:cs="Calibri"/>
                <w:b/>
                <w:bCs/>
                <w:color w:val="365F91" w:themeColor="accent1" w:themeShade="BF"/>
                <w:sz w:val="22"/>
                <w:szCs w:val="22"/>
                <w:lang w:eastAsia="en-US"/>
              </w:rPr>
              <w:t>AREA ESTADISTICA DE LA SALUD</w:t>
            </w:r>
          </w:p>
        </w:tc>
      </w:tr>
      <w:tr w:rsidR="00F44E4E" w:rsidRPr="00F44E4E" w:rsidTr="00940C5E">
        <w:trPr>
          <w:trHeight w:val="300"/>
          <w:jc w:val="center"/>
        </w:trPr>
        <w:tc>
          <w:tcPr>
            <w:tcW w:w="6744" w:type="dxa"/>
            <w:gridSpan w:val="4"/>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365F91" w:themeColor="accent1" w:themeShade="BF"/>
                <w:sz w:val="22"/>
                <w:szCs w:val="22"/>
                <w:lang w:eastAsia="en-US"/>
              </w:rPr>
            </w:pPr>
            <w:r w:rsidRPr="00F44E4E">
              <w:rPr>
                <w:rFonts w:ascii="Calibri" w:eastAsia="Times New Roman" w:hAnsi="Calibri" w:cs="Calibri"/>
                <w:b/>
                <w:bCs/>
                <w:color w:val="365F91" w:themeColor="accent1" w:themeShade="BF"/>
                <w:sz w:val="22"/>
                <w:szCs w:val="22"/>
                <w:lang w:eastAsia="en-US"/>
              </w:rPr>
              <w:t xml:space="preserve"> TOTAL DE EGRESOS EN PACIENTES MAYORES DE 60 AÑOS </w:t>
            </w:r>
          </w:p>
        </w:tc>
      </w:tr>
      <w:tr w:rsidR="00F44E4E" w:rsidRPr="00F44E4E" w:rsidTr="00940C5E">
        <w:trPr>
          <w:trHeight w:val="300"/>
          <w:jc w:val="center"/>
        </w:trPr>
        <w:tc>
          <w:tcPr>
            <w:tcW w:w="6744" w:type="dxa"/>
            <w:gridSpan w:val="4"/>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365F91" w:themeColor="accent1" w:themeShade="BF"/>
                <w:sz w:val="22"/>
                <w:szCs w:val="22"/>
                <w:lang w:val="en-US" w:eastAsia="en-US"/>
              </w:rPr>
            </w:pPr>
            <w:r w:rsidRPr="00F44E4E">
              <w:rPr>
                <w:rFonts w:ascii="Calibri" w:eastAsia="Times New Roman" w:hAnsi="Calibri" w:cs="Calibri"/>
                <w:b/>
                <w:bCs/>
                <w:color w:val="365F91" w:themeColor="accent1" w:themeShade="BF"/>
                <w:sz w:val="22"/>
                <w:szCs w:val="22"/>
                <w:lang w:val="en-US" w:eastAsia="en-US"/>
              </w:rPr>
              <w:t xml:space="preserve">HONDURAS C. A., 2016-2020 </w:t>
            </w:r>
          </w:p>
        </w:tc>
      </w:tr>
      <w:tr w:rsidR="00F44E4E" w:rsidRPr="00F44E4E" w:rsidTr="00940C5E">
        <w:trPr>
          <w:trHeight w:val="315"/>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p>
        </w:tc>
        <w:tc>
          <w:tcPr>
            <w:tcW w:w="3076" w:type="dxa"/>
            <w:tcBorders>
              <w:top w:val="nil"/>
              <w:left w:val="nil"/>
              <w:bottom w:val="nil"/>
              <w:right w:val="nil"/>
            </w:tcBorders>
            <w:shd w:val="clear" w:color="auto" w:fill="auto"/>
            <w:noWrap/>
            <w:vAlign w:val="bottom"/>
            <w:hideMark/>
          </w:tcPr>
          <w:p w:rsidR="00F44E4E" w:rsidRPr="00F44E4E" w:rsidRDefault="00F44E4E" w:rsidP="00F44E4E">
            <w:pPr>
              <w:jc w:val="center"/>
              <w:rPr>
                <w:rFonts w:eastAsia="Times New Roman"/>
                <w:sz w:val="20"/>
                <w:szCs w:val="20"/>
                <w:lang w:val="en-US" w:eastAsia="en-US"/>
              </w:rPr>
            </w:pPr>
          </w:p>
        </w:tc>
        <w:tc>
          <w:tcPr>
            <w:tcW w:w="3224" w:type="dxa"/>
            <w:tcBorders>
              <w:top w:val="nil"/>
              <w:left w:val="nil"/>
              <w:bottom w:val="nil"/>
              <w:right w:val="nil"/>
            </w:tcBorders>
            <w:shd w:val="clear" w:color="auto" w:fill="auto"/>
            <w:noWrap/>
            <w:vAlign w:val="bottom"/>
            <w:hideMark/>
          </w:tcPr>
          <w:p w:rsidR="00F44E4E" w:rsidRPr="00F44E4E" w:rsidRDefault="00F44E4E" w:rsidP="00F44E4E">
            <w:pPr>
              <w:jc w:val="center"/>
              <w:rPr>
                <w:rFonts w:eastAsia="Times New Roman"/>
                <w:sz w:val="20"/>
                <w:szCs w:val="20"/>
                <w:lang w:val="en-US" w:eastAsia="en-US"/>
              </w:rPr>
            </w:pP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eastAsia="Times New Roman"/>
                <w:sz w:val="20"/>
                <w:szCs w:val="20"/>
                <w:lang w:val="en-US" w:eastAsia="en-US"/>
              </w:rPr>
            </w:pPr>
          </w:p>
        </w:tc>
      </w:tr>
      <w:tr w:rsidR="00F44E4E" w:rsidRPr="00F44E4E" w:rsidTr="00940C5E">
        <w:trPr>
          <w:trHeight w:val="315"/>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eastAsia="Times New Roman"/>
                <w:sz w:val="20"/>
                <w:szCs w:val="20"/>
                <w:lang w:val="en-US" w:eastAsia="en-US"/>
              </w:rPr>
            </w:pPr>
          </w:p>
        </w:tc>
        <w:tc>
          <w:tcPr>
            <w:tcW w:w="3076" w:type="dxa"/>
            <w:tcBorders>
              <w:top w:val="single" w:sz="8" w:space="0" w:color="auto"/>
              <w:left w:val="single" w:sz="8" w:space="0" w:color="auto"/>
              <w:bottom w:val="single" w:sz="8" w:space="0" w:color="auto"/>
              <w:right w:val="single" w:sz="4" w:space="0" w:color="auto"/>
            </w:tcBorders>
            <w:shd w:val="clear" w:color="D9E1F2" w:fill="D9E1F2"/>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r w:rsidRPr="00F44E4E">
              <w:rPr>
                <w:rFonts w:ascii="Calibri" w:eastAsia="Times New Roman" w:hAnsi="Calibri" w:cs="Calibri"/>
                <w:b/>
                <w:bCs/>
                <w:color w:val="000000"/>
                <w:sz w:val="22"/>
                <w:szCs w:val="22"/>
                <w:lang w:val="en-US" w:eastAsia="en-US"/>
              </w:rPr>
              <w:t xml:space="preserve">Año </w:t>
            </w:r>
          </w:p>
        </w:tc>
        <w:tc>
          <w:tcPr>
            <w:tcW w:w="3224" w:type="dxa"/>
            <w:tcBorders>
              <w:top w:val="single" w:sz="8" w:space="0" w:color="auto"/>
              <w:left w:val="nil"/>
              <w:bottom w:val="single" w:sz="8" w:space="0" w:color="auto"/>
              <w:right w:val="single" w:sz="8" w:space="0" w:color="auto"/>
            </w:tcBorders>
            <w:shd w:val="clear" w:color="D9E1F2" w:fill="D9E1F2"/>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r w:rsidRPr="00F44E4E">
              <w:rPr>
                <w:rFonts w:ascii="Calibri" w:eastAsia="Times New Roman" w:hAnsi="Calibri" w:cs="Calibri"/>
                <w:b/>
                <w:bCs/>
                <w:color w:val="000000"/>
                <w:sz w:val="22"/>
                <w:szCs w:val="22"/>
                <w:lang w:val="en-US" w:eastAsia="en-US"/>
              </w:rPr>
              <w:t xml:space="preserve"> Total Egresos </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p>
        </w:tc>
      </w:tr>
      <w:tr w:rsidR="00F44E4E" w:rsidRPr="00F44E4E" w:rsidTr="00940C5E">
        <w:trPr>
          <w:trHeight w:val="300"/>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nil"/>
              <w:left w:val="single" w:sz="8" w:space="0" w:color="auto"/>
              <w:bottom w:val="single" w:sz="4" w:space="0" w:color="auto"/>
              <w:right w:val="single" w:sz="4"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2018</w:t>
            </w:r>
          </w:p>
        </w:tc>
        <w:tc>
          <w:tcPr>
            <w:tcW w:w="3224" w:type="dxa"/>
            <w:tcBorders>
              <w:top w:val="nil"/>
              <w:left w:val="nil"/>
              <w:bottom w:val="single" w:sz="4" w:space="0" w:color="auto"/>
              <w:right w:val="single" w:sz="8"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45180</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p>
        </w:tc>
      </w:tr>
      <w:tr w:rsidR="00F44E4E" w:rsidRPr="00F44E4E" w:rsidTr="00940C5E">
        <w:trPr>
          <w:trHeight w:val="300"/>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nil"/>
              <w:left w:val="single" w:sz="8" w:space="0" w:color="auto"/>
              <w:bottom w:val="single" w:sz="4" w:space="0" w:color="auto"/>
              <w:right w:val="single" w:sz="4"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2019</w:t>
            </w:r>
          </w:p>
        </w:tc>
        <w:tc>
          <w:tcPr>
            <w:tcW w:w="3224" w:type="dxa"/>
            <w:tcBorders>
              <w:top w:val="nil"/>
              <w:left w:val="nil"/>
              <w:bottom w:val="single" w:sz="4" w:space="0" w:color="auto"/>
              <w:right w:val="single" w:sz="8"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45971</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p>
        </w:tc>
      </w:tr>
      <w:tr w:rsidR="00F44E4E" w:rsidRPr="00F44E4E" w:rsidTr="00940C5E">
        <w:trPr>
          <w:trHeight w:val="300"/>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nil"/>
              <w:left w:val="single" w:sz="8" w:space="0" w:color="auto"/>
              <w:bottom w:val="single" w:sz="4" w:space="0" w:color="auto"/>
              <w:right w:val="single" w:sz="4"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2020</w:t>
            </w:r>
          </w:p>
        </w:tc>
        <w:tc>
          <w:tcPr>
            <w:tcW w:w="3224" w:type="dxa"/>
            <w:tcBorders>
              <w:top w:val="nil"/>
              <w:left w:val="nil"/>
              <w:bottom w:val="single" w:sz="4" w:space="0" w:color="auto"/>
              <w:right w:val="single" w:sz="8"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30297</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p>
        </w:tc>
      </w:tr>
      <w:tr w:rsidR="00F44E4E" w:rsidRPr="00F44E4E" w:rsidTr="00940C5E">
        <w:trPr>
          <w:trHeight w:val="300"/>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nil"/>
              <w:left w:val="single" w:sz="8" w:space="0" w:color="auto"/>
              <w:bottom w:val="single" w:sz="4" w:space="0" w:color="auto"/>
              <w:right w:val="single" w:sz="4"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2016</w:t>
            </w:r>
          </w:p>
        </w:tc>
        <w:tc>
          <w:tcPr>
            <w:tcW w:w="3224" w:type="dxa"/>
            <w:tcBorders>
              <w:top w:val="nil"/>
              <w:left w:val="nil"/>
              <w:bottom w:val="single" w:sz="4" w:space="0" w:color="auto"/>
              <w:right w:val="single" w:sz="8"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40183</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p>
        </w:tc>
      </w:tr>
      <w:tr w:rsidR="00F44E4E" w:rsidRPr="00F44E4E" w:rsidTr="00940C5E">
        <w:trPr>
          <w:trHeight w:val="315"/>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nil"/>
              <w:left w:val="single" w:sz="8" w:space="0" w:color="auto"/>
              <w:bottom w:val="nil"/>
              <w:right w:val="single" w:sz="4"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2017</w:t>
            </w:r>
          </w:p>
        </w:tc>
        <w:tc>
          <w:tcPr>
            <w:tcW w:w="3224" w:type="dxa"/>
            <w:tcBorders>
              <w:top w:val="nil"/>
              <w:left w:val="nil"/>
              <w:bottom w:val="nil"/>
              <w:right w:val="single" w:sz="8" w:space="0" w:color="auto"/>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r w:rsidRPr="00F44E4E">
              <w:rPr>
                <w:rFonts w:ascii="Calibri" w:eastAsia="Times New Roman" w:hAnsi="Calibri" w:cs="Calibri"/>
                <w:color w:val="000000"/>
                <w:sz w:val="22"/>
                <w:szCs w:val="22"/>
                <w:lang w:val="en-US" w:eastAsia="en-US"/>
              </w:rPr>
              <w:t>42620</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color w:val="000000"/>
                <w:sz w:val="22"/>
                <w:szCs w:val="22"/>
                <w:lang w:val="en-US" w:eastAsia="en-US"/>
              </w:rPr>
            </w:pPr>
          </w:p>
        </w:tc>
      </w:tr>
      <w:tr w:rsidR="00F44E4E" w:rsidRPr="00F44E4E" w:rsidTr="00940C5E">
        <w:trPr>
          <w:trHeight w:val="315"/>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single" w:sz="8" w:space="0" w:color="auto"/>
              <w:left w:val="single" w:sz="8" w:space="0" w:color="auto"/>
              <w:bottom w:val="single" w:sz="8" w:space="0" w:color="auto"/>
              <w:right w:val="single" w:sz="4" w:space="0" w:color="auto"/>
            </w:tcBorders>
            <w:shd w:val="clear" w:color="D9E1F2" w:fill="D9E1F2"/>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r w:rsidRPr="00F44E4E">
              <w:rPr>
                <w:rFonts w:ascii="Calibri" w:eastAsia="Times New Roman" w:hAnsi="Calibri" w:cs="Calibri"/>
                <w:b/>
                <w:bCs/>
                <w:color w:val="000000"/>
                <w:sz w:val="22"/>
                <w:szCs w:val="22"/>
                <w:lang w:val="en-US" w:eastAsia="en-US"/>
              </w:rPr>
              <w:t>Total general</w:t>
            </w:r>
          </w:p>
        </w:tc>
        <w:tc>
          <w:tcPr>
            <w:tcW w:w="3224" w:type="dxa"/>
            <w:tcBorders>
              <w:top w:val="single" w:sz="8" w:space="0" w:color="auto"/>
              <w:left w:val="nil"/>
              <w:bottom w:val="single" w:sz="8" w:space="0" w:color="auto"/>
              <w:right w:val="single" w:sz="8" w:space="0" w:color="auto"/>
            </w:tcBorders>
            <w:shd w:val="clear" w:color="D9E1F2" w:fill="D9E1F2"/>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r w:rsidRPr="00F44E4E">
              <w:rPr>
                <w:rFonts w:ascii="Calibri" w:eastAsia="Times New Roman" w:hAnsi="Calibri" w:cs="Calibri"/>
                <w:b/>
                <w:bCs/>
                <w:color w:val="000000"/>
                <w:sz w:val="22"/>
                <w:szCs w:val="22"/>
                <w:lang w:val="en-US" w:eastAsia="en-US"/>
              </w:rPr>
              <w:t>204251</w:t>
            </w: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ascii="Calibri" w:eastAsia="Times New Roman" w:hAnsi="Calibri" w:cs="Calibri"/>
                <w:b/>
                <w:bCs/>
                <w:color w:val="000000"/>
                <w:sz w:val="22"/>
                <w:szCs w:val="22"/>
                <w:lang w:val="en-US" w:eastAsia="en-US"/>
              </w:rPr>
            </w:pPr>
          </w:p>
        </w:tc>
      </w:tr>
      <w:tr w:rsidR="00F44E4E" w:rsidRPr="00F44E4E" w:rsidTr="00940C5E">
        <w:trPr>
          <w:trHeight w:val="300"/>
          <w:jc w:val="center"/>
        </w:trPr>
        <w:tc>
          <w:tcPr>
            <w:tcW w:w="222"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076" w:type="dxa"/>
            <w:tcBorders>
              <w:top w:val="nil"/>
              <w:left w:val="nil"/>
              <w:bottom w:val="nil"/>
              <w:right w:val="nil"/>
            </w:tcBorders>
            <w:shd w:val="clear" w:color="auto" w:fill="auto"/>
            <w:noWrap/>
            <w:vAlign w:val="bottom"/>
            <w:hideMark/>
          </w:tcPr>
          <w:p w:rsidR="00F44E4E" w:rsidRPr="00F44E4E" w:rsidRDefault="00F44E4E" w:rsidP="00F44E4E">
            <w:pPr>
              <w:rPr>
                <w:rFonts w:eastAsia="Times New Roman"/>
                <w:sz w:val="20"/>
                <w:szCs w:val="20"/>
                <w:lang w:val="en-US" w:eastAsia="en-US"/>
              </w:rPr>
            </w:pPr>
          </w:p>
        </w:tc>
        <w:tc>
          <w:tcPr>
            <w:tcW w:w="3224" w:type="dxa"/>
            <w:tcBorders>
              <w:top w:val="nil"/>
              <w:left w:val="nil"/>
              <w:bottom w:val="nil"/>
              <w:right w:val="nil"/>
            </w:tcBorders>
            <w:shd w:val="clear" w:color="auto" w:fill="auto"/>
            <w:noWrap/>
            <w:vAlign w:val="bottom"/>
            <w:hideMark/>
          </w:tcPr>
          <w:p w:rsidR="00F44E4E" w:rsidRPr="00F44E4E" w:rsidRDefault="00F44E4E" w:rsidP="00F44E4E">
            <w:pPr>
              <w:jc w:val="center"/>
              <w:rPr>
                <w:rFonts w:eastAsia="Times New Roman"/>
                <w:sz w:val="20"/>
                <w:szCs w:val="20"/>
                <w:lang w:val="en-US" w:eastAsia="en-US"/>
              </w:rPr>
            </w:pPr>
          </w:p>
        </w:tc>
        <w:tc>
          <w:tcPr>
            <w:tcW w:w="222" w:type="dxa"/>
            <w:tcBorders>
              <w:top w:val="nil"/>
              <w:left w:val="nil"/>
              <w:bottom w:val="nil"/>
              <w:right w:val="nil"/>
            </w:tcBorders>
            <w:shd w:val="clear" w:color="auto" w:fill="auto"/>
            <w:noWrap/>
            <w:vAlign w:val="bottom"/>
            <w:hideMark/>
          </w:tcPr>
          <w:p w:rsidR="00F44E4E" w:rsidRPr="00F44E4E" w:rsidRDefault="00F44E4E" w:rsidP="00F44E4E">
            <w:pPr>
              <w:jc w:val="center"/>
              <w:rPr>
                <w:rFonts w:eastAsia="Times New Roman"/>
                <w:sz w:val="20"/>
                <w:szCs w:val="20"/>
                <w:lang w:val="en-US" w:eastAsia="en-US"/>
              </w:rPr>
            </w:pPr>
          </w:p>
        </w:tc>
      </w:tr>
    </w:tbl>
    <w:p w:rsidR="00FC2865" w:rsidRDefault="00FC2865" w:rsidP="00B54FAE">
      <w:pPr>
        <w:shd w:val="clear" w:color="auto" w:fill="FFFFFF"/>
        <w:spacing w:after="160" w:line="235" w:lineRule="atLeast"/>
        <w:jc w:val="both"/>
        <w:rPr>
          <w:rFonts w:ascii="Bookman Old Style" w:eastAsiaTheme="minorHAnsi" w:hAnsi="Bookman Old Style" w:cs="Arial"/>
        </w:rPr>
      </w:pPr>
    </w:p>
    <w:p w:rsidR="00FC2865" w:rsidRDefault="00FC2865" w:rsidP="00B54FAE">
      <w:pPr>
        <w:shd w:val="clear" w:color="auto" w:fill="FFFFFF"/>
        <w:spacing w:after="160" w:line="235" w:lineRule="atLeast"/>
        <w:jc w:val="both"/>
        <w:rPr>
          <w:rFonts w:ascii="Bookman Old Style" w:eastAsiaTheme="minorHAnsi" w:hAnsi="Bookman Old Style" w:cs="Arial"/>
        </w:rPr>
      </w:pPr>
    </w:p>
    <w:p w:rsidR="003179FF" w:rsidRPr="00884B0D" w:rsidRDefault="003179FF" w:rsidP="003179FF">
      <w:pPr>
        <w:pStyle w:val="Prrafodelista"/>
        <w:spacing w:line="276" w:lineRule="auto"/>
        <w:jc w:val="center"/>
        <w:rPr>
          <w:rFonts w:ascii="Arial" w:hAnsi="Arial" w:cs="Arial"/>
          <w:b/>
          <w:color w:val="365F91" w:themeColor="accent1" w:themeShade="BF"/>
        </w:rPr>
      </w:pPr>
      <w:r w:rsidRPr="00884B0D">
        <w:rPr>
          <w:rFonts w:ascii="Arial" w:hAnsi="Arial" w:cs="Arial"/>
          <w:b/>
          <w:color w:val="365F91" w:themeColor="accent1" w:themeShade="BF"/>
        </w:rPr>
        <w:t>SECRETARÍA DE SALUD DE HONDURAS</w:t>
      </w:r>
    </w:p>
    <w:p w:rsidR="003179FF" w:rsidRDefault="003179FF" w:rsidP="003179FF">
      <w:pPr>
        <w:pStyle w:val="Prrafodelista"/>
        <w:spacing w:line="276" w:lineRule="auto"/>
        <w:jc w:val="center"/>
        <w:rPr>
          <w:rFonts w:ascii="Arial" w:hAnsi="Arial" w:cs="Arial"/>
          <w:b/>
          <w:color w:val="365F91" w:themeColor="accent1" w:themeShade="BF"/>
        </w:rPr>
      </w:pPr>
      <w:r w:rsidRPr="00884B0D">
        <w:rPr>
          <w:rFonts w:ascii="Arial" w:hAnsi="Arial" w:cs="Arial"/>
          <w:b/>
          <w:color w:val="365F91" w:themeColor="accent1" w:themeShade="BF"/>
        </w:rPr>
        <w:t>Área Estadísticas de la Salud/Programa Ampliado de Inmunizaciones</w:t>
      </w:r>
    </w:p>
    <w:p w:rsidR="003179FF" w:rsidRDefault="003179FF" w:rsidP="003179FF">
      <w:pPr>
        <w:pStyle w:val="Prrafodelista"/>
        <w:spacing w:line="276" w:lineRule="auto"/>
        <w:jc w:val="center"/>
        <w:rPr>
          <w:rFonts w:ascii="Arial" w:hAnsi="Arial" w:cs="Arial"/>
          <w:b/>
          <w:color w:val="365F91" w:themeColor="accent1" w:themeShade="BF"/>
        </w:rPr>
      </w:pPr>
      <w:r w:rsidRPr="00520CDC">
        <w:rPr>
          <w:rFonts w:ascii="Arial" w:hAnsi="Arial" w:cs="Arial"/>
          <w:b/>
          <w:color w:val="365F91" w:themeColor="accent1" w:themeShade="BF"/>
        </w:rPr>
        <w:t xml:space="preserve">Dosis Aplicadas contra la COVID-19 a </w:t>
      </w:r>
    </w:p>
    <w:p w:rsidR="003179FF" w:rsidRPr="00520CDC" w:rsidRDefault="003179FF" w:rsidP="003179FF">
      <w:pPr>
        <w:pStyle w:val="Prrafodelista"/>
        <w:spacing w:line="276" w:lineRule="auto"/>
        <w:jc w:val="center"/>
        <w:rPr>
          <w:rFonts w:ascii="Arial" w:hAnsi="Arial" w:cs="Arial"/>
          <w:b/>
          <w:color w:val="365F91" w:themeColor="accent1" w:themeShade="BF"/>
        </w:rPr>
      </w:pPr>
      <w:r>
        <w:rPr>
          <w:rFonts w:ascii="Arial" w:hAnsi="Arial" w:cs="Arial"/>
          <w:b/>
          <w:color w:val="365F91" w:themeColor="accent1" w:themeShade="BF"/>
        </w:rPr>
        <w:t xml:space="preserve">Población Adulta Mayor de 60 años </w:t>
      </w:r>
    </w:p>
    <w:p w:rsidR="003179FF" w:rsidRDefault="00673014" w:rsidP="003179FF">
      <w:pPr>
        <w:pStyle w:val="Prrafodelista"/>
        <w:spacing w:line="276" w:lineRule="auto"/>
        <w:jc w:val="center"/>
        <w:rPr>
          <w:rFonts w:ascii="Arial" w:hAnsi="Arial" w:cs="Arial"/>
          <w:b/>
          <w:color w:val="365F91" w:themeColor="accent1" w:themeShade="BF"/>
        </w:rPr>
      </w:pPr>
      <w:r>
        <w:rPr>
          <w:rFonts w:ascii="Arial" w:hAnsi="Arial" w:cs="Arial"/>
          <w:b/>
          <w:color w:val="365F91" w:themeColor="accent1" w:themeShade="BF"/>
        </w:rPr>
        <w:t xml:space="preserve">Actualizado a 11 noviembre </w:t>
      </w:r>
      <w:r w:rsidR="003179FF" w:rsidRPr="00333E26">
        <w:rPr>
          <w:rFonts w:ascii="Arial" w:hAnsi="Arial" w:cs="Arial"/>
          <w:b/>
          <w:color w:val="365F91" w:themeColor="accent1" w:themeShade="BF"/>
        </w:rPr>
        <w:t>2021</w:t>
      </w:r>
    </w:p>
    <w:p w:rsidR="003179FF" w:rsidRPr="00520CDC" w:rsidRDefault="003179FF" w:rsidP="003179FF">
      <w:pPr>
        <w:pStyle w:val="Prrafodelista"/>
        <w:spacing w:line="276" w:lineRule="auto"/>
        <w:jc w:val="center"/>
        <w:rPr>
          <w:rFonts w:ascii="Arial" w:hAnsi="Arial" w:cs="Arial"/>
          <w:b/>
          <w:color w:val="365F91" w:themeColor="accent1" w:themeShade="BF"/>
        </w:rPr>
      </w:pPr>
    </w:p>
    <w:tbl>
      <w:tblPr>
        <w:tblW w:w="6817" w:type="dxa"/>
        <w:jc w:val="center"/>
        <w:tblLook w:val="04A0" w:firstRow="1" w:lastRow="0" w:firstColumn="1" w:lastColumn="0" w:noHBand="0" w:noVBand="1"/>
      </w:tblPr>
      <w:tblGrid>
        <w:gridCol w:w="2520"/>
        <w:gridCol w:w="1373"/>
        <w:gridCol w:w="1414"/>
        <w:gridCol w:w="1510"/>
      </w:tblGrid>
      <w:tr w:rsidR="003179FF" w:rsidRPr="003179FF" w:rsidTr="00276905">
        <w:trPr>
          <w:trHeight w:val="517"/>
          <w:jc w:val="center"/>
        </w:trPr>
        <w:tc>
          <w:tcPr>
            <w:tcW w:w="2520" w:type="dxa"/>
            <w:vMerge w:val="restart"/>
            <w:tcBorders>
              <w:top w:val="single" w:sz="8" w:space="0" w:color="auto"/>
              <w:left w:val="single" w:sz="8" w:space="0" w:color="auto"/>
              <w:bottom w:val="single" w:sz="8" w:space="0" w:color="000000"/>
              <w:right w:val="single" w:sz="8" w:space="0" w:color="auto"/>
            </w:tcBorders>
            <w:shd w:val="clear" w:color="000000" w:fill="DDEBF7"/>
            <w:vAlign w:val="center"/>
            <w:hideMark/>
          </w:tcPr>
          <w:p w:rsidR="003179FF" w:rsidRPr="003179FF" w:rsidRDefault="003179FF" w:rsidP="003179FF">
            <w:pPr>
              <w:jc w:val="cente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Región Sanitaria</w:t>
            </w:r>
          </w:p>
        </w:tc>
        <w:tc>
          <w:tcPr>
            <w:tcW w:w="2787" w:type="dxa"/>
            <w:gridSpan w:val="2"/>
            <w:vMerge w:val="restart"/>
            <w:tcBorders>
              <w:top w:val="single" w:sz="8" w:space="0" w:color="auto"/>
              <w:left w:val="single" w:sz="8" w:space="0" w:color="auto"/>
              <w:bottom w:val="single" w:sz="8" w:space="0" w:color="000000"/>
              <w:right w:val="single" w:sz="8" w:space="0" w:color="000000"/>
            </w:tcBorders>
            <w:shd w:val="clear" w:color="000000" w:fill="DDEBF7"/>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Adultos mayores de 60 años</w:t>
            </w:r>
          </w:p>
        </w:tc>
        <w:tc>
          <w:tcPr>
            <w:tcW w:w="1510" w:type="dxa"/>
            <w:vMerge w:val="restart"/>
            <w:tcBorders>
              <w:top w:val="single" w:sz="8" w:space="0" w:color="auto"/>
              <w:left w:val="single" w:sz="8" w:space="0" w:color="auto"/>
              <w:bottom w:val="single" w:sz="8" w:space="0" w:color="000000"/>
              <w:right w:val="single" w:sz="8" w:space="0" w:color="auto"/>
            </w:tcBorders>
            <w:shd w:val="clear" w:color="000000" w:fill="BDD7EE"/>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Total Adultos mayores 60 años</w:t>
            </w:r>
          </w:p>
        </w:tc>
      </w:tr>
      <w:tr w:rsidR="003179FF" w:rsidRPr="003179FF" w:rsidTr="00276905">
        <w:trPr>
          <w:trHeight w:val="517"/>
          <w:jc w:val="center"/>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color w:val="000000"/>
                <w:sz w:val="20"/>
                <w:szCs w:val="20"/>
                <w:lang w:val="en-US" w:eastAsia="en-US"/>
              </w:rPr>
            </w:pPr>
          </w:p>
        </w:tc>
        <w:tc>
          <w:tcPr>
            <w:tcW w:w="2787" w:type="dxa"/>
            <w:gridSpan w:val="2"/>
            <w:vMerge/>
            <w:tcBorders>
              <w:top w:val="single" w:sz="8" w:space="0" w:color="auto"/>
              <w:left w:val="single" w:sz="8" w:space="0" w:color="auto"/>
              <w:bottom w:val="single" w:sz="8" w:space="0" w:color="000000"/>
              <w:right w:val="single" w:sz="8" w:space="0" w:color="000000"/>
            </w:tcBorders>
            <w:vAlign w:val="center"/>
            <w:hideMark/>
          </w:tcPr>
          <w:p w:rsidR="003179FF" w:rsidRPr="003179FF" w:rsidRDefault="003179FF" w:rsidP="003179FF">
            <w:pPr>
              <w:rPr>
                <w:rFonts w:ascii="Arial" w:eastAsia="Times New Roman" w:hAnsi="Arial" w:cs="Arial"/>
                <w:b/>
                <w:bCs/>
                <w:sz w:val="20"/>
                <w:szCs w:val="20"/>
                <w:lang w:val="en-US" w:eastAsia="en-US"/>
              </w:rPr>
            </w:pPr>
          </w:p>
        </w:tc>
        <w:tc>
          <w:tcPr>
            <w:tcW w:w="1510" w:type="dxa"/>
            <w:vMerge/>
            <w:tcBorders>
              <w:top w:val="single" w:sz="8" w:space="0" w:color="auto"/>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sz w:val="20"/>
                <w:szCs w:val="20"/>
                <w:lang w:val="en-US" w:eastAsia="en-US"/>
              </w:rPr>
            </w:pPr>
          </w:p>
        </w:tc>
      </w:tr>
      <w:tr w:rsidR="003179FF" w:rsidRPr="003179FF" w:rsidTr="00276905">
        <w:trPr>
          <w:trHeight w:val="517"/>
          <w:jc w:val="center"/>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color w:val="000000"/>
                <w:sz w:val="20"/>
                <w:szCs w:val="20"/>
                <w:lang w:val="en-US" w:eastAsia="en-US"/>
              </w:rPr>
            </w:pPr>
          </w:p>
        </w:tc>
        <w:tc>
          <w:tcPr>
            <w:tcW w:w="1373" w:type="dxa"/>
            <w:vMerge w:val="restart"/>
            <w:tcBorders>
              <w:top w:val="nil"/>
              <w:left w:val="single" w:sz="8" w:space="0" w:color="auto"/>
              <w:bottom w:val="single" w:sz="8" w:space="0" w:color="000000"/>
              <w:right w:val="single" w:sz="8" w:space="0" w:color="auto"/>
            </w:tcBorders>
            <w:shd w:val="clear" w:color="000000" w:fill="DDEBF7"/>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 xml:space="preserve">1a </w:t>
            </w:r>
          </w:p>
        </w:tc>
        <w:tc>
          <w:tcPr>
            <w:tcW w:w="1414" w:type="dxa"/>
            <w:vMerge w:val="restart"/>
            <w:tcBorders>
              <w:top w:val="nil"/>
              <w:left w:val="single" w:sz="8" w:space="0" w:color="auto"/>
              <w:bottom w:val="single" w:sz="8" w:space="0" w:color="000000"/>
              <w:right w:val="single" w:sz="8" w:space="0" w:color="auto"/>
            </w:tcBorders>
            <w:shd w:val="clear" w:color="000000" w:fill="DDEBF7"/>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 xml:space="preserve">2a </w:t>
            </w:r>
          </w:p>
        </w:tc>
        <w:tc>
          <w:tcPr>
            <w:tcW w:w="1510" w:type="dxa"/>
            <w:vMerge/>
            <w:tcBorders>
              <w:top w:val="single" w:sz="8" w:space="0" w:color="auto"/>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sz w:val="20"/>
                <w:szCs w:val="20"/>
                <w:lang w:val="en-US" w:eastAsia="en-US"/>
              </w:rPr>
            </w:pPr>
          </w:p>
        </w:tc>
      </w:tr>
      <w:tr w:rsidR="003179FF" w:rsidRPr="003179FF" w:rsidTr="00276905">
        <w:trPr>
          <w:trHeight w:val="517"/>
          <w:jc w:val="center"/>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color w:val="000000"/>
                <w:sz w:val="20"/>
                <w:szCs w:val="20"/>
                <w:lang w:val="en-US" w:eastAsia="en-US"/>
              </w:rPr>
            </w:pPr>
          </w:p>
        </w:tc>
        <w:tc>
          <w:tcPr>
            <w:tcW w:w="1373" w:type="dxa"/>
            <w:vMerge/>
            <w:tcBorders>
              <w:top w:val="nil"/>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sz w:val="20"/>
                <w:szCs w:val="20"/>
                <w:lang w:val="en-US" w:eastAsia="en-US"/>
              </w:rPr>
            </w:pPr>
          </w:p>
        </w:tc>
        <w:tc>
          <w:tcPr>
            <w:tcW w:w="1414" w:type="dxa"/>
            <w:vMerge/>
            <w:tcBorders>
              <w:top w:val="nil"/>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sz w:val="20"/>
                <w:szCs w:val="20"/>
                <w:lang w:val="en-US" w:eastAsia="en-US"/>
              </w:rPr>
            </w:pPr>
          </w:p>
        </w:tc>
        <w:tc>
          <w:tcPr>
            <w:tcW w:w="1510" w:type="dxa"/>
            <w:vMerge/>
            <w:tcBorders>
              <w:top w:val="single" w:sz="8" w:space="0" w:color="auto"/>
              <w:left w:val="single" w:sz="8" w:space="0" w:color="auto"/>
              <w:bottom w:val="single" w:sz="8" w:space="0" w:color="000000"/>
              <w:right w:val="single" w:sz="8" w:space="0" w:color="auto"/>
            </w:tcBorders>
            <w:vAlign w:val="center"/>
            <w:hideMark/>
          </w:tcPr>
          <w:p w:rsidR="003179FF" w:rsidRPr="003179FF" w:rsidRDefault="003179FF" w:rsidP="003179FF">
            <w:pPr>
              <w:rPr>
                <w:rFonts w:ascii="Arial" w:eastAsia="Times New Roman" w:hAnsi="Arial" w:cs="Arial"/>
                <w:b/>
                <w:bCs/>
                <w:sz w:val="20"/>
                <w:szCs w:val="20"/>
                <w:lang w:val="en-US" w:eastAsia="en-US"/>
              </w:rPr>
            </w:pP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Atlántida</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1003</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1713</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2716</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Colón</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558</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1246</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1804</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Comayagua</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1098</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3294</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4392</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lastRenderedPageBreak/>
              <w:t xml:space="preserve"> Copán</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951</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1892</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2843</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Cortés</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2214</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3870</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6084</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Choluteca</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772</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4258</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5030</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El Paraíso</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1209</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4173</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5382</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Francisco Morazán</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1035</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716</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1751</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Gracias a Dios</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117</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313</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430</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Intibucá</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735</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848</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1583</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Islas de la Bahía</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139</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450</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589</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La Paz</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229</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834</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1063</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Lempira</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886</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1171</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2057</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Ocotepeque</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443</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sz w:val="20"/>
                <w:szCs w:val="20"/>
                <w:lang w:val="en-US" w:eastAsia="en-US"/>
              </w:rPr>
            </w:pPr>
            <w:r w:rsidRPr="003179FF">
              <w:rPr>
                <w:rFonts w:ascii="Arial" w:eastAsia="Times New Roman" w:hAnsi="Arial" w:cs="Arial"/>
                <w:sz w:val="20"/>
                <w:szCs w:val="20"/>
                <w:lang w:val="en-US" w:eastAsia="en-US"/>
              </w:rPr>
              <w:t>924</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1367</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Olancho</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1549</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1516</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3065</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Santa Bárbara</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1310</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1690</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3000</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 xml:space="preserve"> Valle</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522</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1206</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1728</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Yoro</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1305</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2206</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3511</w:t>
            </w:r>
          </w:p>
        </w:tc>
      </w:tr>
      <w:tr w:rsidR="003179FF" w:rsidRPr="003179FF" w:rsidTr="00276905">
        <w:trPr>
          <w:trHeight w:val="308"/>
          <w:jc w:val="center"/>
        </w:trPr>
        <w:tc>
          <w:tcPr>
            <w:tcW w:w="2520" w:type="dxa"/>
            <w:tcBorders>
              <w:top w:val="nil"/>
              <w:left w:val="single" w:sz="8" w:space="0" w:color="auto"/>
              <w:bottom w:val="single" w:sz="4" w:space="0" w:color="auto"/>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Metro Distrito Central</w:t>
            </w:r>
          </w:p>
        </w:tc>
        <w:tc>
          <w:tcPr>
            <w:tcW w:w="1373" w:type="dxa"/>
            <w:tcBorders>
              <w:top w:val="nil"/>
              <w:left w:val="single" w:sz="8" w:space="0" w:color="auto"/>
              <w:bottom w:val="single" w:sz="4" w:space="0" w:color="auto"/>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1563</w:t>
            </w:r>
          </w:p>
        </w:tc>
        <w:tc>
          <w:tcPr>
            <w:tcW w:w="1414" w:type="dxa"/>
            <w:tcBorders>
              <w:top w:val="nil"/>
              <w:left w:val="nil"/>
              <w:bottom w:val="single" w:sz="4" w:space="0" w:color="auto"/>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2971</w:t>
            </w:r>
          </w:p>
        </w:tc>
        <w:tc>
          <w:tcPr>
            <w:tcW w:w="1510" w:type="dxa"/>
            <w:tcBorders>
              <w:top w:val="nil"/>
              <w:left w:val="nil"/>
              <w:bottom w:val="single" w:sz="4"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4534</w:t>
            </w:r>
          </w:p>
        </w:tc>
      </w:tr>
      <w:tr w:rsidR="003179FF" w:rsidRPr="003179FF" w:rsidTr="00276905">
        <w:trPr>
          <w:trHeight w:val="323"/>
          <w:jc w:val="center"/>
        </w:trPr>
        <w:tc>
          <w:tcPr>
            <w:tcW w:w="2520" w:type="dxa"/>
            <w:tcBorders>
              <w:top w:val="nil"/>
              <w:left w:val="single" w:sz="8" w:space="0" w:color="auto"/>
              <w:bottom w:val="nil"/>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Metro San Pedro Sula</w:t>
            </w:r>
          </w:p>
        </w:tc>
        <w:tc>
          <w:tcPr>
            <w:tcW w:w="1373" w:type="dxa"/>
            <w:tcBorders>
              <w:top w:val="nil"/>
              <w:left w:val="single" w:sz="8" w:space="0" w:color="auto"/>
              <w:bottom w:val="nil"/>
              <w:right w:val="single" w:sz="4"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1520</w:t>
            </w:r>
          </w:p>
        </w:tc>
        <w:tc>
          <w:tcPr>
            <w:tcW w:w="1414" w:type="dxa"/>
            <w:tcBorders>
              <w:top w:val="nil"/>
              <w:left w:val="nil"/>
              <w:bottom w:val="nil"/>
              <w:right w:val="single" w:sz="8" w:space="0" w:color="auto"/>
            </w:tcBorders>
            <w:shd w:val="clear" w:color="auto" w:fill="auto"/>
            <w:noWrap/>
            <w:vAlign w:val="center"/>
            <w:hideMark/>
          </w:tcPr>
          <w:p w:rsidR="003179FF" w:rsidRPr="003179FF" w:rsidRDefault="003179FF" w:rsidP="003179FF">
            <w:pPr>
              <w:jc w:val="center"/>
              <w:rPr>
                <w:rFonts w:ascii="Arial" w:eastAsia="Times New Roman" w:hAnsi="Arial" w:cs="Arial"/>
                <w:color w:val="000000"/>
                <w:sz w:val="20"/>
                <w:szCs w:val="20"/>
                <w:lang w:val="en-US" w:eastAsia="en-US"/>
              </w:rPr>
            </w:pPr>
            <w:r w:rsidRPr="003179FF">
              <w:rPr>
                <w:rFonts w:ascii="Arial" w:eastAsia="Times New Roman" w:hAnsi="Arial" w:cs="Arial"/>
                <w:color w:val="000000"/>
                <w:sz w:val="20"/>
                <w:szCs w:val="20"/>
                <w:lang w:val="en-US" w:eastAsia="en-US"/>
              </w:rPr>
              <w:t>4550</w:t>
            </w:r>
          </w:p>
        </w:tc>
        <w:tc>
          <w:tcPr>
            <w:tcW w:w="1510" w:type="dxa"/>
            <w:tcBorders>
              <w:top w:val="nil"/>
              <w:left w:val="nil"/>
              <w:bottom w:val="nil"/>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sz w:val="20"/>
                <w:szCs w:val="20"/>
                <w:lang w:val="en-US" w:eastAsia="en-US"/>
              </w:rPr>
            </w:pPr>
            <w:r w:rsidRPr="003179FF">
              <w:rPr>
                <w:rFonts w:ascii="Arial" w:eastAsia="Times New Roman" w:hAnsi="Arial" w:cs="Arial"/>
                <w:b/>
                <w:bCs/>
                <w:sz w:val="20"/>
                <w:szCs w:val="20"/>
                <w:lang w:val="en-US" w:eastAsia="en-US"/>
              </w:rPr>
              <w:t>6070</w:t>
            </w:r>
          </w:p>
        </w:tc>
      </w:tr>
      <w:tr w:rsidR="003179FF" w:rsidRPr="003179FF" w:rsidTr="00276905">
        <w:trPr>
          <w:trHeight w:val="323"/>
          <w:jc w:val="center"/>
        </w:trPr>
        <w:tc>
          <w:tcPr>
            <w:tcW w:w="2520" w:type="dxa"/>
            <w:tcBorders>
              <w:top w:val="single" w:sz="8" w:space="0" w:color="auto"/>
              <w:left w:val="single" w:sz="8" w:space="0" w:color="auto"/>
              <w:bottom w:val="single" w:sz="8" w:space="0" w:color="auto"/>
              <w:right w:val="nil"/>
            </w:tcBorders>
            <w:shd w:val="clear" w:color="000000" w:fill="DDEBF7"/>
            <w:noWrap/>
            <w:vAlign w:val="bottom"/>
            <w:hideMark/>
          </w:tcPr>
          <w:p w:rsidR="003179FF" w:rsidRPr="003179FF" w:rsidRDefault="003179FF" w:rsidP="003179FF">
            <w:pPr>
              <w:jc w:val="cente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Total</w:t>
            </w:r>
          </w:p>
        </w:tc>
        <w:tc>
          <w:tcPr>
            <w:tcW w:w="1373"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rsidR="003179FF" w:rsidRPr="003179FF" w:rsidRDefault="003179FF" w:rsidP="003179FF">
            <w:pPr>
              <w:jc w:val="cente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19158</w:t>
            </w:r>
          </w:p>
        </w:tc>
        <w:tc>
          <w:tcPr>
            <w:tcW w:w="1414"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rsidR="003179FF" w:rsidRPr="003179FF" w:rsidRDefault="003179FF" w:rsidP="003179FF">
            <w:pPr>
              <w:jc w:val="cente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39841</w:t>
            </w:r>
          </w:p>
        </w:tc>
        <w:tc>
          <w:tcPr>
            <w:tcW w:w="151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3179FF" w:rsidRPr="003179FF" w:rsidRDefault="003179FF" w:rsidP="003179FF">
            <w:pPr>
              <w:jc w:val="center"/>
              <w:rPr>
                <w:rFonts w:ascii="Arial" w:eastAsia="Times New Roman" w:hAnsi="Arial" w:cs="Arial"/>
                <w:b/>
                <w:bCs/>
                <w:color w:val="000000"/>
                <w:sz w:val="20"/>
                <w:szCs w:val="20"/>
                <w:lang w:val="en-US" w:eastAsia="en-US"/>
              </w:rPr>
            </w:pPr>
            <w:r w:rsidRPr="003179FF">
              <w:rPr>
                <w:rFonts w:ascii="Arial" w:eastAsia="Times New Roman" w:hAnsi="Arial" w:cs="Arial"/>
                <w:b/>
                <w:bCs/>
                <w:color w:val="000000"/>
                <w:sz w:val="20"/>
                <w:szCs w:val="20"/>
                <w:lang w:val="en-US" w:eastAsia="en-US"/>
              </w:rPr>
              <w:t>58999</w:t>
            </w:r>
          </w:p>
        </w:tc>
      </w:tr>
      <w:tr w:rsidR="003179FF" w:rsidRPr="003179FF" w:rsidTr="00276905">
        <w:trPr>
          <w:trHeight w:val="308"/>
          <w:jc w:val="center"/>
        </w:trPr>
        <w:tc>
          <w:tcPr>
            <w:tcW w:w="2520" w:type="dxa"/>
            <w:tcBorders>
              <w:top w:val="nil"/>
              <w:left w:val="nil"/>
              <w:bottom w:val="nil"/>
              <w:right w:val="nil"/>
            </w:tcBorders>
            <w:shd w:val="clear" w:color="auto" w:fill="auto"/>
            <w:noWrap/>
            <w:vAlign w:val="center"/>
            <w:hideMark/>
          </w:tcPr>
          <w:p w:rsidR="003179FF" w:rsidRPr="003179FF" w:rsidRDefault="003179FF" w:rsidP="003179FF">
            <w:pPr>
              <w:rPr>
                <w:rFonts w:ascii="Arial" w:eastAsia="Times New Roman" w:hAnsi="Arial" w:cs="Arial"/>
                <w:b/>
                <w:bCs/>
                <w:color w:val="000000"/>
                <w:sz w:val="16"/>
                <w:szCs w:val="16"/>
                <w:lang w:val="en-US" w:eastAsia="en-US"/>
              </w:rPr>
            </w:pPr>
            <w:r w:rsidRPr="003179FF">
              <w:rPr>
                <w:rFonts w:ascii="Arial" w:eastAsia="Times New Roman" w:hAnsi="Arial" w:cs="Arial"/>
                <w:b/>
                <w:bCs/>
                <w:color w:val="000000"/>
                <w:sz w:val="16"/>
                <w:szCs w:val="16"/>
                <w:lang w:val="en-US" w:eastAsia="en-US"/>
              </w:rPr>
              <w:t>Fuente: SIVAC, AES</w:t>
            </w:r>
          </w:p>
        </w:tc>
        <w:tc>
          <w:tcPr>
            <w:tcW w:w="1373" w:type="dxa"/>
            <w:tcBorders>
              <w:top w:val="nil"/>
              <w:left w:val="nil"/>
              <w:bottom w:val="nil"/>
              <w:right w:val="nil"/>
            </w:tcBorders>
            <w:shd w:val="clear" w:color="auto" w:fill="auto"/>
            <w:noWrap/>
            <w:vAlign w:val="center"/>
            <w:hideMark/>
          </w:tcPr>
          <w:p w:rsidR="003179FF" w:rsidRPr="003179FF" w:rsidRDefault="003179FF" w:rsidP="003179FF">
            <w:pPr>
              <w:rPr>
                <w:rFonts w:ascii="Arial" w:eastAsia="Times New Roman" w:hAnsi="Arial" w:cs="Arial"/>
                <w:b/>
                <w:bCs/>
                <w:color w:val="000000"/>
                <w:sz w:val="16"/>
                <w:szCs w:val="16"/>
                <w:lang w:val="en-US" w:eastAsia="en-US"/>
              </w:rPr>
            </w:pPr>
          </w:p>
        </w:tc>
        <w:tc>
          <w:tcPr>
            <w:tcW w:w="1414" w:type="dxa"/>
            <w:tcBorders>
              <w:top w:val="nil"/>
              <w:left w:val="nil"/>
              <w:bottom w:val="nil"/>
              <w:right w:val="nil"/>
            </w:tcBorders>
            <w:shd w:val="clear" w:color="auto" w:fill="auto"/>
            <w:noWrap/>
            <w:vAlign w:val="center"/>
            <w:hideMark/>
          </w:tcPr>
          <w:p w:rsidR="003179FF" w:rsidRPr="003179FF" w:rsidRDefault="003179FF" w:rsidP="003179FF">
            <w:pPr>
              <w:jc w:val="center"/>
              <w:rPr>
                <w:rFonts w:eastAsia="Times New Roman"/>
                <w:sz w:val="20"/>
                <w:szCs w:val="20"/>
                <w:lang w:val="en-US" w:eastAsia="en-US"/>
              </w:rPr>
            </w:pPr>
          </w:p>
        </w:tc>
        <w:tc>
          <w:tcPr>
            <w:tcW w:w="1510" w:type="dxa"/>
            <w:tcBorders>
              <w:top w:val="nil"/>
              <w:left w:val="nil"/>
              <w:bottom w:val="nil"/>
              <w:right w:val="nil"/>
            </w:tcBorders>
            <w:shd w:val="clear" w:color="auto" w:fill="auto"/>
            <w:noWrap/>
            <w:vAlign w:val="center"/>
            <w:hideMark/>
          </w:tcPr>
          <w:p w:rsidR="003179FF" w:rsidRPr="003179FF" w:rsidRDefault="003179FF" w:rsidP="003179FF">
            <w:pPr>
              <w:jc w:val="center"/>
              <w:rPr>
                <w:rFonts w:eastAsia="Times New Roman"/>
                <w:sz w:val="20"/>
                <w:szCs w:val="20"/>
                <w:lang w:val="en-US" w:eastAsia="en-US"/>
              </w:rPr>
            </w:pPr>
          </w:p>
        </w:tc>
      </w:tr>
      <w:tr w:rsidR="003179FF" w:rsidRPr="003179FF" w:rsidTr="00276905">
        <w:trPr>
          <w:trHeight w:val="308"/>
          <w:jc w:val="center"/>
        </w:trPr>
        <w:tc>
          <w:tcPr>
            <w:tcW w:w="2520" w:type="dxa"/>
            <w:tcBorders>
              <w:top w:val="nil"/>
              <w:left w:val="nil"/>
              <w:bottom w:val="nil"/>
              <w:right w:val="nil"/>
            </w:tcBorders>
            <w:shd w:val="clear" w:color="000000" w:fill="DDEBF7"/>
            <w:noWrap/>
            <w:vAlign w:val="center"/>
            <w:hideMark/>
          </w:tcPr>
          <w:p w:rsidR="003179FF" w:rsidRPr="003179FF" w:rsidRDefault="003179FF" w:rsidP="003179FF">
            <w:pPr>
              <w:rPr>
                <w:rFonts w:ascii="Arial" w:eastAsia="Times New Roman" w:hAnsi="Arial" w:cs="Arial"/>
                <w:b/>
                <w:bCs/>
                <w:color w:val="000000"/>
                <w:sz w:val="16"/>
                <w:szCs w:val="16"/>
                <w:lang w:val="en-US" w:eastAsia="en-US"/>
              </w:rPr>
            </w:pPr>
            <w:r w:rsidRPr="003179FF">
              <w:rPr>
                <w:rFonts w:ascii="Arial" w:eastAsia="Times New Roman" w:hAnsi="Arial" w:cs="Arial"/>
                <w:b/>
                <w:bCs/>
                <w:color w:val="000000"/>
                <w:sz w:val="16"/>
                <w:szCs w:val="16"/>
                <w:lang w:val="en-US" w:eastAsia="en-US"/>
              </w:rPr>
              <w:t>Actualizado 17-11-2021</w:t>
            </w:r>
          </w:p>
        </w:tc>
        <w:tc>
          <w:tcPr>
            <w:tcW w:w="1373" w:type="dxa"/>
            <w:tcBorders>
              <w:top w:val="nil"/>
              <w:left w:val="nil"/>
              <w:bottom w:val="nil"/>
              <w:right w:val="nil"/>
            </w:tcBorders>
            <w:shd w:val="clear" w:color="auto" w:fill="auto"/>
            <w:noWrap/>
            <w:vAlign w:val="center"/>
            <w:hideMark/>
          </w:tcPr>
          <w:p w:rsidR="003179FF" w:rsidRPr="003179FF" w:rsidRDefault="003179FF" w:rsidP="003179FF">
            <w:pPr>
              <w:rPr>
                <w:rFonts w:ascii="Arial" w:eastAsia="Times New Roman" w:hAnsi="Arial" w:cs="Arial"/>
                <w:b/>
                <w:bCs/>
                <w:color w:val="000000"/>
                <w:sz w:val="16"/>
                <w:szCs w:val="16"/>
                <w:lang w:val="en-US" w:eastAsia="en-US"/>
              </w:rPr>
            </w:pPr>
          </w:p>
        </w:tc>
        <w:tc>
          <w:tcPr>
            <w:tcW w:w="1414" w:type="dxa"/>
            <w:tcBorders>
              <w:top w:val="nil"/>
              <w:left w:val="nil"/>
              <w:bottom w:val="nil"/>
              <w:right w:val="nil"/>
            </w:tcBorders>
            <w:shd w:val="clear" w:color="auto" w:fill="auto"/>
            <w:noWrap/>
            <w:vAlign w:val="center"/>
            <w:hideMark/>
          </w:tcPr>
          <w:p w:rsidR="003179FF" w:rsidRPr="003179FF" w:rsidRDefault="003179FF" w:rsidP="003179FF">
            <w:pPr>
              <w:jc w:val="center"/>
              <w:rPr>
                <w:rFonts w:eastAsia="Times New Roman"/>
                <w:sz w:val="20"/>
                <w:szCs w:val="20"/>
                <w:lang w:val="en-US" w:eastAsia="en-US"/>
              </w:rPr>
            </w:pPr>
          </w:p>
        </w:tc>
        <w:tc>
          <w:tcPr>
            <w:tcW w:w="1510" w:type="dxa"/>
            <w:tcBorders>
              <w:top w:val="nil"/>
              <w:left w:val="nil"/>
              <w:bottom w:val="nil"/>
              <w:right w:val="nil"/>
            </w:tcBorders>
            <w:shd w:val="clear" w:color="auto" w:fill="auto"/>
            <w:noWrap/>
            <w:vAlign w:val="center"/>
            <w:hideMark/>
          </w:tcPr>
          <w:p w:rsidR="003179FF" w:rsidRPr="003179FF" w:rsidRDefault="003179FF" w:rsidP="003179FF">
            <w:pPr>
              <w:jc w:val="center"/>
              <w:rPr>
                <w:rFonts w:eastAsia="Times New Roman"/>
                <w:sz w:val="20"/>
                <w:szCs w:val="20"/>
                <w:lang w:val="en-US" w:eastAsia="en-US"/>
              </w:rPr>
            </w:pPr>
          </w:p>
        </w:tc>
      </w:tr>
    </w:tbl>
    <w:p w:rsidR="003179FF" w:rsidRDefault="003179FF" w:rsidP="00B54FAE">
      <w:pPr>
        <w:shd w:val="clear" w:color="auto" w:fill="FFFFFF"/>
        <w:spacing w:after="160" w:line="235" w:lineRule="atLeast"/>
        <w:jc w:val="both"/>
        <w:rPr>
          <w:rFonts w:ascii="Bookman Old Style" w:eastAsiaTheme="minorHAnsi" w:hAnsi="Bookman Old Style" w:cs="Arial"/>
        </w:rPr>
      </w:pPr>
    </w:p>
    <w:p w:rsidR="003179FF" w:rsidRDefault="003179FF" w:rsidP="00B54FAE">
      <w:pPr>
        <w:shd w:val="clear" w:color="auto" w:fill="FFFFFF"/>
        <w:spacing w:after="160" w:line="235" w:lineRule="atLeast"/>
        <w:jc w:val="both"/>
        <w:rPr>
          <w:rFonts w:ascii="Bookman Old Style" w:eastAsiaTheme="minorHAnsi" w:hAnsi="Bookman Old Style" w:cs="Arial"/>
        </w:rPr>
      </w:pPr>
    </w:p>
    <w:p w:rsidR="005B5511" w:rsidRDefault="005B5511" w:rsidP="00B54FAE">
      <w:pPr>
        <w:shd w:val="clear" w:color="auto" w:fill="FFFFFF"/>
        <w:spacing w:after="160" w:line="235" w:lineRule="atLeast"/>
        <w:jc w:val="both"/>
        <w:rPr>
          <w:rFonts w:ascii="Bookman Old Style" w:eastAsiaTheme="minorHAnsi" w:hAnsi="Bookman Old Style" w:cs="Arial"/>
        </w:rPr>
      </w:pPr>
    </w:p>
    <w:p w:rsidR="00AE2E79" w:rsidRPr="00920BA2" w:rsidRDefault="00AE2E79" w:rsidP="00B54FAE">
      <w:pPr>
        <w:pStyle w:val="Prrafodelista"/>
        <w:numPr>
          <w:ilvl w:val="0"/>
          <w:numId w:val="35"/>
        </w:numPr>
        <w:shd w:val="clear" w:color="auto" w:fill="FFFFFF"/>
        <w:spacing w:after="160" w:line="235" w:lineRule="atLeast"/>
        <w:jc w:val="both"/>
        <w:rPr>
          <w:rFonts w:ascii="Bookman Old Style" w:eastAsiaTheme="minorHAnsi" w:hAnsi="Bookman Old Style" w:cs="Arial"/>
          <w:color w:val="365F91" w:themeColor="accent1" w:themeShade="BF"/>
        </w:rPr>
      </w:pPr>
      <w:r w:rsidRPr="00920BA2">
        <w:rPr>
          <w:rFonts w:ascii="Bookman Old Style" w:eastAsiaTheme="minorHAnsi" w:hAnsi="Bookman Old Style" w:cs="Arial"/>
          <w:color w:val="365F91" w:themeColor="accent1" w:themeShade="BF"/>
        </w:rPr>
        <w:t>Brindar información sobre las buenas prácticas de incorporación y cumplimiento de las obligaciones internacionales que Honduras posee, respecto a la promoción y protección de derechos humanos para las personas de edad.  </w:t>
      </w:r>
    </w:p>
    <w:p w:rsidR="006A6182" w:rsidRDefault="006A6182" w:rsidP="00035CFA">
      <w:pPr>
        <w:spacing w:after="40" w:line="261" w:lineRule="auto"/>
        <w:ind w:right="23"/>
        <w:jc w:val="both"/>
        <w:rPr>
          <w:rFonts w:ascii="Bookman Old Style" w:eastAsiaTheme="minorHAnsi" w:hAnsi="Bookman Old Style" w:cs="Arial"/>
        </w:rPr>
      </w:pPr>
    </w:p>
    <w:p w:rsidR="00035CFA" w:rsidRDefault="00035CFA" w:rsidP="00035CFA">
      <w:pPr>
        <w:spacing w:after="40" w:line="261" w:lineRule="auto"/>
        <w:ind w:right="23"/>
        <w:jc w:val="both"/>
        <w:rPr>
          <w:rFonts w:ascii="Bookman Old Style" w:eastAsiaTheme="minorHAnsi" w:hAnsi="Bookman Old Style" w:cs="Arial"/>
        </w:rPr>
      </w:pPr>
      <w:r w:rsidRPr="00035CFA">
        <w:rPr>
          <w:rFonts w:ascii="Bookman Old Style" w:eastAsiaTheme="minorHAnsi" w:hAnsi="Bookman Old Style" w:cs="Arial"/>
        </w:rPr>
        <w:t>La</w:t>
      </w:r>
      <w:r w:rsidR="00920BA2" w:rsidRPr="00920BA2">
        <w:rPr>
          <w:rFonts w:ascii="Bookman Old Style" w:eastAsiaTheme="minorHAnsi" w:hAnsi="Bookman Old Style" w:cs="Arial"/>
        </w:rPr>
        <w:t xml:space="preserve"> Secretaría de Salud (SESAL) como ente </w:t>
      </w:r>
      <w:r>
        <w:rPr>
          <w:rFonts w:ascii="Bookman Old Style" w:eastAsiaTheme="minorHAnsi" w:hAnsi="Bookman Old Style" w:cs="Arial"/>
        </w:rPr>
        <w:t>rector a través de la Dirección</w:t>
      </w:r>
    </w:p>
    <w:p w:rsidR="00920BA2" w:rsidRPr="00920BA2" w:rsidRDefault="00920BA2" w:rsidP="00035CFA">
      <w:pPr>
        <w:spacing w:after="40" w:line="261" w:lineRule="auto"/>
        <w:ind w:right="23"/>
        <w:jc w:val="both"/>
        <w:rPr>
          <w:rFonts w:ascii="Bookman Old Style" w:eastAsiaTheme="minorHAnsi" w:hAnsi="Bookman Old Style" w:cs="Arial"/>
        </w:rPr>
      </w:pPr>
      <w:r w:rsidRPr="00920BA2">
        <w:rPr>
          <w:rFonts w:ascii="Bookman Old Style" w:eastAsiaTheme="minorHAnsi" w:hAnsi="Bookman Old Style" w:cs="Arial"/>
        </w:rPr>
        <w:t xml:space="preserve">General de Vigilancia del Marco Normativo (DGVMN) realiza las funciones de interpretar, aplicar, vigilar, fiscalizar y controlar aquellas </w:t>
      </w:r>
      <w:r w:rsidR="00035CFA" w:rsidRPr="00920BA2">
        <w:rPr>
          <w:rFonts w:ascii="Bookman Old Style" w:eastAsiaTheme="minorHAnsi" w:hAnsi="Bookman Old Style" w:cs="Arial"/>
        </w:rPr>
        <w:t>disposiciones</w:t>
      </w:r>
      <w:r w:rsidRPr="00920BA2">
        <w:rPr>
          <w:rFonts w:ascii="Bookman Old Style" w:eastAsiaTheme="minorHAnsi" w:hAnsi="Bookman Old Style" w:cs="Arial"/>
        </w:rPr>
        <w:t xml:space="preserve"> que debe acatar toda persona natural y jurídica que provea bienes y servicios de interés sanitario o que realiza actividades o mantiene conductas que por su naturaleza pueden afectar</w:t>
      </w:r>
      <w:r w:rsidR="00035CFA">
        <w:rPr>
          <w:rFonts w:ascii="Bookman Old Style" w:eastAsiaTheme="minorHAnsi" w:hAnsi="Bookman Old Style" w:cs="Arial"/>
        </w:rPr>
        <w:t xml:space="preserve"> </w:t>
      </w:r>
      <w:r w:rsidRPr="00920BA2">
        <w:rPr>
          <w:rFonts w:ascii="Bookman Old Style" w:eastAsiaTheme="minorHAnsi" w:hAnsi="Bookman Old Style" w:cs="Arial"/>
        </w:rPr>
        <w:t xml:space="preserve">la salud de la población de los procesos de atención en salud (Acuerdo No. 406 del 2014). Además, es responsable de "interpretar, aplicar, vigilar, fiscalizar y controlar el cumplimiento de la normativa legal, técnica y administrativa que garanticen el cumplimiento de los estándares de la calidad establecidos para asegurar la calidad en los procesos de atención en salud; la salud </w:t>
      </w:r>
      <w:r w:rsidRPr="00920BA2">
        <w:rPr>
          <w:rFonts w:ascii="Bookman Old Style" w:eastAsiaTheme="minorHAnsi" w:hAnsi="Bookman Old Style" w:cs="Arial"/>
        </w:rPr>
        <w:lastRenderedPageBreak/>
        <w:t>ambiental, salud ocupacional y personal de salud" (Decreto Ejecutivo 032-2017). En ese sentido y con la finalidad de fortalecer y dar cumplimiento a los compromisos internacionales que Honduras ha adquirido como país signatario respecto a la promoción y protección de derechos humanos para las personas de edad y la estandarización de los servicios de atención, la Secretaria de Salud (SESAL) cuenta con una Guía de Evaluación Integral al Adulto Mayor dirigida al personal de atención en los establecimientos de salud para mejorar la calidad de los servicios, aunado a esto la DGVMN cuenta con un instrumento para vigilar el cumplimiento de la guía antes mencionada.</w:t>
      </w:r>
    </w:p>
    <w:p w:rsidR="00920BA2" w:rsidRDefault="00920BA2" w:rsidP="0081142A">
      <w:pPr>
        <w:shd w:val="clear" w:color="auto" w:fill="FFFFFF"/>
        <w:spacing w:after="160" w:line="235" w:lineRule="atLeast"/>
        <w:jc w:val="both"/>
        <w:rPr>
          <w:rFonts w:ascii="Bookman Old Style" w:eastAsia="Times New Roman" w:hAnsi="Bookman Old Style" w:cs="Calibri"/>
          <w:b/>
          <w:bCs/>
          <w:color w:val="1D2228"/>
          <w:lang w:eastAsia="en-US"/>
        </w:rPr>
      </w:pPr>
    </w:p>
    <w:p w:rsidR="00845010" w:rsidRPr="00845010" w:rsidRDefault="00845010" w:rsidP="00845010">
      <w:pPr>
        <w:shd w:val="clear" w:color="auto" w:fill="FFFFFF"/>
        <w:spacing w:after="160" w:line="235" w:lineRule="atLeast"/>
        <w:jc w:val="both"/>
        <w:rPr>
          <w:rFonts w:ascii="Bookman Old Style" w:eastAsia="Times New Roman" w:hAnsi="Bookman Old Style" w:cs="Calibri"/>
          <w:b/>
          <w:bCs/>
          <w:color w:val="1D2228"/>
          <w:lang w:eastAsia="en-US"/>
        </w:rPr>
      </w:pPr>
      <w:r w:rsidRPr="00845010">
        <w:rPr>
          <w:rFonts w:ascii="Bookman Old Style" w:eastAsia="Times New Roman" w:hAnsi="Bookman Old Style" w:cs="Calibri"/>
          <w:b/>
          <w:bCs/>
          <w:color w:val="1D2228"/>
          <w:lang w:eastAsia="en-US"/>
        </w:rPr>
        <w:t>Junto con otras instituciones:</w:t>
      </w:r>
    </w:p>
    <w:p w:rsidR="00845010" w:rsidRPr="00845010" w:rsidRDefault="00845010" w:rsidP="00845010">
      <w:pPr>
        <w:shd w:val="clear" w:color="auto" w:fill="FFFFFF"/>
        <w:spacing w:after="160" w:line="235" w:lineRule="atLeast"/>
        <w:jc w:val="both"/>
        <w:rPr>
          <w:rFonts w:ascii="Bookman Old Style" w:eastAsia="Times New Roman" w:hAnsi="Bookman Old Style" w:cs="Calibri"/>
          <w:bCs/>
          <w:color w:val="1D2228"/>
          <w:lang w:eastAsia="en-US"/>
        </w:rPr>
      </w:pPr>
      <w:r w:rsidRPr="00845010">
        <w:rPr>
          <w:rFonts w:ascii="Bookman Old Style" w:eastAsia="Times New Roman" w:hAnsi="Bookman Old Style" w:cs="Calibri"/>
          <w:bCs/>
          <w:color w:val="1D2228"/>
          <w:lang w:eastAsia="en-US"/>
        </w:rPr>
        <w:t>El estado a través de varias instituciones realiza labores que fomentan la integración de las personas adultas mayores a la sociedad.</w:t>
      </w:r>
    </w:p>
    <w:p w:rsidR="00845010" w:rsidRPr="00845010" w:rsidRDefault="00845010" w:rsidP="00845010">
      <w:pPr>
        <w:shd w:val="clear" w:color="auto" w:fill="FFFFFF"/>
        <w:spacing w:after="160" w:line="235" w:lineRule="atLeast"/>
        <w:jc w:val="both"/>
        <w:rPr>
          <w:rFonts w:ascii="Bookman Old Style" w:eastAsia="Times New Roman" w:hAnsi="Bookman Old Style" w:cs="Calibri"/>
          <w:bCs/>
          <w:color w:val="1D2228"/>
          <w:lang w:eastAsia="en-US"/>
        </w:rPr>
      </w:pPr>
      <w:r w:rsidRPr="00845010">
        <w:rPr>
          <w:rFonts w:ascii="Bookman Old Style" w:eastAsia="Times New Roman" w:hAnsi="Bookman Old Style" w:cs="Calibri"/>
          <w:bCs/>
          <w:color w:val="1D2228"/>
          <w:lang w:eastAsia="en-US"/>
        </w:rPr>
        <w:t>La Dirección General del Adulto Mayor de la Secretaria de Desarrollo e Inclusión Social (DIGAM/SEDIS) cuenta con programas para la organización de los grupos de adultos mayores en las comunidades urbanas y rurales habiendo tenido experiencias exitosas en la organización de clubes de adultos mayores y centros de día del Adulto Mayor; también por medio de la estrategia de mejores familias se aborda a los adultos mayores para evaluaciones sociales, psicológicas,</w:t>
      </w:r>
      <w:r>
        <w:rPr>
          <w:rFonts w:ascii="Bookman Old Style" w:eastAsia="Times New Roman" w:hAnsi="Bookman Old Style" w:cs="Calibri"/>
          <w:bCs/>
          <w:color w:val="1D2228"/>
          <w:lang w:eastAsia="en-US"/>
        </w:rPr>
        <w:t xml:space="preserve"> </w:t>
      </w:r>
      <w:r w:rsidRPr="00845010">
        <w:rPr>
          <w:rFonts w:ascii="Bookman Old Style" w:eastAsia="Times New Roman" w:hAnsi="Bookman Old Style" w:cs="Calibri"/>
          <w:bCs/>
          <w:color w:val="1D2228"/>
          <w:lang w:eastAsia="en-US"/>
        </w:rPr>
        <w:t>nutricionales, funcionales y detección de casos de violencia y según los resultados encontrados se plantea intervención domiciliar y comunitaria con apoyo profesional, subsidios o alimentos si fuese necesario.</w:t>
      </w:r>
    </w:p>
    <w:p w:rsidR="00845010" w:rsidRPr="00845010" w:rsidRDefault="00845010" w:rsidP="00845010">
      <w:pPr>
        <w:shd w:val="clear" w:color="auto" w:fill="FFFFFF"/>
        <w:spacing w:after="160" w:line="235" w:lineRule="atLeast"/>
        <w:jc w:val="both"/>
        <w:rPr>
          <w:rFonts w:ascii="Bookman Old Style" w:eastAsia="Times New Roman" w:hAnsi="Bookman Old Style" w:cs="Calibri"/>
          <w:bCs/>
          <w:color w:val="1D2228"/>
          <w:lang w:eastAsia="en-US"/>
        </w:rPr>
      </w:pPr>
      <w:r w:rsidRPr="00845010">
        <w:rPr>
          <w:rFonts w:ascii="Bookman Old Style" w:eastAsia="Times New Roman" w:hAnsi="Bookman Old Style" w:cs="Calibri"/>
          <w:bCs/>
          <w:color w:val="1D2228"/>
          <w:lang w:eastAsia="en-US"/>
        </w:rPr>
        <w:t>En estas comunidades es evidente la mejora en aspectos como la participación ciudadana de los adultos mayores, así como la mejora de la salud física y mental en las personas que se integran a estas estrategias. En algunas de estas comunidades participa el personal de los establecimientos de la red de salud para dar acompañamiento y posterior seguimiento a las actividades.</w:t>
      </w:r>
    </w:p>
    <w:p w:rsidR="00845010" w:rsidRPr="00845010" w:rsidRDefault="00845010" w:rsidP="00845010">
      <w:pPr>
        <w:shd w:val="clear" w:color="auto" w:fill="FFFFFF"/>
        <w:spacing w:after="160" w:line="235" w:lineRule="atLeast"/>
        <w:jc w:val="both"/>
        <w:rPr>
          <w:rFonts w:ascii="Bookman Old Style" w:eastAsia="Times New Roman" w:hAnsi="Bookman Old Style" w:cs="Calibri"/>
          <w:bCs/>
          <w:color w:val="1D2228"/>
          <w:lang w:eastAsia="en-US"/>
        </w:rPr>
      </w:pPr>
      <w:r w:rsidRPr="00845010">
        <w:rPr>
          <w:rFonts w:ascii="Bookman Old Style" w:eastAsia="Times New Roman" w:hAnsi="Bookman Old Style" w:cs="Calibri"/>
          <w:bCs/>
          <w:color w:val="1D2228"/>
          <w:lang w:eastAsia="en-US"/>
        </w:rPr>
        <w:t>Desde el 2014 se cuenta con la estrategia de Parques Para Una Vida Mejor, orientado al esparcimiento de toda la familia con especial énfasis en los Niños y los Adultos Mayores, para los cuales se han instalado aparatos para su ejercitamiento físico y áreas de socialización fomentando de esta manera la relación intergeneracional y la integración de la familia, en estos espacios el personal de la Secretaria de Salud aprovecha la oportunidad para instalar ferias de la salud con objetivos de prevención y promoción de los estilos de vida saludable.</w:t>
      </w:r>
    </w:p>
    <w:p w:rsidR="00AE2E79" w:rsidRDefault="00AE2E79" w:rsidP="0081142A">
      <w:pPr>
        <w:shd w:val="clear" w:color="auto" w:fill="FFFFFF"/>
        <w:spacing w:after="160" w:line="235" w:lineRule="atLeast"/>
        <w:jc w:val="both"/>
        <w:rPr>
          <w:rFonts w:ascii="Bookman Old Style" w:eastAsia="Times New Roman" w:hAnsi="Bookman Old Style" w:cs="Calibri"/>
          <w:b/>
          <w:bCs/>
          <w:color w:val="1D2228"/>
          <w:lang w:eastAsia="en-US"/>
        </w:rPr>
      </w:pPr>
    </w:p>
    <w:p w:rsidR="00AE2E79" w:rsidRDefault="00AE2E79" w:rsidP="0081142A">
      <w:pPr>
        <w:shd w:val="clear" w:color="auto" w:fill="FFFFFF"/>
        <w:spacing w:after="160" w:line="235" w:lineRule="atLeast"/>
        <w:jc w:val="both"/>
        <w:rPr>
          <w:rFonts w:ascii="Bookman Old Style" w:eastAsia="Times New Roman" w:hAnsi="Bookman Old Style" w:cs="Calibri"/>
          <w:b/>
          <w:bCs/>
          <w:color w:val="1D2228"/>
          <w:lang w:eastAsia="en-US"/>
        </w:rPr>
      </w:pPr>
    </w:p>
    <w:p w:rsidR="00534E41" w:rsidRDefault="00534E41" w:rsidP="0081142A">
      <w:pPr>
        <w:shd w:val="clear" w:color="auto" w:fill="FFFFFF"/>
        <w:spacing w:after="160" w:line="235" w:lineRule="atLeast"/>
        <w:jc w:val="both"/>
        <w:rPr>
          <w:rFonts w:ascii="Bookman Old Style" w:eastAsia="Times New Roman" w:hAnsi="Bookman Old Style" w:cs="Calibri"/>
          <w:color w:val="1D2228"/>
          <w:lang w:eastAsia="en-US"/>
        </w:rPr>
      </w:pPr>
    </w:p>
    <w:sectPr w:rsidR="00534E41" w:rsidSect="00D512D3">
      <w:headerReference w:type="even" r:id="rId14"/>
      <w:headerReference w:type="default" r:id="rId15"/>
      <w:headerReference w:type="first" r:id="rId1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A43" w:rsidRDefault="00B06A43" w:rsidP="00751D83">
      <w:r>
        <w:separator/>
      </w:r>
    </w:p>
  </w:endnote>
  <w:endnote w:type="continuationSeparator" w:id="0">
    <w:p w:rsidR="00B06A43" w:rsidRDefault="00B06A43" w:rsidP="0075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New serif">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A43" w:rsidRDefault="00B06A43" w:rsidP="00751D83">
      <w:r>
        <w:separator/>
      </w:r>
    </w:p>
  </w:footnote>
  <w:footnote w:type="continuationSeparator" w:id="0">
    <w:p w:rsidR="00B06A43" w:rsidRDefault="00B06A43" w:rsidP="00751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A43" w:rsidRDefault="00036B94">
    <w:pPr>
      <w:pStyle w:val="Encabezado"/>
    </w:pPr>
    <w:r>
      <w:rPr>
        <w:noProof/>
        <w:lang w:eastAsia="es-HN"/>
      </w:rPr>
      <w:pict w14:anchorId="14820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2164" o:spid="_x0000_s2068" type="#_x0000_t75" style="position:absolute;margin-left:0;margin-top:0;width:612pt;height:11in;z-index:-251657216;mso-position-horizontal:center;mso-position-horizontal-relative:margin;mso-position-vertical:center;mso-position-vertical-relative:margin" o:allowincell="f">
          <v:imagedata r:id="rId1" o:title="membrete despach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A43" w:rsidRDefault="00036B94" w:rsidP="00060F00">
    <w:pPr>
      <w:pStyle w:val="Encabezado"/>
      <w:tabs>
        <w:tab w:val="clear" w:pos="4419"/>
        <w:tab w:val="clear" w:pos="8838"/>
        <w:tab w:val="left" w:pos="3615"/>
      </w:tabs>
    </w:pPr>
    <w:r>
      <w:rPr>
        <w:noProof/>
        <w:lang w:eastAsia="es-HN"/>
      </w:rPr>
      <w:pict w14:anchorId="5A4E0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2165" o:spid="_x0000_s2069" type="#_x0000_t75" style="position:absolute;margin-left:-85.05pt;margin-top:-85.8pt;width:616.5pt;height:880.65pt;z-index:-251656192;mso-position-horizontal-relative:margin;mso-position-vertical-relative:margin" o:allowincell="f">
          <v:imagedata r:id="rId1" o:title="membrete despacho"/>
          <w10:wrap anchorx="margin" anchory="margin"/>
        </v:shape>
      </w:pict>
    </w:r>
    <w:r w:rsidR="00B06A43">
      <w:tab/>
    </w:r>
  </w:p>
  <w:p w:rsidR="00B06A43" w:rsidRDefault="00B06A43" w:rsidP="00060F00">
    <w:pPr>
      <w:pStyle w:val="Encabezado"/>
      <w:tabs>
        <w:tab w:val="clear" w:pos="4419"/>
        <w:tab w:val="clear" w:pos="8838"/>
        <w:tab w:val="left" w:pos="3615"/>
      </w:tabs>
    </w:pPr>
  </w:p>
  <w:p w:rsidR="00B06A43" w:rsidRDefault="00B06A43" w:rsidP="00060F00">
    <w:pPr>
      <w:pStyle w:val="Encabezado"/>
      <w:tabs>
        <w:tab w:val="clear" w:pos="4419"/>
        <w:tab w:val="clear" w:pos="8838"/>
        <w:tab w:val="left" w:pos="361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A43" w:rsidRDefault="00036B94">
    <w:pPr>
      <w:pStyle w:val="Encabezado"/>
    </w:pPr>
    <w:r>
      <w:rPr>
        <w:noProof/>
        <w:lang w:eastAsia="es-HN"/>
      </w:rPr>
      <w:pict w14:anchorId="7F023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62163" o:spid="_x0000_s2067" type="#_x0000_t75" style="position:absolute;margin-left:0;margin-top:0;width:612pt;height:11in;z-index:-251658240;mso-position-horizontal:center;mso-position-horizontal-relative:margin;mso-position-vertical:center;mso-position-vertical-relative:margin" o:allowincell="f">
          <v:imagedata r:id="rId1" o:title="membrete despach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w14:anchorId="39F72E05" id="_x0000_i1056" style="width:4.5pt;height:2.25pt" coordsize="" o:spt="100" o:bullet="t" adj="0,,0" path="" stroked="f">
        <v:stroke joinstyle="miter"/>
        <v:imagedata r:id="rId1" o:title="image10"/>
        <v:formulas/>
        <v:path o:connecttype="segments"/>
      </v:shape>
    </w:pict>
  </w:numPicBullet>
  <w:numPicBullet w:numPicBulletId="1">
    <w:pict>
      <v:shape id="_x0000_i1057" style="width:4.5pt;height:3pt" coordsize="" o:spt="100" o:bullet="t" adj="0,,0" path="" stroked="f">
        <v:stroke joinstyle="miter"/>
        <v:imagedata r:id="rId2" o:title="image11"/>
        <v:formulas/>
        <v:path o:connecttype="segments"/>
      </v:shape>
    </w:pict>
  </w:numPicBullet>
  <w:numPicBullet w:numPicBulletId="2">
    <w:pict>
      <v:shape id="_x0000_i1058" style="width:6.75pt;height:6.75pt" coordsize="" o:spt="100" o:bullet="t" adj="0,,0" path="" stroked="f">
        <v:stroke joinstyle="miter"/>
        <v:imagedata r:id="rId3" o:title="image7"/>
        <v:formulas/>
        <v:path o:connecttype="segments"/>
      </v:shape>
    </w:pict>
  </w:numPicBullet>
  <w:abstractNum w:abstractNumId="0" w15:restartNumberingAfterBreak="0">
    <w:nsid w:val="048171BC"/>
    <w:multiLevelType w:val="hybridMultilevel"/>
    <w:tmpl w:val="0EC037E0"/>
    <w:lvl w:ilvl="0" w:tplc="E56E28AA">
      <w:start w:val="1"/>
      <w:numFmt w:val="bullet"/>
      <w:lvlText w:val="•"/>
      <w:lvlPicBulletId w:val="1"/>
      <w:lvlJc w:val="left"/>
      <w:pPr>
        <w:ind w:left="3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9DE9622">
      <w:start w:val="1"/>
      <w:numFmt w:val="bullet"/>
      <w:lvlText w:val="o"/>
      <w:lvlJc w:val="left"/>
      <w:pPr>
        <w:ind w:left="14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E10582E">
      <w:start w:val="1"/>
      <w:numFmt w:val="bullet"/>
      <w:lvlText w:val="▪"/>
      <w:lvlJc w:val="left"/>
      <w:pPr>
        <w:ind w:left="21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020BB84">
      <w:start w:val="1"/>
      <w:numFmt w:val="bullet"/>
      <w:lvlText w:val="•"/>
      <w:lvlJc w:val="left"/>
      <w:pPr>
        <w:ind w:left="28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B30F964">
      <w:start w:val="1"/>
      <w:numFmt w:val="bullet"/>
      <w:lvlText w:val="o"/>
      <w:lvlJc w:val="left"/>
      <w:pPr>
        <w:ind w:left="35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92839C4">
      <w:start w:val="1"/>
      <w:numFmt w:val="bullet"/>
      <w:lvlText w:val="▪"/>
      <w:lvlJc w:val="left"/>
      <w:pPr>
        <w:ind w:left="43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2D856FC">
      <w:start w:val="1"/>
      <w:numFmt w:val="bullet"/>
      <w:lvlText w:val="•"/>
      <w:lvlJc w:val="left"/>
      <w:pPr>
        <w:ind w:left="50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2A0BECA">
      <w:start w:val="1"/>
      <w:numFmt w:val="bullet"/>
      <w:lvlText w:val="o"/>
      <w:lvlJc w:val="left"/>
      <w:pPr>
        <w:ind w:left="57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48CF0FE">
      <w:start w:val="1"/>
      <w:numFmt w:val="bullet"/>
      <w:lvlText w:val="▪"/>
      <w:lvlJc w:val="left"/>
      <w:pPr>
        <w:ind w:left="64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9A946D6"/>
    <w:multiLevelType w:val="hybridMultilevel"/>
    <w:tmpl w:val="0512002C"/>
    <w:lvl w:ilvl="0" w:tplc="ED069FC0">
      <w:start w:val="1"/>
      <w:numFmt w:val="upperRoman"/>
      <w:lvlText w:val="%1."/>
      <w:lvlJc w:val="left"/>
      <w:pPr>
        <w:ind w:left="720" w:hanging="720"/>
      </w:pPr>
      <w:rPr>
        <w:rFonts w:ascii="New serif" w:hAnsi="New serif"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423ECD"/>
    <w:multiLevelType w:val="hybridMultilevel"/>
    <w:tmpl w:val="1B9C70F6"/>
    <w:lvl w:ilvl="0" w:tplc="875C69E6">
      <w:start w:val="1"/>
      <w:numFmt w:val="decimal"/>
      <w:lvlText w:val="%1"/>
      <w:lvlJc w:val="left"/>
      <w:pPr>
        <w:ind w:left="1068" w:hanging="708"/>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FC94CFF"/>
    <w:multiLevelType w:val="hybridMultilevel"/>
    <w:tmpl w:val="C688E866"/>
    <w:lvl w:ilvl="0" w:tplc="0409000D">
      <w:start w:val="1"/>
      <w:numFmt w:val="bullet"/>
      <w:lvlText w:val=""/>
      <w:lvlJc w:val="left"/>
      <w:pPr>
        <w:ind w:left="1114" w:hanging="360"/>
      </w:pPr>
      <w:rPr>
        <w:rFonts w:ascii="Wingdings" w:hAnsi="Wingdings"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4" w15:restartNumberingAfterBreak="0">
    <w:nsid w:val="13DC0900"/>
    <w:multiLevelType w:val="hybridMultilevel"/>
    <w:tmpl w:val="4A2E301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45067BD"/>
    <w:multiLevelType w:val="hybridMultilevel"/>
    <w:tmpl w:val="F034AA6E"/>
    <w:lvl w:ilvl="0" w:tplc="E788084E">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F10DF1"/>
    <w:multiLevelType w:val="hybridMultilevel"/>
    <w:tmpl w:val="6456B4F8"/>
    <w:lvl w:ilvl="0" w:tplc="6C882F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177A1"/>
    <w:multiLevelType w:val="hybridMultilevel"/>
    <w:tmpl w:val="3C2CBC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1C5348F9"/>
    <w:multiLevelType w:val="hybridMultilevel"/>
    <w:tmpl w:val="8AEA9DE0"/>
    <w:lvl w:ilvl="0" w:tplc="0409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F4435F1"/>
    <w:multiLevelType w:val="hybridMultilevel"/>
    <w:tmpl w:val="1BB0964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20F175A9"/>
    <w:multiLevelType w:val="hybridMultilevel"/>
    <w:tmpl w:val="B9C6802A"/>
    <w:lvl w:ilvl="0" w:tplc="3B28BDFE">
      <w:start w:val="1"/>
      <w:numFmt w:val="decimal"/>
      <w:lvlText w:val="%1."/>
      <w:lvlJc w:val="left"/>
      <w:pPr>
        <w:ind w:left="720" w:hanging="360"/>
      </w:pPr>
      <w:rPr>
        <w:color w:val="0070C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217F2CBA"/>
    <w:multiLevelType w:val="hybridMultilevel"/>
    <w:tmpl w:val="416C318A"/>
    <w:lvl w:ilvl="0" w:tplc="D466F4EC">
      <w:start w:val="1"/>
      <w:numFmt w:val="decimal"/>
      <w:lvlText w:val="%1)"/>
      <w:lvlJc w:val="left"/>
      <w:pPr>
        <w:ind w:left="720" w:hanging="360"/>
      </w:pPr>
      <w:rPr>
        <w:rFonts w:ascii="Times New Roman" w:eastAsia="MS Mincho" w:hAnsi="Times New Roman" w:cs="Times New Roman"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 w15:restartNumberingAfterBreak="0">
    <w:nsid w:val="21FF6B48"/>
    <w:multiLevelType w:val="hybridMultilevel"/>
    <w:tmpl w:val="084E0A2E"/>
    <w:lvl w:ilvl="0" w:tplc="480A0001">
      <w:start w:val="28"/>
      <w:numFmt w:val="bullet"/>
      <w:lvlText w:val=""/>
      <w:lvlJc w:val="left"/>
      <w:pPr>
        <w:ind w:left="720" w:hanging="360"/>
      </w:pPr>
      <w:rPr>
        <w:rFonts w:ascii="Symbol" w:eastAsia="Times New Roman" w:hAnsi="Symbol"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2F138B3"/>
    <w:multiLevelType w:val="hybridMultilevel"/>
    <w:tmpl w:val="E1B8E084"/>
    <w:lvl w:ilvl="0" w:tplc="E25C69E8">
      <w:start w:val="1"/>
      <w:numFmt w:val="bullet"/>
      <w:lvlText w:val="•"/>
      <w:lvlPicBulletId w:val="0"/>
      <w:lvlJc w:val="left"/>
      <w:pPr>
        <w:ind w:left="35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71CAAE58">
      <w:start w:val="1"/>
      <w:numFmt w:val="bullet"/>
      <w:lvlText w:val="o"/>
      <w:lvlJc w:val="left"/>
      <w:pPr>
        <w:ind w:left="145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E5E8970C">
      <w:start w:val="1"/>
      <w:numFmt w:val="bullet"/>
      <w:lvlText w:val="▪"/>
      <w:lvlJc w:val="left"/>
      <w:pPr>
        <w:ind w:left="217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512E4EC">
      <w:start w:val="1"/>
      <w:numFmt w:val="bullet"/>
      <w:lvlText w:val="•"/>
      <w:lvlJc w:val="left"/>
      <w:pPr>
        <w:ind w:left="289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BBC3AA8">
      <w:start w:val="1"/>
      <w:numFmt w:val="bullet"/>
      <w:lvlText w:val="o"/>
      <w:lvlJc w:val="left"/>
      <w:pPr>
        <w:ind w:left="361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C792A364">
      <w:start w:val="1"/>
      <w:numFmt w:val="bullet"/>
      <w:lvlText w:val="▪"/>
      <w:lvlJc w:val="left"/>
      <w:pPr>
        <w:ind w:left="433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9E8CD2CC">
      <w:start w:val="1"/>
      <w:numFmt w:val="bullet"/>
      <w:lvlText w:val="•"/>
      <w:lvlJc w:val="left"/>
      <w:pPr>
        <w:ind w:left="505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70281C5A">
      <w:start w:val="1"/>
      <w:numFmt w:val="bullet"/>
      <w:lvlText w:val="o"/>
      <w:lvlJc w:val="left"/>
      <w:pPr>
        <w:ind w:left="577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CB8E66A">
      <w:start w:val="1"/>
      <w:numFmt w:val="bullet"/>
      <w:lvlText w:val="▪"/>
      <w:lvlJc w:val="left"/>
      <w:pPr>
        <w:ind w:left="649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2647289C"/>
    <w:multiLevelType w:val="hybridMultilevel"/>
    <w:tmpl w:val="6186BE62"/>
    <w:lvl w:ilvl="0" w:tplc="ACC8E34C">
      <w:start w:val="1"/>
      <w:numFmt w:val="decimal"/>
      <w:lvlText w:val="%1."/>
      <w:lvlJc w:val="left"/>
      <w:pPr>
        <w:ind w:left="720" w:hanging="360"/>
      </w:pPr>
      <w:rPr>
        <w:color w:val="00B05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15:restartNumberingAfterBreak="0">
    <w:nsid w:val="2C101767"/>
    <w:multiLevelType w:val="hybridMultilevel"/>
    <w:tmpl w:val="13EA6C2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F2F648C"/>
    <w:multiLevelType w:val="hybridMultilevel"/>
    <w:tmpl w:val="A4C253F0"/>
    <w:lvl w:ilvl="0" w:tplc="0409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071106F"/>
    <w:multiLevelType w:val="hybridMultilevel"/>
    <w:tmpl w:val="2868A3B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32D12E15"/>
    <w:multiLevelType w:val="hybridMultilevel"/>
    <w:tmpl w:val="B5C4ADF2"/>
    <w:lvl w:ilvl="0" w:tplc="8FD2F05E">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3A4811B0"/>
    <w:multiLevelType w:val="hybridMultilevel"/>
    <w:tmpl w:val="8F46FE78"/>
    <w:lvl w:ilvl="0" w:tplc="E5D228D2">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40F95428"/>
    <w:multiLevelType w:val="hybridMultilevel"/>
    <w:tmpl w:val="631C943C"/>
    <w:lvl w:ilvl="0" w:tplc="48880E46">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12D2B0A"/>
    <w:multiLevelType w:val="hybridMultilevel"/>
    <w:tmpl w:val="D3BA342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46E91842"/>
    <w:multiLevelType w:val="hybridMultilevel"/>
    <w:tmpl w:val="D3C233A6"/>
    <w:lvl w:ilvl="0" w:tplc="7A7ECA9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902D92"/>
    <w:multiLevelType w:val="hybridMultilevel"/>
    <w:tmpl w:val="C99ABEEC"/>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15:restartNumberingAfterBreak="0">
    <w:nsid w:val="4E224674"/>
    <w:multiLevelType w:val="hybridMultilevel"/>
    <w:tmpl w:val="1C6017A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53FB1710"/>
    <w:multiLevelType w:val="hybridMultilevel"/>
    <w:tmpl w:val="CCDCB09E"/>
    <w:lvl w:ilvl="0" w:tplc="E788084E">
      <w:numFmt w:val="bullet"/>
      <w:lvlText w:val="-"/>
      <w:lvlJc w:val="left"/>
      <w:pPr>
        <w:ind w:left="384" w:hanging="360"/>
      </w:pPr>
      <w:rPr>
        <w:rFonts w:ascii="Times New Roman" w:eastAsia="MS Mincho" w:hAnsi="Times New Roman" w:cs="Times New Roman"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6" w15:restartNumberingAfterBreak="0">
    <w:nsid w:val="541314C4"/>
    <w:multiLevelType w:val="multilevel"/>
    <w:tmpl w:val="A1D0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472836"/>
    <w:multiLevelType w:val="hybridMultilevel"/>
    <w:tmpl w:val="AE6AC04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15:restartNumberingAfterBreak="0">
    <w:nsid w:val="5FE77978"/>
    <w:multiLevelType w:val="hybridMultilevel"/>
    <w:tmpl w:val="20BE81C2"/>
    <w:lvl w:ilvl="0" w:tplc="670224B4">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61D03FD1"/>
    <w:multiLevelType w:val="hybridMultilevel"/>
    <w:tmpl w:val="6E9CE6EA"/>
    <w:lvl w:ilvl="0" w:tplc="1CDA3A8E">
      <w:start w:val="1"/>
      <w:numFmt w:val="decimal"/>
      <w:lvlText w:val="%1)"/>
      <w:lvlJc w:val="left"/>
      <w:pPr>
        <w:ind w:left="720" w:hanging="360"/>
      </w:pPr>
      <w:rPr>
        <w:rFonts w:ascii="Times New Roman" w:eastAsia="MS Mincho" w:hAnsi="Times New Roman" w:cs="Times New Roman"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63533992"/>
    <w:multiLevelType w:val="hybridMultilevel"/>
    <w:tmpl w:val="429CF0C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5565D66"/>
    <w:multiLevelType w:val="multilevel"/>
    <w:tmpl w:val="D6843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D10861"/>
    <w:multiLevelType w:val="hybridMultilevel"/>
    <w:tmpl w:val="DF2C3CE0"/>
    <w:lvl w:ilvl="0" w:tplc="E60E393A">
      <w:numFmt w:val="bullet"/>
      <w:lvlText w:val="-"/>
      <w:lvlJc w:val="left"/>
      <w:pPr>
        <w:ind w:left="720" w:hanging="360"/>
      </w:pPr>
      <w:rPr>
        <w:rFonts w:ascii="Agency FB" w:eastAsia="Times New Roman" w:hAnsi="Agency FB"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6C332734"/>
    <w:multiLevelType w:val="hybridMultilevel"/>
    <w:tmpl w:val="47CA79E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6D940AA4"/>
    <w:multiLevelType w:val="hybridMultilevel"/>
    <w:tmpl w:val="4A2E301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6E4170BF"/>
    <w:multiLevelType w:val="hybridMultilevel"/>
    <w:tmpl w:val="45AAE87E"/>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0BC3393"/>
    <w:multiLevelType w:val="hybridMultilevel"/>
    <w:tmpl w:val="D1506502"/>
    <w:lvl w:ilvl="0" w:tplc="701451AA">
      <w:start w:val="1"/>
      <w:numFmt w:val="decimal"/>
      <w:lvlText w:val="%1."/>
      <w:lvlJc w:val="left"/>
      <w:pPr>
        <w:ind w:left="720" w:hanging="360"/>
      </w:pPr>
      <w:rPr>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7B05535F"/>
    <w:multiLevelType w:val="hybridMultilevel"/>
    <w:tmpl w:val="18689812"/>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B4D15E9"/>
    <w:multiLevelType w:val="hybridMultilevel"/>
    <w:tmpl w:val="9B988528"/>
    <w:lvl w:ilvl="0" w:tplc="C876CF98">
      <w:start w:val="1"/>
      <w:numFmt w:val="bullet"/>
      <w:lvlText w:val="•"/>
      <w:lvlPicBulletId w:val="2"/>
      <w:lvlJc w:val="left"/>
      <w:pPr>
        <w:ind w:left="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90D614">
      <w:start w:val="1"/>
      <w:numFmt w:val="bullet"/>
      <w:lvlText w:val="o"/>
      <w:lvlJc w:val="left"/>
      <w:pPr>
        <w:ind w:left="1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FCF026">
      <w:start w:val="1"/>
      <w:numFmt w:val="bullet"/>
      <w:lvlText w:val="▪"/>
      <w:lvlJc w:val="left"/>
      <w:pPr>
        <w:ind w:left="2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DC63FE">
      <w:start w:val="1"/>
      <w:numFmt w:val="bullet"/>
      <w:lvlText w:val="•"/>
      <w:lvlJc w:val="left"/>
      <w:pPr>
        <w:ind w:left="3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B0B09C">
      <w:start w:val="1"/>
      <w:numFmt w:val="bullet"/>
      <w:lvlText w:val="o"/>
      <w:lvlJc w:val="left"/>
      <w:pPr>
        <w:ind w:left="3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F261B6">
      <w:start w:val="1"/>
      <w:numFmt w:val="bullet"/>
      <w:lvlText w:val="▪"/>
      <w:lvlJc w:val="left"/>
      <w:pPr>
        <w:ind w:left="4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BCD810">
      <w:start w:val="1"/>
      <w:numFmt w:val="bullet"/>
      <w:lvlText w:val="•"/>
      <w:lvlJc w:val="left"/>
      <w:pPr>
        <w:ind w:left="5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1C14B2">
      <w:start w:val="1"/>
      <w:numFmt w:val="bullet"/>
      <w:lvlText w:val="o"/>
      <w:lvlJc w:val="left"/>
      <w:pPr>
        <w:ind w:left="6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AC86DC">
      <w:start w:val="1"/>
      <w:numFmt w:val="bullet"/>
      <w:lvlText w:val="▪"/>
      <w:lvlJc w:val="left"/>
      <w:pPr>
        <w:ind w:left="6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BB11BC1"/>
    <w:multiLevelType w:val="hybridMultilevel"/>
    <w:tmpl w:val="DEA619E8"/>
    <w:lvl w:ilvl="0" w:tplc="1CE83528">
      <w:start w:val="1"/>
      <w:numFmt w:val="decimal"/>
      <w:lvlText w:val="%1)"/>
      <w:lvlJc w:val="left"/>
      <w:pPr>
        <w:ind w:left="720" w:hanging="360"/>
      </w:pPr>
      <w:rPr>
        <w:rFonts w:ascii="Times New Roman" w:eastAsia="MS Mincho" w:hAnsi="Times New Roman" w:cs="Times New Roman" w:hint="default"/>
        <w:color w:val="00B05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33"/>
  </w:num>
  <w:num w:numId="2">
    <w:abstractNumId w:val="2"/>
  </w:num>
  <w:num w:numId="3">
    <w:abstractNumId w:val="24"/>
  </w:num>
  <w:num w:numId="4">
    <w:abstractNumId w:val="7"/>
  </w:num>
  <w:num w:numId="5">
    <w:abstractNumId w:val="4"/>
  </w:num>
  <w:num w:numId="6">
    <w:abstractNumId w:val="32"/>
  </w:num>
  <w:num w:numId="7">
    <w:abstractNumId w:val="34"/>
  </w:num>
  <w:num w:numId="8">
    <w:abstractNumId w:val="12"/>
  </w:num>
  <w:num w:numId="9">
    <w:abstractNumId w:val="37"/>
  </w:num>
  <w:num w:numId="10">
    <w:abstractNumId w:val="17"/>
  </w:num>
  <w:num w:numId="11">
    <w:abstractNumId w:val="23"/>
  </w:num>
  <w:num w:numId="12">
    <w:abstractNumId w:val="8"/>
  </w:num>
  <w:num w:numId="13">
    <w:abstractNumId w:val="16"/>
  </w:num>
  <w:num w:numId="14">
    <w:abstractNumId w:val="18"/>
  </w:num>
  <w:num w:numId="15">
    <w:abstractNumId w:val="20"/>
  </w:num>
  <w:num w:numId="16">
    <w:abstractNumId w:val="19"/>
  </w:num>
  <w:num w:numId="17">
    <w:abstractNumId w:val="14"/>
  </w:num>
  <w:num w:numId="18">
    <w:abstractNumId w:val="36"/>
  </w:num>
  <w:num w:numId="19">
    <w:abstractNumId w:val="28"/>
  </w:num>
  <w:num w:numId="20">
    <w:abstractNumId w:val="11"/>
  </w:num>
  <w:num w:numId="21">
    <w:abstractNumId w:val="39"/>
  </w:num>
  <w:num w:numId="22">
    <w:abstractNumId w:val="29"/>
  </w:num>
  <w:num w:numId="23">
    <w:abstractNumId w:val="10"/>
  </w:num>
  <w:num w:numId="24">
    <w:abstractNumId w:val="15"/>
  </w:num>
  <w:num w:numId="25">
    <w:abstractNumId w:val="13"/>
  </w:num>
  <w:num w:numId="26">
    <w:abstractNumId w:val="0"/>
  </w:num>
  <w:num w:numId="27">
    <w:abstractNumId w:val="5"/>
  </w:num>
  <w:num w:numId="28">
    <w:abstractNumId w:val="3"/>
  </w:num>
  <w:num w:numId="29">
    <w:abstractNumId w:val="25"/>
  </w:num>
  <w:num w:numId="30">
    <w:abstractNumId w:val="35"/>
  </w:num>
  <w:num w:numId="31">
    <w:abstractNumId w:val="31"/>
  </w:num>
  <w:num w:numId="32">
    <w:abstractNumId w:val="26"/>
  </w:num>
  <w:num w:numId="33">
    <w:abstractNumId w:val="1"/>
  </w:num>
  <w:num w:numId="34">
    <w:abstractNumId w:val="6"/>
  </w:num>
  <w:num w:numId="35">
    <w:abstractNumId w:val="22"/>
  </w:num>
  <w:num w:numId="36">
    <w:abstractNumId w:val="38"/>
  </w:num>
  <w:num w:numId="37">
    <w:abstractNumId w:val="30"/>
  </w:num>
  <w:num w:numId="38">
    <w:abstractNumId w:val="27"/>
  </w:num>
  <w:num w:numId="39">
    <w:abstractNumId w:val="21"/>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MX" w:vendorID="64" w:dllVersion="6" w:nlCheck="1" w:checkStyle="0"/>
  <w:activeWritingStyle w:appName="MSWord" w:lang="es-PE" w:vendorID="64" w:dllVersion="6" w:nlCheck="1" w:checkStyle="1"/>
  <w:activeWritingStyle w:appName="MSWord" w:lang="en-US" w:vendorID="64" w:dllVersion="6" w:nlCheck="1" w:checkStyle="0"/>
  <w:activeWritingStyle w:appName="MSWord" w:lang="es-ES" w:vendorID="64" w:dllVersion="4096" w:nlCheck="1" w:checkStyle="0"/>
  <w:activeWritingStyle w:appName="MSWord" w:lang="es-HN" w:vendorID="64" w:dllVersion="4096" w:nlCheck="1" w:checkStyle="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D83"/>
    <w:rsid w:val="00003684"/>
    <w:rsid w:val="00005E84"/>
    <w:rsid w:val="00007007"/>
    <w:rsid w:val="00010221"/>
    <w:rsid w:val="00010AC7"/>
    <w:rsid w:val="00011160"/>
    <w:rsid w:val="0001156A"/>
    <w:rsid w:val="00012976"/>
    <w:rsid w:val="00013145"/>
    <w:rsid w:val="00017F1B"/>
    <w:rsid w:val="00021312"/>
    <w:rsid w:val="00022988"/>
    <w:rsid w:val="00022C42"/>
    <w:rsid w:val="00030D20"/>
    <w:rsid w:val="00032714"/>
    <w:rsid w:val="00035CFA"/>
    <w:rsid w:val="00036642"/>
    <w:rsid w:val="00036B94"/>
    <w:rsid w:val="0004318F"/>
    <w:rsid w:val="00044DCE"/>
    <w:rsid w:val="00051C12"/>
    <w:rsid w:val="00060F00"/>
    <w:rsid w:val="000612EA"/>
    <w:rsid w:val="000612F9"/>
    <w:rsid w:val="00062CBF"/>
    <w:rsid w:val="00063A1F"/>
    <w:rsid w:val="00064C7C"/>
    <w:rsid w:val="00064FE2"/>
    <w:rsid w:val="00065137"/>
    <w:rsid w:val="00070F01"/>
    <w:rsid w:val="00071B13"/>
    <w:rsid w:val="000723B7"/>
    <w:rsid w:val="00077211"/>
    <w:rsid w:val="00081405"/>
    <w:rsid w:val="00081AA1"/>
    <w:rsid w:val="00090706"/>
    <w:rsid w:val="00091CA9"/>
    <w:rsid w:val="000A6DB2"/>
    <w:rsid w:val="000A7024"/>
    <w:rsid w:val="000A7F2B"/>
    <w:rsid w:val="000B5EF4"/>
    <w:rsid w:val="000B6D4F"/>
    <w:rsid w:val="000B7B6A"/>
    <w:rsid w:val="000C0622"/>
    <w:rsid w:val="000C3D4F"/>
    <w:rsid w:val="000C6A4B"/>
    <w:rsid w:val="000C7271"/>
    <w:rsid w:val="000D022E"/>
    <w:rsid w:val="000D646A"/>
    <w:rsid w:val="000E32FF"/>
    <w:rsid w:val="000F07DE"/>
    <w:rsid w:val="000F2CA2"/>
    <w:rsid w:val="000F4401"/>
    <w:rsid w:val="00103ABD"/>
    <w:rsid w:val="00117638"/>
    <w:rsid w:val="00117F16"/>
    <w:rsid w:val="00120012"/>
    <w:rsid w:val="0012377B"/>
    <w:rsid w:val="00124A5D"/>
    <w:rsid w:val="00126F08"/>
    <w:rsid w:val="001324B1"/>
    <w:rsid w:val="001339AC"/>
    <w:rsid w:val="00137995"/>
    <w:rsid w:val="0014766F"/>
    <w:rsid w:val="001526E0"/>
    <w:rsid w:val="00153C32"/>
    <w:rsid w:val="00155A55"/>
    <w:rsid w:val="0016325C"/>
    <w:rsid w:val="00165190"/>
    <w:rsid w:val="001662EC"/>
    <w:rsid w:val="001664DF"/>
    <w:rsid w:val="00171C02"/>
    <w:rsid w:val="001738B1"/>
    <w:rsid w:val="00173CEF"/>
    <w:rsid w:val="001750D0"/>
    <w:rsid w:val="00182FF2"/>
    <w:rsid w:val="00191714"/>
    <w:rsid w:val="001A5FBA"/>
    <w:rsid w:val="001A7FB5"/>
    <w:rsid w:val="001B09C3"/>
    <w:rsid w:val="001B0EBC"/>
    <w:rsid w:val="001B17FF"/>
    <w:rsid w:val="001B3C96"/>
    <w:rsid w:val="001B6D89"/>
    <w:rsid w:val="001B765A"/>
    <w:rsid w:val="001C2814"/>
    <w:rsid w:val="001C2A66"/>
    <w:rsid w:val="001C39F5"/>
    <w:rsid w:val="001C415A"/>
    <w:rsid w:val="001C65CD"/>
    <w:rsid w:val="001C667F"/>
    <w:rsid w:val="001C78EF"/>
    <w:rsid w:val="001D0976"/>
    <w:rsid w:val="001D2F5D"/>
    <w:rsid w:val="001D33E0"/>
    <w:rsid w:val="001D40A9"/>
    <w:rsid w:val="001D6A3E"/>
    <w:rsid w:val="001D71EB"/>
    <w:rsid w:val="001E2DFD"/>
    <w:rsid w:val="001E3F51"/>
    <w:rsid w:val="001E4813"/>
    <w:rsid w:val="001F0D17"/>
    <w:rsid w:val="001F1327"/>
    <w:rsid w:val="001F7A1C"/>
    <w:rsid w:val="00204845"/>
    <w:rsid w:val="00204949"/>
    <w:rsid w:val="00205462"/>
    <w:rsid w:val="002145CD"/>
    <w:rsid w:val="002161AE"/>
    <w:rsid w:val="00221E51"/>
    <w:rsid w:val="00222557"/>
    <w:rsid w:val="00222F69"/>
    <w:rsid w:val="00222FB3"/>
    <w:rsid w:val="002341F7"/>
    <w:rsid w:val="00243554"/>
    <w:rsid w:val="00243BA3"/>
    <w:rsid w:val="00253883"/>
    <w:rsid w:val="002567E5"/>
    <w:rsid w:val="0026082F"/>
    <w:rsid w:val="00262A44"/>
    <w:rsid w:val="00266CCB"/>
    <w:rsid w:val="002676C2"/>
    <w:rsid w:val="00267B30"/>
    <w:rsid w:val="0027089D"/>
    <w:rsid w:val="00275A26"/>
    <w:rsid w:val="00276905"/>
    <w:rsid w:val="0027715E"/>
    <w:rsid w:val="002774BC"/>
    <w:rsid w:val="0028556B"/>
    <w:rsid w:val="0029076F"/>
    <w:rsid w:val="00291124"/>
    <w:rsid w:val="00297576"/>
    <w:rsid w:val="002A2D2D"/>
    <w:rsid w:val="002A307A"/>
    <w:rsid w:val="002B3FD8"/>
    <w:rsid w:val="002C64A8"/>
    <w:rsid w:val="002D166E"/>
    <w:rsid w:val="002D1B62"/>
    <w:rsid w:val="002D675A"/>
    <w:rsid w:val="002E0C82"/>
    <w:rsid w:val="002E20DE"/>
    <w:rsid w:val="002F35C0"/>
    <w:rsid w:val="002F79C0"/>
    <w:rsid w:val="00302EBC"/>
    <w:rsid w:val="0030569D"/>
    <w:rsid w:val="00312FCC"/>
    <w:rsid w:val="00314245"/>
    <w:rsid w:val="00317664"/>
    <w:rsid w:val="003179FF"/>
    <w:rsid w:val="00325858"/>
    <w:rsid w:val="003351F4"/>
    <w:rsid w:val="00341EA3"/>
    <w:rsid w:val="00342026"/>
    <w:rsid w:val="00342866"/>
    <w:rsid w:val="0034731F"/>
    <w:rsid w:val="00351EC1"/>
    <w:rsid w:val="00352D1A"/>
    <w:rsid w:val="0035464B"/>
    <w:rsid w:val="00356FC6"/>
    <w:rsid w:val="00384779"/>
    <w:rsid w:val="00386D60"/>
    <w:rsid w:val="0039421B"/>
    <w:rsid w:val="00395FD9"/>
    <w:rsid w:val="003974DF"/>
    <w:rsid w:val="003A2046"/>
    <w:rsid w:val="003B4921"/>
    <w:rsid w:val="003C194B"/>
    <w:rsid w:val="003C2B2F"/>
    <w:rsid w:val="003C2E9B"/>
    <w:rsid w:val="003C36C7"/>
    <w:rsid w:val="003C3CDD"/>
    <w:rsid w:val="003C7D18"/>
    <w:rsid w:val="003D2CF5"/>
    <w:rsid w:val="003E4DCC"/>
    <w:rsid w:val="003E7429"/>
    <w:rsid w:val="003F1396"/>
    <w:rsid w:val="003F19CE"/>
    <w:rsid w:val="00400819"/>
    <w:rsid w:val="00406B6D"/>
    <w:rsid w:val="00410E5A"/>
    <w:rsid w:val="00414007"/>
    <w:rsid w:val="00421521"/>
    <w:rsid w:val="00430D15"/>
    <w:rsid w:val="004321B0"/>
    <w:rsid w:val="004339C3"/>
    <w:rsid w:val="00435208"/>
    <w:rsid w:val="0044077B"/>
    <w:rsid w:val="004408BF"/>
    <w:rsid w:val="00444C1D"/>
    <w:rsid w:val="00452AD1"/>
    <w:rsid w:val="004624EA"/>
    <w:rsid w:val="004631EF"/>
    <w:rsid w:val="0047021F"/>
    <w:rsid w:val="004727BD"/>
    <w:rsid w:val="0047710A"/>
    <w:rsid w:val="00477A29"/>
    <w:rsid w:val="00477B17"/>
    <w:rsid w:val="0048245F"/>
    <w:rsid w:val="0048358B"/>
    <w:rsid w:val="00486FF0"/>
    <w:rsid w:val="00497D3E"/>
    <w:rsid w:val="004A1899"/>
    <w:rsid w:val="004A1EA0"/>
    <w:rsid w:val="004A2BBA"/>
    <w:rsid w:val="004C04A4"/>
    <w:rsid w:val="004C33A2"/>
    <w:rsid w:val="004C3DE1"/>
    <w:rsid w:val="004C4BF1"/>
    <w:rsid w:val="004D1030"/>
    <w:rsid w:val="004D28E0"/>
    <w:rsid w:val="004D2B60"/>
    <w:rsid w:val="004D407C"/>
    <w:rsid w:val="004D4A47"/>
    <w:rsid w:val="004D62A9"/>
    <w:rsid w:val="004D7674"/>
    <w:rsid w:val="004E3637"/>
    <w:rsid w:val="004E4A3F"/>
    <w:rsid w:val="004F0239"/>
    <w:rsid w:val="004F5467"/>
    <w:rsid w:val="004F620F"/>
    <w:rsid w:val="00500065"/>
    <w:rsid w:val="00500A15"/>
    <w:rsid w:val="005052B9"/>
    <w:rsid w:val="0050652A"/>
    <w:rsid w:val="005069F7"/>
    <w:rsid w:val="00512FD3"/>
    <w:rsid w:val="00513114"/>
    <w:rsid w:val="00520F80"/>
    <w:rsid w:val="00534E41"/>
    <w:rsid w:val="005355D5"/>
    <w:rsid w:val="0053683D"/>
    <w:rsid w:val="00540736"/>
    <w:rsid w:val="00543472"/>
    <w:rsid w:val="0055370B"/>
    <w:rsid w:val="00555DE2"/>
    <w:rsid w:val="00561996"/>
    <w:rsid w:val="00562F4D"/>
    <w:rsid w:val="00565D83"/>
    <w:rsid w:val="0057156E"/>
    <w:rsid w:val="00572E28"/>
    <w:rsid w:val="00580B76"/>
    <w:rsid w:val="00581AB4"/>
    <w:rsid w:val="00582933"/>
    <w:rsid w:val="00582B49"/>
    <w:rsid w:val="00585559"/>
    <w:rsid w:val="00586110"/>
    <w:rsid w:val="00586D24"/>
    <w:rsid w:val="00593EC1"/>
    <w:rsid w:val="00596C1A"/>
    <w:rsid w:val="005A5715"/>
    <w:rsid w:val="005B10FF"/>
    <w:rsid w:val="005B5511"/>
    <w:rsid w:val="005B6315"/>
    <w:rsid w:val="005B7462"/>
    <w:rsid w:val="005C1395"/>
    <w:rsid w:val="005C2383"/>
    <w:rsid w:val="005C3434"/>
    <w:rsid w:val="005C6217"/>
    <w:rsid w:val="005F0002"/>
    <w:rsid w:val="005F7CF3"/>
    <w:rsid w:val="00601A92"/>
    <w:rsid w:val="006036D4"/>
    <w:rsid w:val="00604A42"/>
    <w:rsid w:val="0060751C"/>
    <w:rsid w:val="006141CA"/>
    <w:rsid w:val="00614BA9"/>
    <w:rsid w:val="006268CD"/>
    <w:rsid w:val="006276D1"/>
    <w:rsid w:val="006336EC"/>
    <w:rsid w:val="00645EA8"/>
    <w:rsid w:val="00645F26"/>
    <w:rsid w:val="0065258E"/>
    <w:rsid w:val="00653881"/>
    <w:rsid w:val="00661556"/>
    <w:rsid w:val="00662FB5"/>
    <w:rsid w:val="0066370F"/>
    <w:rsid w:val="006705E5"/>
    <w:rsid w:val="00673014"/>
    <w:rsid w:val="0067353E"/>
    <w:rsid w:val="0067682A"/>
    <w:rsid w:val="0068367B"/>
    <w:rsid w:val="00684201"/>
    <w:rsid w:val="006854D3"/>
    <w:rsid w:val="00686666"/>
    <w:rsid w:val="00690A8C"/>
    <w:rsid w:val="00691216"/>
    <w:rsid w:val="006920F2"/>
    <w:rsid w:val="00693CD7"/>
    <w:rsid w:val="006A12D9"/>
    <w:rsid w:val="006A6045"/>
    <w:rsid w:val="006A6182"/>
    <w:rsid w:val="006B29C8"/>
    <w:rsid w:val="006B327D"/>
    <w:rsid w:val="006B4D27"/>
    <w:rsid w:val="006B571F"/>
    <w:rsid w:val="006B7091"/>
    <w:rsid w:val="006C1693"/>
    <w:rsid w:val="006C3C2E"/>
    <w:rsid w:val="006C742E"/>
    <w:rsid w:val="006D3C86"/>
    <w:rsid w:val="006E09F0"/>
    <w:rsid w:val="006E1056"/>
    <w:rsid w:val="006E2491"/>
    <w:rsid w:val="006E4EEF"/>
    <w:rsid w:val="006F0CD2"/>
    <w:rsid w:val="007009FC"/>
    <w:rsid w:val="00701370"/>
    <w:rsid w:val="00701A0A"/>
    <w:rsid w:val="007100AB"/>
    <w:rsid w:val="00716147"/>
    <w:rsid w:val="007178ED"/>
    <w:rsid w:val="00720E6F"/>
    <w:rsid w:val="0072216C"/>
    <w:rsid w:val="007246A1"/>
    <w:rsid w:val="00724DD0"/>
    <w:rsid w:val="00726CAF"/>
    <w:rsid w:val="007356BE"/>
    <w:rsid w:val="007459E7"/>
    <w:rsid w:val="00751019"/>
    <w:rsid w:val="0075127A"/>
    <w:rsid w:val="00751D83"/>
    <w:rsid w:val="007543D9"/>
    <w:rsid w:val="00760FBD"/>
    <w:rsid w:val="0077317E"/>
    <w:rsid w:val="007752A7"/>
    <w:rsid w:val="007761A4"/>
    <w:rsid w:val="007812F6"/>
    <w:rsid w:val="00783C7B"/>
    <w:rsid w:val="00785C66"/>
    <w:rsid w:val="0078659C"/>
    <w:rsid w:val="00786616"/>
    <w:rsid w:val="00786D1E"/>
    <w:rsid w:val="007A2E31"/>
    <w:rsid w:val="007A3B8F"/>
    <w:rsid w:val="007A6CF7"/>
    <w:rsid w:val="007A7F42"/>
    <w:rsid w:val="007B6388"/>
    <w:rsid w:val="007B69E2"/>
    <w:rsid w:val="007C18C8"/>
    <w:rsid w:val="007C2137"/>
    <w:rsid w:val="007C3C53"/>
    <w:rsid w:val="007D0A11"/>
    <w:rsid w:val="007D4D39"/>
    <w:rsid w:val="007D5091"/>
    <w:rsid w:val="007D6925"/>
    <w:rsid w:val="007D7CEC"/>
    <w:rsid w:val="007E7B85"/>
    <w:rsid w:val="007F2C84"/>
    <w:rsid w:val="007F3C83"/>
    <w:rsid w:val="007F3EF5"/>
    <w:rsid w:val="007F4855"/>
    <w:rsid w:val="007F6D8D"/>
    <w:rsid w:val="0080171A"/>
    <w:rsid w:val="00803BEB"/>
    <w:rsid w:val="00806DBA"/>
    <w:rsid w:val="00807AB4"/>
    <w:rsid w:val="0081142A"/>
    <w:rsid w:val="00812669"/>
    <w:rsid w:val="0081331C"/>
    <w:rsid w:val="008167A7"/>
    <w:rsid w:val="00823A19"/>
    <w:rsid w:val="00827A32"/>
    <w:rsid w:val="0083235B"/>
    <w:rsid w:val="0083652F"/>
    <w:rsid w:val="00836C43"/>
    <w:rsid w:val="00845010"/>
    <w:rsid w:val="00846E02"/>
    <w:rsid w:val="00850547"/>
    <w:rsid w:val="008509F7"/>
    <w:rsid w:val="00851FDD"/>
    <w:rsid w:val="008524B4"/>
    <w:rsid w:val="00853897"/>
    <w:rsid w:val="00856DE4"/>
    <w:rsid w:val="00870F62"/>
    <w:rsid w:val="00871DAC"/>
    <w:rsid w:val="00880358"/>
    <w:rsid w:val="00887B37"/>
    <w:rsid w:val="00897503"/>
    <w:rsid w:val="008A20E8"/>
    <w:rsid w:val="008A7F40"/>
    <w:rsid w:val="008B0559"/>
    <w:rsid w:val="008B0D39"/>
    <w:rsid w:val="008B101C"/>
    <w:rsid w:val="008B2509"/>
    <w:rsid w:val="008B56FB"/>
    <w:rsid w:val="008B78B1"/>
    <w:rsid w:val="008B78FC"/>
    <w:rsid w:val="008C2F7A"/>
    <w:rsid w:val="008C5FB8"/>
    <w:rsid w:val="008C762D"/>
    <w:rsid w:val="008D4C1E"/>
    <w:rsid w:val="008D6D2D"/>
    <w:rsid w:val="008D7329"/>
    <w:rsid w:val="008F170E"/>
    <w:rsid w:val="008F1CDC"/>
    <w:rsid w:val="008F2416"/>
    <w:rsid w:val="008F62C9"/>
    <w:rsid w:val="00900930"/>
    <w:rsid w:val="00901126"/>
    <w:rsid w:val="009045C7"/>
    <w:rsid w:val="00905E08"/>
    <w:rsid w:val="0091274F"/>
    <w:rsid w:val="00920BA2"/>
    <w:rsid w:val="00921FF6"/>
    <w:rsid w:val="00922E72"/>
    <w:rsid w:val="0092697D"/>
    <w:rsid w:val="00940C5E"/>
    <w:rsid w:val="00940EDD"/>
    <w:rsid w:val="00941221"/>
    <w:rsid w:val="0094224C"/>
    <w:rsid w:val="009425EB"/>
    <w:rsid w:val="00946890"/>
    <w:rsid w:val="00951CA2"/>
    <w:rsid w:val="00952A73"/>
    <w:rsid w:val="00962FAC"/>
    <w:rsid w:val="0096591B"/>
    <w:rsid w:val="009707EB"/>
    <w:rsid w:val="00971880"/>
    <w:rsid w:val="00974411"/>
    <w:rsid w:val="00974C12"/>
    <w:rsid w:val="009817B5"/>
    <w:rsid w:val="00983FEC"/>
    <w:rsid w:val="00985AD0"/>
    <w:rsid w:val="00986DCA"/>
    <w:rsid w:val="009929F7"/>
    <w:rsid w:val="00995D54"/>
    <w:rsid w:val="00996427"/>
    <w:rsid w:val="0099758A"/>
    <w:rsid w:val="009A3F7F"/>
    <w:rsid w:val="009A6BB1"/>
    <w:rsid w:val="009C5B02"/>
    <w:rsid w:val="009D0881"/>
    <w:rsid w:val="009D092F"/>
    <w:rsid w:val="009D5215"/>
    <w:rsid w:val="009E11D4"/>
    <w:rsid w:val="009E41B7"/>
    <w:rsid w:val="009E5A88"/>
    <w:rsid w:val="009F2749"/>
    <w:rsid w:val="009F677F"/>
    <w:rsid w:val="00A057F9"/>
    <w:rsid w:val="00A06E3D"/>
    <w:rsid w:val="00A1236B"/>
    <w:rsid w:val="00A12ACC"/>
    <w:rsid w:val="00A26116"/>
    <w:rsid w:val="00A34DA9"/>
    <w:rsid w:val="00A35C68"/>
    <w:rsid w:val="00A36128"/>
    <w:rsid w:val="00A657CA"/>
    <w:rsid w:val="00A67537"/>
    <w:rsid w:val="00A72FEB"/>
    <w:rsid w:val="00A73719"/>
    <w:rsid w:val="00A74008"/>
    <w:rsid w:val="00A768E5"/>
    <w:rsid w:val="00A801FE"/>
    <w:rsid w:val="00A81E0B"/>
    <w:rsid w:val="00A83079"/>
    <w:rsid w:val="00A83FCF"/>
    <w:rsid w:val="00A90A94"/>
    <w:rsid w:val="00A930A7"/>
    <w:rsid w:val="00A934BE"/>
    <w:rsid w:val="00A9496D"/>
    <w:rsid w:val="00A97720"/>
    <w:rsid w:val="00A97843"/>
    <w:rsid w:val="00AA1E90"/>
    <w:rsid w:val="00AA6AC8"/>
    <w:rsid w:val="00AB2279"/>
    <w:rsid w:val="00AB3905"/>
    <w:rsid w:val="00AB39F7"/>
    <w:rsid w:val="00AB589F"/>
    <w:rsid w:val="00AB6CCF"/>
    <w:rsid w:val="00AC1F8E"/>
    <w:rsid w:val="00AC4DE0"/>
    <w:rsid w:val="00AC63CE"/>
    <w:rsid w:val="00AD1BC7"/>
    <w:rsid w:val="00AD41D8"/>
    <w:rsid w:val="00AD4A4D"/>
    <w:rsid w:val="00AE2E79"/>
    <w:rsid w:val="00AE3571"/>
    <w:rsid w:val="00AE5A73"/>
    <w:rsid w:val="00AF016D"/>
    <w:rsid w:val="00AF2094"/>
    <w:rsid w:val="00AF6EB9"/>
    <w:rsid w:val="00B03881"/>
    <w:rsid w:val="00B054E9"/>
    <w:rsid w:val="00B06A43"/>
    <w:rsid w:val="00B07BDF"/>
    <w:rsid w:val="00B12598"/>
    <w:rsid w:val="00B16052"/>
    <w:rsid w:val="00B2237A"/>
    <w:rsid w:val="00B2453B"/>
    <w:rsid w:val="00B26C8E"/>
    <w:rsid w:val="00B32AAF"/>
    <w:rsid w:val="00B34A1C"/>
    <w:rsid w:val="00B40432"/>
    <w:rsid w:val="00B413AB"/>
    <w:rsid w:val="00B418F5"/>
    <w:rsid w:val="00B43ADE"/>
    <w:rsid w:val="00B44B79"/>
    <w:rsid w:val="00B46D6B"/>
    <w:rsid w:val="00B521FC"/>
    <w:rsid w:val="00B53A4D"/>
    <w:rsid w:val="00B54FAE"/>
    <w:rsid w:val="00B61AC4"/>
    <w:rsid w:val="00B65AD3"/>
    <w:rsid w:val="00B6621E"/>
    <w:rsid w:val="00B756E5"/>
    <w:rsid w:val="00B801B4"/>
    <w:rsid w:val="00B81ADD"/>
    <w:rsid w:val="00B8517D"/>
    <w:rsid w:val="00B86813"/>
    <w:rsid w:val="00B94492"/>
    <w:rsid w:val="00B954A1"/>
    <w:rsid w:val="00BA3A57"/>
    <w:rsid w:val="00BA5D10"/>
    <w:rsid w:val="00BA7E1B"/>
    <w:rsid w:val="00BB169A"/>
    <w:rsid w:val="00BB18CC"/>
    <w:rsid w:val="00BB2675"/>
    <w:rsid w:val="00BB4064"/>
    <w:rsid w:val="00BC2F77"/>
    <w:rsid w:val="00BC42AC"/>
    <w:rsid w:val="00BE0E5F"/>
    <w:rsid w:val="00BE4FC2"/>
    <w:rsid w:val="00BE54B1"/>
    <w:rsid w:val="00BF569C"/>
    <w:rsid w:val="00BF6491"/>
    <w:rsid w:val="00C05D7C"/>
    <w:rsid w:val="00C0706D"/>
    <w:rsid w:val="00C1042C"/>
    <w:rsid w:val="00C11481"/>
    <w:rsid w:val="00C122D0"/>
    <w:rsid w:val="00C13E4C"/>
    <w:rsid w:val="00C246E2"/>
    <w:rsid w:val="00C2687C"/>
    <w:rsid w:val="00C3001D"/>
    <w:rsid w:val="00C31A15"/>
    <w:rsid w:val="00C34D08"/>
    <w:rsid w:val="00C406DC"/>
    <w:rsid w:val="00C452AC"/>
    <w:rsid w:val="00C45C28"/>
    <w:rsid w:val="00C50634"/>
    <w:rsid w:val="00C50CAE"/>
    <w:rsid w:val="00C56F61"/>
    <w:rsid w:val="00C6001C"/>
    <w:rsid w:val="00C60A84"/>
    <w:rsid w:val="00C626F3"/>
    <w:rsid w:val="00C643EF"/>
    <w:rsid w:val="00C6788D"/>
    <w:rsid w:val="00C70559"/>
    <w:rsid w:val="00C71CB3"/>
    <w:rsid w:val="00C83566"/>
    <w:rsid w:val="00C863C2"/>
    <w:rsid w:val="00C87B40"/>
    <w:rsid w:val="00C91DD6"/>
    <w:rsid w:val="00C956BA"/>
    <w:rsid w:val="00C95993"/>
    <w:rsid w:val="00C96B0C"/>
    <w:rsid w:val="00CA0513"/>
    <w:rsid w:val="00CA564D"/>
    <w:rsid w:val="00CA5DC6"/>
    <w:rsid w:val="00CA7186"/>
    <w:rsid w:val="00CB106B"/>
    <w:rsid w:val="00CB136A"/>
    <w:rsid w:val="00CB20A7"/>
    <w:rsid w:val="00CB3953"/>
    <w:rsid w:val="00CB5104"/>
    <w:rsid w:val="00CB555A"/>
    <w:rsid w:val="00CC1122"/>
    <w:rsid w:val="00CC1FC4"/>
    <w:rsid w:val="00CC263C"/>
    <w:rsid w:val="00CC4FDE"/>
    <w:rsid w:val="00CC7058"/>
    <w:rsid w:val="00CD2B15"/>
    <w:rsid w:val="00CD3A25"/>
    <w:rsid w:val="00CD3E2C"/>
    <w:rsid w:val="00CE23D1"/>
    <w:rsid w:val="00CE5632"/>
    <w:rsid w:val="00CF6168"/>
    <w:rsid w:val="00CF786A"/>
    <w:rsid w:val="00D007D6"/>
    <w:rsid w:val="00D032CB"/>
    <w:rsid w:val="00D0529B"/>
    <w:rsid w:val="00D14C2E"/>
    <w:rsid w:val="00D1509A"/>
    <w:rsid w:val="00D218F5"/>
    <w:rsid w:val="00D226EE"/>
    <w:rsid w:val="00D22BAE"/>
    <w:rsid w:val="00D2484F"/>
    <w:rsid w:val="00D275DE"/>
    <w:rsid w:val="00D328D6"/>
    <w:rsid w:val="00D33B98"/>
    <w:rsid w:val="00D351ED"/>
    <w:rsid w:val="00D36858"/>
    <w:rsid w:val="00D47B9E"/>
    <w:rsid w:val="00D512D3"/>
    <w:rsid w:val="00D5396D"/>
    <w:rsid w:val="00D60A7D"/>
    <w:rsid w:val="00D618B6"/>
    <w:rsid w:val="00D6474B"/>
    <w:rsid w:val="00D6590E"/>
    <w:rsid w:val="00D66308"/>
    <w:rsid w:val="00D71181"/>
    <w:rsid w:val="00D71720"/>
    <w:rsid w:val="00D7382D"/>
    <w:rsid w:val="00D8099A"/>
    <w:rsid w:val="00D809C0"/>
    <w:rsid w:val="00D82390"/>
    <w:rsid w:val="00D82546"/>
    <w:rsid w:val="00D853D7"/>
    <w:rsid w:val="00D8569D"/>
    <w:rsid w:val="00D918CF"/>
    <w:rsid w:val="00D91C40"/>
    <w:rsid w:val="00D92B56"/>
    <w:rsid w:val="00D9377B"/>
    <w:rsid w:val="00D96C39"/>
    <w:rsid w:val="00DA0320"/>
    <w:rsid w:val="00DA0E9B"/>
    <w:rsid w:val="00DA38A8"/>
    <w:rsid w:val="00DA493F"/>
    <w:rsid w:val="00DA536F"/>
    <w:rsid w:val="00DA59FA"/>
    <w:rsid w:val="00DA63C9"/>
    <w:rsid w:val="00DB152F"/>
    <w:rsid w:val="00DC1DA4"/>
    <w:rsid w:val="00DC7393"/>
    <w:rsid w:val="00DE17DF"/>
    <w:rsid w:val="00DE2CAD"/>
    <w:rsid w:val="00DE5FB2"/>
    <w:rsid w:val="00DE6312"/>
    <w:rsid w:val="00DE674B"/>
    <w:rsid w:val="00DF2619"/>
    <w:rsid w:val="00DF486A"/>
    <w:rsid w:val="00E0133B"/>
    <w:rsid w:val="00E017B3"/>
    <w:rsid w:val="00E01FFC"/>
    <w:rsid w:val="00E02798"/>
    <w:rsid w:val="00E06134"/>
    <w:rsid w:val="00E164D3"/>
    <w:rsid w:val="00E169C1"/>
    <w:rsid w:val="00E17CD4"/>
    <w:rsid w:val="00E22120"/>
    <w:rsid w:val="00E35346"/>
    <w:rsid w:val="00E357C8"/>
    <w:rsid w:val="00E360BD"/>
    <w:rsid w:val="00E405F4"/>
    <w:rsid w:val="00E473EB"/>
    <w:rsid w:val="00E5176C"/>
    <w:rsid w:val="00E72E02"/>
    <w:rsid w:val="00E73E11"/>
    <w:rsid w:val="00E74163"/>
    <w:rsid w:val="00E779BE"/>
    <w:rsid w:val="00E810DD"/>
    <w:rsid w:val="00E902FD"/>
    <w:rsid w:val="00E9215B"/>
    <w:rsid w:val="00E9275C"/>
    <w:rsid w:val="00E92F0C"/>
    <w:rsid w:val="00EA056E"/>
    <w:rsid w:val="00EA0C1A"/>
    <w:rsid w:val="00EA5B44"/>
    <w:rsid w:val="00EA5FF9"/>
    <w:rsid w:val="00EA6286"/>
    <w:rsid w:val="00EA7584"/>
    <w:rsid w:val="00EB00DF"/>
    <w:rsid w:val="00EB1EDD"/>
    <w:rsid w:val="00EB7D28"/>
    <w:rsid w:val="00EC0B4B"/>
    <w:rsid w:val="00EC4751"/>
    <w:rsid w:val="00ED0885"/>
    <w:rsid w:val="00ED413B"/>
    <w:rsid w:val="00EE0D37"/>
    <w:rsid w:val="00EE4F5F"/>
    <w:rsid w:val="00EF469F"/>
    <w:rsid w:val="00EF50B6"/>
    <w:rsid w:val="00EF7253"/>
    <w:rsid w:val="00F017AD"/>
    <w:rsid w:val="00F100A4"/>
    <w:rsid w:val="00F11101"/>
    <w:rsid w:val="00F16533"/>
    <w:rsid w:val="00F17A34"/>
    <w:rsid w:val="00F2195A"/>
    <w:rsid w:val="00F21B0E"/>
    <w:rsid w:val="00F23D60"/>
    <w:rsid w:val="00F272FA"/>
    <w:rsid w:val="00F27CBA"/>
    <w:rsid w:val="00F352D7"/>
    <w:rsid w:val="00F365D6"/>
    <w:rsid w:val="00F37203"/>
    <w:rsid w:val="00F44E4E"/>
    <w:rsid w:val="00F44E8B"/>
    <w:rsid w:val="00F44F7D"/>
    <w:rsid w:val="00F63F1C"/>
    <w:rsid w:val="00F64BAE"/>
    <w:rsid w:val="00F65FA5"/>
    <w:rsid w:val="00F74AF0"/>
    <w:rsid w:val="00F759CD"/>
    <w:rsid w:val="00F77665"/>
    <w:rsid w:val="00F81AAF"/>
    <w:rsid w:val="00F81BDB"/>
    <w:rsid w:val="00F866A3"/>
    <w:rsid w:val="00F901F6"/>
    <w:rsid w:val="00F9456B"/>
    <w:rsid w:val="00FA0DC9"/>
    <w:rsid w:val="00FA1A8D"/>
    <w:rsid w:val="00FA1C93"/>
    <w:rsid w:val="00FA29A5"/>
    <w:rsid w:val="00FA34A4"/>
    <w:rsid w:val="00FA5E63"/>
    <w:rsid w:val="00FA7716"/>
    <w:rsid w:val="00FB1FC2"/>
    <w:rsid w:val="00FB2B7E"/>
    <w:rsid w:val="00FB4F32"/>
    <w:rsid w:val="00FB7D9A"/>
    <w:rsid w:val="00FC088A"/>
    <w:rsid w:val="00FC2865"/>
    <w:rsid w:val="00FC4FB9"/>
    <w:rsid w:val="00FC6970"/>
    <w:rsid w:val="00FD2A61"/>
    <w:rsid w:val="00FD53CB"/>
    <w:rsid w:val="00FD541F"/>
    <w:rsid w:val="00FD7B89"/>
    <w:rsid w:val="00FE3CB2"/>
    <w:rsid w:val="00FF6648"/>
    <w:rsid w:val="00FF6742"/>
    <w:rsid w:val="00FF7C8A"/>
  </w:rsids>
  <m:mathPr>
    <m:mathFont m:val="Cambria Math"/>
    <m:brkBin m:val="before"/>
    <m:brkBinSub m:val="--"/>
    <m:smallFrac/>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569D2F13-2282-4FF1-A143-2D744927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CD2"/>
    <w:pPr>
      <w:spacing w:after="0" w:line="240" w:lineRule="auto"/>
    </w:pPr>
    <w:rPr>
      <w:rFonts w:ascii="Times New Roman" w:eastAsia="MS Mincho" w:hAnsi="Times New Roman" w:cs="Times New Roman"/>
      <w:sz w:val="24"/>
      <w:szCs w:val="24"/>
      <w:lang w:val="es-ES" w:eastAsia="es-ES"/>
    </w:rPr>
  </w:style>
  <w:style w:type="paragraph" w:styleId="Ttulo2">
    <w:name w:val="heading 2"/>
    <w:basedOn w:val="Normal"/>
    <w:next w:val="Normal"/>
    <w:link w:val="Ttulo2Car"/>
    <w:qFormat/>
    <w:rsid w:val="00165190"/>
    <w:pPr>
      <w:keepNext/>
      <w:outlineLvl w:val="1"/>
    </w:pPr>
    <w:rPr>
      <w:rFonts w:ascii="Arial" w:eastAsia="Times New Roman" w:hAnsi="Arial"/>
      <w:b/>
      <w:bCs/>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D83"/>
    <w:pPr>
      <w:tabs>
        <w:tab w:val="center" w:pos="4419"/>
        <w:tab w:val="right" w:pos="8838"/>
      </w:tabs>
    </w:pPr>
  </w:style>
  <w:style w:type="character" w:customStyle="1" w:styleId="EncabezadoCar">
    <w:name w:val="Encabezado Car"/>
    <w:basedOn w:val="Fuentedeprrafopredeter"/>
    <w:link w:val="Encabezado"/>
    <w:rsid w:val="00751D83"/>
  </w:style>
  <w:style w:type="paragraph" w:styleId="Piedepgina">
    <w:name w:val="footer"/>
    <w:basedOn w:val="Normal"/>
    <w:link w:val="PiedepginaCar"/>
    <w:uiPriority w:val="99"/>
    <w:unhideWhenUsed/>
    <w:rsid w:val="00751D83"/>
    <w:pPr>
      <w:tabs>
        <w:tab w:val="center" w:pos="4419"/>
        <w:tab w:val="right" w:pos="8838"/>
      </w:tabs>
    </w:pPr>
  </w:style>
  <w:style w:type="character" w:customStyle="1" w:styleId="PiedepginaCar">
    <w:name w:val="Pie de página Car"/>
    <w:basedOn w:val="Fuentedeprrafopredeter"/>
    <w:link w:val="Piedepgina"/>
    <w:uiPriority w:val="99"/>
    <w:rsid w:val="00751D83"/>
  </w:style>
  <w:style w:type="paragraph" w:styleId="NormalWeb">
    <w:name w:val="Normal (Web)"/>
    <w:basedOn w:val="Normal"/>
    <w:uiPriority w:val="99"/>
    <w:unhideWhenUsed/>
    <w:rsid w:val="00751D83"/>
    <w:pPr>
      <w:spacing w:before="100" w:beforeAutospacing="1" w:after="100" w:afterAutospacing="1"/>
    </w:pPr>
    <w:rPr>
      <w:rFonts w:eastAsia="Times New Roman"/>
      <w:lang w:eastAsia="es-HN"/>
    </w:rPr>
  </w:style>
  <w:style w:type="paragraph" w:styleId="Lista">
    <w:name w:val="List"/>
    <w:basedOn w:val="Normal"/>
    <w:uiPriority w:val="99"/>
    <w:unhideWhenUsed/>
    <w:rsid w:val="006F0CD2"/>
    <w:pPr>
      <w:ind w:left="283" w:hanging="283"/>
      <w:contextualSpacing/>
    </w:pPr>
  </w:style>
  <w:style w:type="paragraph" w:styleId="Prrafodelista">
    <w:name w:val="List Paragraph"/>
    <w:basedOn w:val="Normal"/>
    <w:link w:val="PrrafodelistaCar"/>
    <w:uiPriority w:val="34"/>
    <w:qFormat/>
    <w:rsid w:val="006F0CD2"/>
    <w:pPr>
      <w:ind w:left="720"/>
      <w:contextualSpacing/>
    </w:pPr>
  </w:style>
  <w:style w:type="table" w:styleId="Tablaconcuadrcula">
    <w:name w:val="Table Grid"/>
    <w:basedOn w:val="Tablanormal"/>
    <w:uiPriority w:val="39"/>
    <w:rsid w:val="006F0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723B7"/>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3B7"/>
    <w:rPr>
      <w:rFonts w:ascii="Tahoma" w:eastAsia="MS Mincho" w:hAnsi="Tahoma" w:cs="Tahoma"/>
      <w:sz w:val="16"/>
      <w:szCs w:val="16"/>
      <w:lang w:val="es-ES" w:eastAsia="es-ES"/>
    </w:rPr>
  </w:style>
  <w:style w:type="paragraph" w:styleId="Sinespaciado">
    <w:name w:val="No Spacing"/>
    <w:link w:val="SinespaciadoCar"/>
    <w:uiPriority w:val="1"/>
    <w:qFormat/>
    <w:rsid w:val="00FB4F32"/>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FB4F32"/>
    <w:rPr>
      <w:rFonts w:eastAsiaTheme="minorEastAsia"/>
      <w:lang w:eastAsia="es-HN"/>
    </w:rPr>
  </w:style>
  <w:style w:type="character" w:styleId="Hipervnculo">
    <w:name w:val="Hyperlink"/>
    <w:rsid w:val="00F272FA"/>
    <w:rPr>
      <w:color w:val="0000FF"/>
      <w:u w:val="single"/>
    </w:rPr>
  </w:style>
  <w:style w:type="character" w:customStyle="1" w:styleId="Ttulo2Car">
    <w:name w:val="Título 2 Car"/>
    <w:basedOn w:val="Fuentedeprrafopredeter"/>
    <w:link w:val="Ttulo2"/>
    <w:rsid w:val="00165190"/>
    <w:rPr>
      <w:rFonts w:ascii="Arial" w:eastAsia="Times New Roman" w:hAnsi="Arial" w:cs="Times New Roman"/>
      <w:b/>
      <w:bCs/>
      <w:szCs w:val="24"/>
    </w:rPr>
  </w:style>
  <w:style w:type="paragraph" w:styleId="Textoindependiente">
    <w:name w:val="Body Text"/>
    <w:basedOn w:val="Normal"/>
    <w:link w:val="TextoindependienteCar"/>
    <w:rsid w:val="00165190"/>
    <w:pPr>
      <w:jc w:val="both"/>
    </w:pPr>
    <w:rPr>
      <w:rFonts w:ascii="Arial" w:eastAsia="Times New Roman" w:hAnsi="Arial"/>
    </w:rPr>
  </w:style>
  <w:style w:type="character" w:customStyle="1" w:styleId="TextoindependienteCar">
    <w:name w:val="Texto independiente Car"/>
    <w:basedOn w:val="Fuentedeprrafopredeter"/>
    <w:link w:val="Textoindependiente"/>
    <w:rsid w:val="00165190"/>
    <w:rPr>
      <w:rFonts w:ascii="Arial" w:eastAsia="Times New Roman" w:hAnsi="Arial" w:cs="Times New Roman"/>
      <w:sz w:val="24"/>
      <w:szCs w:val="24"/>
    </w:rPr>
  </w:style>
  <w:style w:type="paragraph" w:customStyle="1" w:styleId="Default">
    <w:name w:val="Default"/>
    <w:rsid w:val="0039421B"/>
    <w:pPr>
      <w:autoSpaceDE w:val="0"/>
      <w:autoSpaceDN w:val="0"/>
      <w:adjustRightInd w:val="0"/>
      <w:spacing w:after="0" w:line="240" w:lineRule="auto"/>
    </w:pPr>
    <w:rPr>
      <w:rFonts w:ascii="Calibri" w:hAnsi="Calibri" w:cs="Calibri"/>
      <w:color w:val="000000"/>
      <w:sz w:val="24"/>
      <w:szCs w:val="24"/>
    </w:rPr>
  </w:style>
  <w:style w:type="paragraph" w:styleId="Textoindependiente2">
    <w:name w:val="Body Text 2"/>
    <w:basedOn w:val="Normal"/>
    <w:link w:val="Textoindependiente2Car"/>
    <w:uiPriority w:val="99"/>
    <w:unhideWhenUsed/>
    <w:rsid w:val="000C0622"/>
    <w:pPr>
      <w:shd w:val="clear" w:color="auto" w:fill="FFFFFF"/>
      <w:spacing w:after="160" w:line="235" w:lineRule="atLeast"/>
      <w:jc w:val="both"/>
    </w:pPr>
    <w:rPr>
      <w:rFonts w:ascii="Bookman Old Style" w:eastAsia="Times New Roman" w:hAnsi="Bookman Old Style" w:cs="Calibri"/>
      <w:b/>
      <w:bCs/>
      <w:color w:val="00B050"/>
      <w:lang w:eastAsia="en-US"/>
    </w:rPr>
  </w:style>
  <w:style w:type="character" w:customStyle="1" w:styleId="Textoindependiente2Car">
    <w:name w:val="Texto independiente 2 Car"/>
    <w:basedOn w:val="Fuentedeprrafopredeter"/>
    <w:link w:val="Textoindependiente2"/>
    <w:uiPriority w:val="99"/>
    <w:rsid w:val="000C0622"/>
    <w:rPr>
      <w:rFonts w:ascii="Bookman Old Style" w:eastAsia="Times New Roman" w:hAnsi="Bookman Old Style" w:cs="Calibri"/>
      <w:b/>
      <w:bCs/>
      <w:color w:val="00B050"/>
      <w:sz w:val="24"/>
      <w:szCs w:val="24"/>
      <w:shd w:val="clear" w:color="auto" w:fill="FFFFFF"/>
      <w:lang w:val="es-ES"/>
    </w:rPr>
  </w:style>
  <w:style w:type="paragraph" w:styleId="Textonotapie">
    <w:name w:val="footnote text"/>
    <w:basedOn w:val="Normal"/>
    <w:link w:val="TextonotapieCar"/>
    <w:uiPriority w:val="99"/>
    <w:semiHidden/>
    <w:unhideWhenUsed/>
    <w:rsid w:val="00D007D6"/>
    <w:rPr>
      <w:sz w:val="20"/>
      <w:szCs w:val="20"/>
    </w:rPr>
  </w:style>
  <w:style w:type="character" w:customStyle="1" w:styleId="TextonotapieCar">
    <w:name w:val="Texto nota pie Car"/>
    <w:basedOn w:val="Fuentedeprrafopredeter"/>
    <w:link w:val="Textonotapie"/>
    <w:uiPriority w:val="99"/>
    <w:semiHidden/>
    <w:rsid w:val="00D007D6"/>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D007D6"/>
    <w:rPr>
      <w:vertAlign w:val="superscript"/>
    </w:rPr>
  </w:style>
  <w:style w:type="paragraph" w:styleId="Textoindependiente3">
    <w:name w:val="Body Text 3"/>
    <w:basedOn w:val="Normal"/>
    <w:link w:val="Textoindependiente3Car"/>
    <w:uiPriority w:val="99"/>
    <w:unhideWhenUsed/>
    <w:rsid w:val="00E164D3"/>
    <w:pPr>
      <w:shd w:val="clear" w:color="auto" w:fill="FFFFFF"/>
      <w:spacing w:after="160" w:line="235" w:lineRule="atLeast"/>
      <w:jc w:val="both"/>
    </w:pPr>
    <w:rPr>
      <w:rFonts w:ascii="Bookman Old Style" w:eastAsia="Times New Roman" w:hAnsi="Bookman Old Style" w:cs="Calibri"/>
      <w:b/>
      <w:bCs/>
      <w:color w:val="1D2228"/>
      <w:lang w:eastAsia="en-US"/>
    </w:rPr>
  </w:style>
  <w:style w:type="character" w:customStyle="1" w:styleId="Textoindependiente3Car">
    <w:name w:val="Texto independiente 3 Car"/>
    <w:basedOn w:val="Fuentedeprrafopredeter"/>
    <w:link w:val="Textoindependiente3"/>
    <w:uiPriority w:val="99"/>
    <w:rsid w:val="00E164D3"/>
    <w:rPr>
      <w:rFonts w:ascii="Bookman Old Style" w:eastAsia="Times New Roman" w:hAnsi="Bookman Old Style" w:cs="Calibri"/>
      <w:b/>
      <w:bCs/>
      <w:color w:val="1D2228"/>
      <w:sz w:val="24"/>
      <w:szCs w:val="24"/>
      <w:shd w:val="clear" w:color="auto" w:fill="FFFFFF"/>
      <w:lang w:val="es-ES"/>
    </w:rPr>
  </w:style>
  <w:style w:type="character" w:customStyle="1" w:styleId="PrrafodelistaCar">
    <w:name w:val="Párrafo de lista Car"/>
    <w:link w:val="Prrafodelista"/>
    <w:uiPriority w:val="34"/>
    <w:locked/>
    <w:rsid w:val="005B5511"/>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6199">
      <w:bodyDiv w:val="1"/>
      <w:marLeft w:val="0"/>
      <w:marRight w:val="0"/>
      <w:marTop w:val="0"/>
      <w:marBottom w:val="0"/>
      <w:divBdr>
        <w:top w:val="none" w:sz="0" w:space="0" w:color="auto"/>
        <w:left w:val="none" w:sz="0" w:space="0" w:color="auto"/>
        <w:bottom w:val="none" w:sz="0" w:space="0" w:color="auto"/>
        <w:right w:val="none" w:sz="0" w:space="0" w:color="auto"/>
      </w:divBdr>
    </w:div>
    <w:div w:id="102112744">
      <w:bodyDiv w:val="1"/>
      <w:marLeft w:val="0"/>
      <w:marRight w:val="0"/>
      <w:marTop w:val="0"/>
      <w:marBottom w:val="0"/>
      <w:divBdr>
        <w:top w:val="none" w:sz="0" w:space="0" w:color="auto"/>
        <w:left w:val="none" w:sz="0" w:space="0" w:color="auto"/>
        <w:bottom w:val="none" w:sz="0" w:space="0" w:color="auto"/>
        <w:right w:val="none" w:sz="0" w:space="0" w:color="auto"/>
      </w:divBdr>
    </w:div>
    <w:div w:id="125512700">
      <w:bodyDiv w:val="1"/>
      <w:marLeft w:val="0"/>
      <w:marRight w:val="0"/>
      <w:marTop w:val="0"/>
      <w:marBottom w:val="0"/>
      <w:divBdr>
        <w:top w:val="none" w:sz="0" w:space="0" w:color="auto"/>
        <w:left w:val="none" w:sz="0" w:space="0" w:color="auto"/>
        <w:bottom w:val="none" w:sz="0" w:space="0" w:color="auto"/>
        <w:right w:val="none" w:sz="0" w:space="0" w:color="auto"/>
      </w:divBdr>
    </w:div>
    <w:div w:id="127213514">
      <w:bodyDiv w:val="1"/>
      <w:marLeft w:val="0"/>
      <w:marRight w:val="0"/>
      <w:marTop w:val="0"/>
      <w:marBottom w:val="0"/>
      <w:divBdr>
        <w:top w:val="none" w:sz="0" w:space="0" w:color="auto"/>
        <w:left w:val="none" w:sz="0" w:space="0" w:color="auto"/>
        <w:bottom w:val="none" w:sz="0" w:space="0" w:color="auto"/>
        <w:right w:val="none" w:sz="0" w:space="0" w:color="auto"/>
      </w:divBdr>
    </w:div>
    <w:div w:id="162858422">
      <w:bodyDiv w:val="1"/>
      <w:marLeft w:val="0"/>
      <w:marRight w:val="0"/>
      <w:marTop w:val="0"/>
      <w:marBottom w:val="0"/>
      <w:divBdr>
        <w:top w:val="none" w:sz="0" w:space="0" w:color="auto"/>
        <w:left w:val="none" w:sz="0" w:space="0" w:color="auto"/>
        <w:bottom w:val="none" w:sz="0" w:space="0" w:color="auto"/>
        <w:right w:val="none" w:sz="0" w:space="0" w:color="auto"/>
      </w:divBdr>
    </w:div>
    <w:div w:id="361512320">
      <w:bodyDiv w:val="1"/>
      <w:marLeft w:val="0"/>
      <w:marRight w:val="0"/>
      <w:marTop w:val="0"/>
      <w:marBottom w:val="0"/>
      <w:divBdr>
        <w:top w:val="none" w:sz="0" w:space="0" w:color="auto"/>
        <w:left w:val="none" w:sz="0" w:space="0" w:color="auto"/>
        <w:bottom w:val="none" w:sz="0" w:space="0" w:color="auto"/>
        <w:right w:val="none" w:sz="0" w:space="0" w:color="auto"/>
      </w:divBdr>
    </w:div>
    <w:div w:id="462188138">
      <w:bodyDiv w:val="1"/>
      <w:marLeft w:val="0"/>
      <w:marRight w:val="0"/>
      <w:marTop w:val="0"/>
      <w:marBottom w:val="0"/>
      <w:divBdr>
        <w:top w:val="none" w:sz="0" w:space="0" w:color="auto"/>
        <w:left w:val="none" w:sz="0" w:space="0" w:color="auto"/>
        <w:bottom w:val="none" w:sz="0" w:space="0" w:color="auto"/>
        <w:right w:val="none" w:sz="0" w:space="0" w:color="auto"/>
      </w:divBdr>
    </w:div>
    <w:div w:id="807553354">
      <w:bodyDiv w:val="1"/>
      <w:marLeft w:val="0"/>
      <w:marRight w:val="0"/>
      <w:marTop w:val="0"/>
      <w:marBottom w:val="0"/>
      <w:divBdr>
        <w:top w:val="none" w:sz="0" w:space="0" w:color="auto"/>
        <w:left w:val="none" w:sz="0" w:space="0" w:color="auto"/>
        <w:bottom w:val="none" w:sz="0" w:space="0" w:color="auto"/>
        <w:right w:val="none" w:sz="0" w:space="0" w:color="auto"/>
      </w:divBdr>
    </w:div>
    <w:div w:id="1075127790">
      <w:bodyDiv w:val="1"/>
      <w:marLeft w:val="0"/>
      <w:marRight w:val="0"/>
      <w:marTop w:val="0"/>
      <w:marBottom w:val="0"/>
      <w:divBdr>
        <w:top w:val="none" w:sz="0" w:space="0" w:color="auto"/>
        <w:left w:val="none" w:sz="0" w:space="0" w:color="auto"/>
        <w:bottom w:val="none" w:sz="0" w:space="0" w:color="auto"/>
        <w:right w:val="none" w:sz="0" w:space="0" w:color="auto"/>
      </w:divBdr>
    </w:div>
    <w:div w:id="1213345905">
      <w:bodyDiv w:val="1"/>
      <w:marLeft w:val="0"/>
      <w:marRight w:val="0"/>
      <w:marTop w:val="0"/>
      <w:marBottom w:val="0"/>
      <w:divBdr>
        <w:top w:val="none" w:sz="0" w:space="0" w:color="auto"/>
        <w:left w:val="none" w:sz="0" w:space="0" w:color="auto"/>
        <w:bottom w:val="none" w:sz="0" w:space="0" w:color="auto"/>
        <w:right w:val="none" w:sz="0" w:space="0" w:color="auto"/>
      </w:divBdr>
    </w:div>
    <w:div w:id="1416050995">
      <w:bodyDiv w:val="1"/>
      <w:marLeft w:val="0"/>
      <w:marRight w:val="0"/>
      <w:marTop w:val="0"/>
      <w:marBottom w:val="0"/>
      <w:divBdr>
        <w:top w:val="none" w:sz="0" w:space="0" w:color="auto"/>
        <w:left w:val="none" w:sz="0" w:space="0" w:color="auto"/>
        <w:bottom w:val="none" w:sz="0" w:space="0" w:color="auto"/>
        <w:right w:val="none" w:sz="0" w:space="0" w:color="auto"/>
      </w:divBdr>
    </w:div>
    <w:div w:id="1479491693">
      <w:bodyDiv w:val="1"/>
      <w:marLeft w:val="0"/>
      <w:marRight w:val="0"/>
      <w:marTop w:val="0"/>
      <w:marBottom w:val="0"/>
      <w:divBdr>
        <w:top w:val="none" w:sz="0" w:space="0" w:color="auto"/>
        <w:left w:val="none" w:sz="0" w:space="0" w:color="auto"/>
        <w:bottom w:val="none" w:sz="0" w:space="0" w:color="auto"/>
        <w:right w:val="none" w:sz="0" w:space="0" w:color="auto"/>
      </w:divBdr>
    </w:div>
    <w:div w:id="1977711711">
      <w:bodyDiv w:val="1"/>
      <w:marLeft w:val="0"/>
      <w:marRight w:val="0"/>
      <w:marTop w:val="0"/>
      <w:marBottom w:val="0"/>
      <w:divBdr>
        <w:top w:val="none" w:sz="0" w:space="0" w:color="auto"/>
        <w:left w:val="none" w:sz="0" w:space="0" w:color="auto"/>
        <w:bottom w:val="none" w:sz="0" w:space="0" w:color="auto"/>
        <w:right w:val="none" w:sz="0" w:space="0" w:color="auto"/>
      </w:divBdr>
    </w:div>
    <w:div w:id="2016107922">
      <w:bodyDiv w:val="1"/>
      <w:marLeft w:val="0"/>
      <w:marRight w:val="0"/>
      <w:marTop w:val="0"/>
      <w:marBottom w:val="0"/>
      <w:divBdr>
        <w:top w:val="none" w:sz="0" w:space="0" w:color="auto"/>
        <w:left w:val="none" w:sz="0" w:space="0" w:color="auto"/>
        <w:bottom w:val="none" w:sz="0" w:space="0" w:color="auto"/>
        <w:right w:val="none" w:sz="0" w:space="0" w:color="auto"/>
      </w:divBdr>
    </w:div>
    <w:div w:id="2029409939">
      <w:bodyDiv w:val="1"/>
      <w:marLeft w:val="0"/>
      <w:marRight w:val="0"/>
      <w:marTop w:val="0"/>
      <w:marBottom w:val="0"/>
      <w:divBdr>
        <w:top w:val="none" w:sz="0" w:space="0" w:color="auto"/>
        <w:left w:val="none" w:sz="0" w:space="0" w:color="auto"/>
        <w:bottom w:val="none" w:sz="0" w:space="0" w:color="auto"/>
        <w:right w:val="none" w:sz="0" w:space="0" w:color="auto"/>
      </w:divBdr>
    </w:div>
    <w:div w:id="211683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salud.gob.hn/site/index.php/component/edocman/lineamientos-para-la-prevencio-n-y-manejo-de-covid-19-hogar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ud.gob.hn/site/index.php/component/edocman/guia-de-evaluacion-integral-al-adulto-mayo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sc.gob.hn/biblioteca/index.php/varios/1003-politica-nacional-de-envejecimiento-y-del-adulto-mayor-2021-2050"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consejosecretariosdeestado.gob.hn/2017/PCM%20051-2017.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4F22A0-2B84-4EC5-8ACB-7A413E03335A}">
  <ds:schemaRefs>
    <ds:schemaRef ds:uri="http://schemas.openxmlformats.org/officeDocument/2006/bibliography"/>
  </ds:schemaRefs>
</ds:datastoreItem>
</file>

<file path=customXml/itemProps2.xml><?xml version="1.0" encoding="utf-8"?>
<ds:datastoreItem xmlns:ds="http://schemas.openxmlformats.org/officeDocument/2006/customXml" ds:itemID="{1239419C-FC44-45A1-8539-76648A7259D0}"/>
</file>

<file path=customXml/itemProps3.xml><?xml version="1.0" encoding="utf-8"?>
<ds:datastoreItem xmlns:ds="http://schemas.openxmlformats.org/officeDocument/2006/customXml" ds:itemID="{3982AC91-B77A-4A32-9D21-EC5914D4BE6F}"/>
</file>

<file path=customXml/itemProps4.xml><?xml version="1.0" encoding="utf-8"?>
<ds:datastoreItem xmlns:ds="http://schemas.openxmlformats.org/officeDocument/2006/customXml" ds:itemID="{B6D26C91-378C-43F0-A4D2-23E1B5FEE3A0}"/>
</file>

<file path=docProps/app.xml><?xml version="1.0" encoding="utf-8"?>
<Properties xmlns="http://schemas.openxmlformats.org/officeDocument/2006/extended-properties" xmlns:vt="http://schemas.openxmlformats.org/officeDocument/2006/docPropsVTypes">
  <Template>Normal</Template>
  <TotalTime>0</TotalTime>
  <Pages>14</Pages>
  <Words>3710</Words>
  <Characters>20410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Lesly Ardon</cp:lastModifiedBy>
  <cp:revision>2</cp:revision>
  <cp:lastPrinted>2021-08-11T20:47:00Z</cp:lastPrinted>
  <dcterms:created xsi:type="dcterms:W3CDTF">2021-12-07T16:28:00Z</dcterms:created>
  <dcterms:modified xsi:type="dcterms:W3CDTF">2021-12-07T16:28:00Z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