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1B45B" w14:textId="02575D9A" w:rsidR="00767B3E" w:rsidRPr="00301A96" w:rsidRDefault="007D041C" w:rsidP="001628E0">
      <w:pPr>
        <w:pStyle w:val="Title"/>
        <w:ind w:right="-1177"/>
        <w:jc w:val="center"/>
        <w:rPr>
          <w:lang w:eastAsia="en-GB"/>
        </w:rPr>
      </w:pPr>
      <w:bookmarkStart w:id="0" w:name="_GoBack"/>
      <w:bookmarkEnd w:id="0"/>
      <w:r w:rsidRPr="00301A96">
        <w:rPr>
          <w:lang w:eastAsia="en-GB"/>
        </w:rPr>
        <w:t xml:space="preserve">                            </w:t>
      </w:r>
      <w:r w:rsidR="0078063B" w:rsidRPr="00301A96">
        <w:rPr>
          <w:noProof/>
          <w:lang w:eastAsia="en-GB"/>
        </w:rPr>
        <w:drawing>
          <wp:inline distT="0" distB="0" distL="0" distR="0" wp14:anchorId="04968378" wp14:editId="6BC73460">
            <wp:extent cx="1496786" cy="832674"/>
            <wp:effectExtent l="0" t="0" r="8255"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500" cy="836409"/>
                    </a:xfrm>
                    <a:prstGeom prst="rect">
                      <a:avLst/>
                    </a:prstGeom>
                  </pic:spPr>
                </pic:pic>
              </a:graphicData>
            </a:graphic>
          </wp:inline>
        </w:drawing>
      </w:r>
    </w:p>
    <w:p w14:paraId="14DE0035" w14:textId="77777777" w:rsidR="007D041C" w:rsidRPr="00301A96" w:rsidRDefault="007D041C" w:rsidP="001628E0">
      <w:pPr>
        <w:pStyle w:val="Title"/>
        <w:rPr>
          <w:sz w:val="32"/>
          <w:szCs w:val="28"/>
          <w:lang w:eastAsia="en-GB"/>
        </w:rPr>
      </w:pPr>
    </w:p>
    <w:p w14:paraId="19811A47" w14:textId="7AC9A52F" w:rsidR="001E2CFC" w:rsidRPr="00301A96" w:rsidRDefault="004E2E9B" w:rsidP="001628E0">
      <w:pPr>
        <w:pStyle w:val="Heading1"/>
        <w:rPr>
          <w:bCs/>
          <w:i/>
          <w:iCs/>
          <w:spacing w:val="5"/>
          <w:kern w:val="28"/>
          <w:sz w:val="24"/>
          <w:szCs w:val="24"/>
          <w:lang w:eastAsia="en-GB"/>
        </w:rPr>
      </w:pPr>
      <w:r w:rsidRPr="00301A96">
        <w:rPr>
          <w:bCs/>
          <w:spacing w:val="5"/>
          <w:kern w:val="28"/>
          <w:sz w:val="24"/>
          <w:szCs w:val="24"/>
          <w:lang w:eastAsia="en-GB"/>
        </w:rPr>
        <w:t>Submission by HelpAge International on the n</w:t>
      </w:r>
      <w:r w:rsidR="007D041C" w:rsidRPr="00301A96">
        <w:rPr>
          <w:bCs/>
          <w:spacing w:val="5"/>
          <w:kern w:val="28"/>
          <w:sz w:val="24"/>
          <w:szCs w:val="24"/>
          <w:lang w:eastAsia="en-GB"/>
        </w:rPr>
        <w:t>ormative standards and obligations under international law in relation to the human rights of older persons</w:t>
      </w:r>
    </w:p>
    <w:p w14:paraId="0EC51792" w14:textId="70513E2A" w:rsidR="00CF4AD3" w:rsidRPr="00301A96" w:rsidRDefault="004E2E9B" w:rsidP="003876DD">
      <w:pPr>
        <w:spacing w:after="240"/>
        <w:jc w:val="both"/>
        <w:rPr>
          <w:color w:val="000000" w:themeColor="text1"/>
          <w:sz w:val="13"/>
          <w:szCs w:val="18"/>
        </w:rPr>
      </w:pPr>
      <w:r w:rsidRPr="00301A96">
        <w:rPr>
          <w:color w:val="000000" w:themeColor="text1"/>
          <w:sz w:val="18"/>
          <w:szCs w:val="22"/>
        </w:rPr>
        <w:t xml:space="preserve">  </w:t>
      </w:r>
    </w:p>
    <w:p w14:paraId="3857C52D" w14:textId="30FB82EE" w:rsidR="009073C1" w:rsidRDefault="009073C1" w:rsidP="00795200">
      <w:pPr>
        <w:pStyle w:val="ListParagraph"/>
        <w:numPr>
          <w:ilvl w:val="0"/>
          <w:numId w:val="36"/>
        </w:numPr>
        <w:spacing w:line="276" w:lineRule="auto"/>
        <w:ind w:left="357" w:hanging="357"/>
        <w:contextualSpacing w:val="0"/>
        <w:outlineLvl w:val="1"/>
        <w:rPr>
          <w:b/>
          <w:bCs/>
          <w:color w:val="C9231E" w:themeColor="accent2"/>
        </w:rPr>
      </w:pPr>
      <w:r>
        <w:rPr>
          <w:b/>
          <w:bCs/>
          <w:color w:val="C9231E" w:themeColor="accent2"/>
        </w:rPr>
        <w:t>Introduction</w:t>
      </w:r>
    </w:p>
    <w:p w14:paraId="3BDAC079" w14:textId="79C1CF5F" w:rsidR="009073C1" w:rsidRPr="006F2A16" w:rsidRDefault="006F2A16" w:rsidP="00795200">
      <w:pPr>
        <w:spacing w:after="240" w:line="276" w:lineRule="auto"/>
        <w:jc w:val="both"/>
        <w:outlineLvl w:val="1"/>
        <w:rPr>
          <w:color w:val="000000" w:themeColor="text1"/>
          <w:sz w:val="18"/>
          <w:szCs w:val="22"/>
        </w:rPr>
      </w:pPr>
      <w:r w:rsidRPr="006F2A16">
        <w:rPr>
          <w:color w:val="000000" w:themeColor="text1"/>
          <w:sz w:val="18"/>
          <w:szCs w:val="22"/>
        </w:rPr>
        <w:t xml:space="preserve">This submission is primarily based on the outcomes of </w:t>
      </w:r>
      <w:r w:rsidR="00D707E3">
        <w:rPr>
          <w:color w:val="000000" w:themeColor="text1"/>
          <w:sz w:val="18"/>
          <w:szCs w:val="22"/>
        </w:rPr>
        <w:t xml:space="preserve">previous </w:t>
      </w:r>
      <w:r w:rsidRPr="006F2A16">
        <w:rPr>
          <w:color w:val="000000" w:themeColor="text1"/>
          <w:sz w:val="18"/>
          <w:szCs w:val="22"/>
        </w:rPr>
        <w:t xml:space="preserve">consultations with older persons regarding key areas of human rights. The recommendations on the normative elements are informed by older people’s </w:t>
      </w:r>
      <w:r>
        <w:rPr>
          <w:color w:val="000000" w:themeColor="text1"/>
          <w:sz w:val="18"/>
          <w:szCs w:val="22"/>
        </w:rPr>
        <w:t xml:space="preserve">own lived </w:t>
      </w:r>
      <w:r w:rsidRPr="006F2A16">
        <w:rPr>
          <w:color w:val="000000" w:themeColor="text1"/>
          <w:sz w:val="18"/>
          <w:szCs w:val="22"/>
        </w:rPr>
        <w:t xml:space="preserve">experience as reported in the consultations. The normative gaps discussed below are not exhaustive.   </w:t>
      </w:r>
    </w:p>
    <w:p w14:paraId="584BAFA5" w14:textId="119C683E" w:rsidR="00D1276F" w:rsidRPr="00301A96" w:rsidRDefault="00070CE3" w:rsidP="00795200">
      <w:pPr>
        <w:pStyle w:val="ListParagraph"/>
        <w:numPr>
          <w:ilvl w:val="0"/>
          <w:numId w:val="36"/>
        </w:numPr>
        <w:spacing w:line="276" w:lineRule="auto"/>
        <w:ind w:left="357" w:hanging="357"/>
        <w:contextualSpacing w:val="0"/>
        <w:outlineLvl w:val="1"/>
        <w:rPr>
          <w:b/>
          <w:bCs/>
          <w:color w:val="C9231E" w:themeColor="accent2"/>
        </w:rPr>
      </w:pPr>
      <w:r w:rsidRPr="00301A96">
        <w:rPr>
          <w:b/>
          <w:bCs/>
          <w:color w:val="C9231E" w:themeColor="accent2"/>
        </w:rPr>
        <w:t>Ageism and a</w:t>
      </w:r>
      <w:r w:rsidR="00771A5C" w:rsidRPr="00301A96">
        <w:rPr>
          <w:b/>
          <w:bCs/>
          <w:color w:val="C9231E" w:themeColor="accent2"/>
        </w:rPr>
        <w:t xml:space="preserve">ge discrimination </w:t>
      </w:r>
    </w:p>
    <w:p w14:paraId="116F5051" w14:textId="2D02C223" w:rsidR="00A642AC" w:rsidRDefault="00463937" w:rsidP="00795200">
      <w:pPr>
        <w:spacing w:line="276" w:lineRule="auto"/>
        <w:jc w:val="both"/>
        <w:rPr>
          <w:color w:val="000000" w:themeColor="text1"/>
          <w:sz w:val="18"/>
          <w:szCs w:val="22"/>
        </w:rPr>
      </w:pPr>
      <w:r w:rsidRPr="00301A96">
        <w:rPr>
          <w:color w:val="000000" w:themeColor="text1"/>
          <w:sz w:val="18"/>
          <w:szCs w:val="22"/>
        </w:rPr>
        <w:t xml:space="preserve">There remains a significant normative gap at the international level when it comes to </w:t>
      </w:r>
      <w:r w:rsidR="00151C52" w:rsidRPr="00301A96">
        <w:rPr>
          <w:color w:val="000000" w:themeColor="text1"/>
          <w:sz w:val="18"/>
          <w:szCs w:val="22"/>
        </w:rPr>
        <w:t xml:space="preserve">the prohibition of </w:t>
      </w:r>
      <w:r w:rsidRPr="00301A96">
        <w:rPr>
          <w:color w:val="000000" w:themeColor="text1"/>
          <w:sz w:val="18"/>
          <w:szCs w:val="22"/>
        </w:rPr>
        <w:t>age discrimination</w:t>
      </w:r>
      <w:r w:rsidR="00151C52" w:rsidRPr="00301A96">
        <w:rPr>
          <w:color w:val="000000" w:themeColor="text1"/>
          <w:sz w:val="18"/>
          <w:szCs w:val="22"/>
        </w:rPr>
        <w:t xml:space="preserve"> and ageism</w:t>
      </w:r>
      <w:r w:rsidRPr="00301A96">
        <w:rPr>
          <w:color w:val="000000" w:themeColor="text1"/>
          <w:sz w:val="18"/>
          <w:szCs w:val="22"/>
        </w:rPr>
        <w:t xml:space="preserve">. </w:t>
      </w:r>
      <w:r w:rsidR="00CF4AD3" w:rsidRPr="00301A96">
        <w:rPr>
          <w:sz w:val="18"/>
          <w:szCs w:val="22"/>
        </w:rPr>
        <w:t>Although the right to equality and non-discrimination is one of the pillars of international human rights law</w:t>
      </w:r>
      <w:r w:rsidR="00070CE3" w:rsidRPr="00301A96">
        <w:rPr>
          <w:color w:val="000000" w:themeColor="text1"/>
          <w:sz w:val="18"/>
          <w:szCs w:val="22"/>
        </w:rPr>
        <w:t>, age is not explicitly listed as a prohibited discrimination ground in the core human rights treaties.</w:t>
      </w:r>
      <w:r w:rsidR="00A642AC" w:rsidRPr="00301A96">
        <w:rPr>
          <w:rStyle w:val="FootnoteReference"/>
          <w:color w:val="000000" w:themeColor="text1"/>
          <w:sz w:val="18"/>
          <w:szCs w:val="22"/>
        </w:rPr>
        <w:footnoteReference w:id="1"/>
      </w:r>
      <w:r w:rsidR="00A642AC" w:rsidRPr="00301A96">
        <w:rPr>
          <w:color w:val="000000" w:themeColor="text1"/>
          <w:sz w:val="18"/>
          <w:szCs w:val="22"/>
        </w:rPr>
        <w:t xml:space="preserve"> It is only implied when provisions require States to respect, protect and fulfil the right to equality and prohibition of discrimination on the basis of “other status”</w:t>
      </w:r>
      <w:r w:rsidR="00A642AC" w:rsidRPr="00301A96">
        <w:rPr>
          <w:color w:val="000000" w:themeColor="text1"/>
          <w:sz w:val="18"/>
          <w:szCs w:val="22"/>
          <w:vertAlign w:val="superscript"/>
        </w:rPr>
        <w:footnoteReference w:id="2"/>
      </w:r>
      <w:r w:rsidR="00A642AC" w:rsidRPr="00301A96">
        <w:rPr>
          <w:color w:val="000000" w:themeColor="text1"/>
          <w:sz w:val="18"/>
          <w:szCs w:val="22"/>
        </w:rPr>
        <w:t xml:space="preserve">. </w:t>
      </w:r>
    </w:p>
    <w:p w14:paraId="47145B21" w14:textId="5D780B37" w:rsidR="00A642AC" w:rsidRPr="00301A96" w:rsidRDefault="00A642AC" w:rsidP="00795200">
      <w:pPr>
        <w:spacing w:line="276" w:lineRule="auto"/>
        <w:jc w:val="both"/>
        <w:rPr>
          <w:color w:val="000000" w:themeColor="text1"/>
          <w:sz w:val="18"/>
          <w:szCs w:val="22"/>
        </w:rPr>
      </w:pPr>
      <w:r w:rsidRPr="00301A96">
        <w:rPr>
          <w:color w:val="000000" w:themeColor="text1"/>
          <w:sz w:val="18"/>
          <w:szCs w:val="22"/>
        </w:rPr>
        <w:t>This renders ageism and age discrimination invisible, unchallenged and unsanctioned. Today older persons depend on a broad and evolutive interpretation of non-discrimination clauses to enjoy their right to equality. However, case law on age discrimination remains very limited and rarely focuses on age discrimination outside the scope of employment and mandatory retirement. In those cases,</w:t>
      </w:r>
      <w:r w:rsidRPr="00301A96">
        <w:rPr>
          <w:color w:val="7F7F7F" w:themeColor="text1" w:themeTint="80"/>
          <w:sz w:val="18"/>
          <w:szCs w:val="22"/>
        </w:rPr>
        <w:t xml:space="preserve"> </w:t>
      </w:r>
      <w:r w:rsidRPr="00301A96">
        <w:rPr>
          <w:color w:val="000000" w:themeColor="text1"/>
          <w:sz w:val="18"/>
          <w:szCs w:val="22"/>
        </w:rPr>
        <w:t>States parties are granted considerable leeway in the use of age differentiations.</w:t>
      </w:r>
      <w:r w:rsidRPr="00301A96">
        <w:rPr>
          <w:rStyle w:val="FootnoteReference"/>
          <w:color w:val="000000" w:themeColor="text1"/>
          <w:sz w:val="18"/>
          <w:szCs w:val="22"/>
        </w:rPr>
        <w:footnoteReference w:id="3"/>
      </w:r>
      <w:r w:rsidRPr="00301A96">
        <w:rPr>
          <w:color w:val="000000" w:themeColor="text1"/>
          <w:sz w:val="18"/>
          <w:szCs w:val="22"/>
        </w:rPr>
        <w:t xml:space="preserve"> Several regional equality provisions do include an explicit reference to age,</w:t>
      </w:r>
      <w:r w:rsidRPr="00301A96">
        <w:rPr>
          <w:rStyle w:val="FootnoteReference"/>
          <w:color w:val="000000" w:themeColor="text1"/>
          <w:sz w:val="18"/>
          <w:szCs w:val="22"/>
        </w:rPr>
        <w:footnoteReference w:id="4"/>
      </w:r>
      <w:r w:rsidRPr="00301A96">
        <w:rPr>
          <w:color w:val="000000" w:themeColor="text1"/>
          <w:sz w:val="18"/>
          <w:szCs w:val="22"/>
        </w:rPr>
        <w:t xml:space="preserve"> but these are of course limited in territorial scope. The persistence of ageism and </w:t>
      </w:r>
      <w:r>
        <w:rPr>
          <w:color w:val="000000" w:themeColor="text1"/>
          <w:sz w:val="18"/>
          <w:szCs w:val="22"/>
        </w:rPr>
        <w:t xml:space="preserve">age </w:t>
      </w:r>
      <w:r w:rsidRPr="00301A96">
        <w:rPr>
          <w:color w:val="000000" w:themeColor="text1"/>
          <w:sz w:val="18"/>
          <w:szCs w:val="22"/>
        </w:rPr>
        <w:t xml:space="preserve">discrimination against older persons calls for a more explicit prohibition of </w:t>
      </w:r>
      <w:r>
        <w:rPr>
          <w:color w:val="000000" w:themeColor="text1"/>
          <w:sz w:val="18"/>
          <w:szCs w:val="22"/>
        </w:rPr>
        <w:t xml:space="preserve">age </w:t>
      </w:r>
      <w:r w:rsidRPr="00301A96">
        <w:rPr>
          <w:color w:val="000000" w:themeColor="text1"/>
          <w:sz w:val="18"/>
          <w:szCs w:val="22"/>
        </w:rPr>
        <w:t xml:space="preserve">discrimination at the international level and clarification of States’ obligations in this regard.     </w:t>
      </w:r>
    </w:p>
    <w:p w14:paraId="5EF75B2E" w14:textId="6D111283" w:rsidR="00A642AC" w:rsidRPr="00301A96" w:rsidRDefault="00A642AC" w:rsidP="00795200">
      <w:pPr>
        <w:spacing w:after="0" w:line="276" w:lineRule="auto"/>
        <w:jc w:val="both"/>
        <w:rPr>
          <w:b/>
          <w:bCs/>
          <w:color w:val="000000" w:themeColor="text1"/>
          <w:sz w:val="18"/>
          <w:szCs w:val="22"/>
        </w:rPr>
      </w:pPr>
      <w:r w:rsidRPr="00301A96">
        <w:rPr>
          <w:b/>
          <w:bCs/>
          <w:color w:val="000000" w:themeColor="text1"/>
          <w:sz w:val="18"/>
          <w:szCs w:val="22"/>
        </w:rPr>
        <w:t xml:space="preserve">Recommendations </w:t>
      </w:r>
    </w:p>
    <w:p w14:paraId="1410FF42" w14:textId="6591DC24" w:rsidR="00A642AC" w:rsidRPr="00301A96" w:rsidRDefault="00A642AC" w:rsidP="00A642AC">
      <w:pPr>
        <w:spacing w:after="240" w:line="276" w:lineRule="auto"/>
        <w:jc w:val="both"/>
        <w:rPr>
          <w:color w:val="000000" w:themeColor="text1"/>
          <w:sz w:val="18"/>
          <w:szCs w:val="22"/>
        </w:rPr>
      </w:pPr>
      <w:r>
        <w:rPr>
          <w:color w:val="000000" w:themeColor="text1"/>
          <w:sz w:val="18"/>
          <w:szCs w:val="22"/>
        </w:rPr>
        <w:t>An</w:t>
      </w:r>
      <w:r w:rsidRPr="00301A96">
        <w:rPr>
          <w:color w:val="000000" w:themeColor="text1"/>
          <w:sz w:val="18"/>
          <w:szCs w:val="22"/>
        </w:rPr>
        <w:t xml:space="preserve"> international comprehensive prohibition of age discrimination </w:t>
      </w:r>
      <w:r>
        <w:rPr>
          <w:color w:val="000000" w:themeColor="text1"/>
          <w:sz w:val="18"/>
          <w:szCs w:val="22"/>
        </w:rPr>
        <w:t>should</w:t>
      </w:r>
      <w:r w:rsidRPr="00301A96">
        <w:rPr>
          <w:color w:val="000000" w:themeColor="text1"/>
          <w:sz w:val="18"/>
          <w:szCs w:val="22"/>
        </w:rPr>
        <w:t xml:space="preserve"> cover every aspect of life. The right should contain a range of general obligations on states to ensure both formal and substantive equality in older age, including a duty to consider the differential impact of all their decisions on older people. Positive action to tackle ageism and age discrimination should explicitly be allowed. All forms of discrimination should be prohibited, including direct, indirect, by association, by perception or imputation, harassment, multiple and intersectional discrimination. The prohibition of age discrimination should not be subject to a wider range of exceptions to the principle of equal treatment than is permitted for any other prohibited ground. Any exceptions, including age proxies, require specific justification. Both discrimination against an individual and harmful ageist social norms and practices should be prohibited and States should have an obligation to </w:t>
      </w:r>
      <w:r w:rsidRPr="00301A96">
        <w:rPr>
          <w:color w:val="000000" w:themeColor="text1"/>
          <w:sz w:val="18"/>
          <w:szCs w:val="22"/>
        </w:rPr>
        <w:lastRenderedPageBreak/>
        <w:t>take steps to eliminate harmful ageist social norms and practices. States should also assist older people in making claims and accessing justice.</w:t>
      </w:r>
      <w:r w:rsidRPr="00301A96">
        <w:rPr>
          <w:rStyle w:val="FootnoteReference"/>
          <w:color w:val="000000" w:themeColor="text1"/>
          <w:sz w:val="18"/>
          <w:szCs w:val="22"/>
        </w:rPr>
        <w:footnoteReference w:id="5"/>
      </w:r>
    </w:p>
    <w:p w14:paraId="33B97C3B" w14:textId="52F46FE0" w:rsidR="00A642AC" w:rsidRPr="00301A96" w:rsidRDefault="00A642AC" w:rsidP="00795200">
      <w:pPr>
        <w:pStyle w:val="ListParagraph"/>
        <w:numPr>
          <w:ilvl w:val="0"/>
          <w:numId w:val="36"/>
        </w:numPr>
        <w:spacing w:line="276" w:lineRule="auto"/>
        <w:ind w:left="357" w:hanging="357"/>
        <w:outlineLvl w:val="1"/>
        <w:rPr>
          <w:b/>
          <w:bCs/>
          <w:color w:val="C9231E" w:themeColor="accent2"/>
        </w:rPr>
      </w:pPr>
      <w:r w:rsidRPr="00301A96">
        <w:rPr>
          <w:b/>
          <w:bCs/>
          <w:color w:val="C9231E" w:themeColor="accent2"/>
        </w:rPr>
        <w:t>Elder abuse and violence against older persons</w:t>
      </w:r>
    </w:p>
    <w:p w14:paraId="7358B3D0" w14:textId="3F57CADE" w:rsidR="00A642AC" w:rsidRPr="00301A96" w:rsidRDefault="00A642AC" w:rsidP="00795200">
      <w:pPr>
        <w:autoSpaceDE w:val="0"/>
        <w:autoSpaceDN w:val="0"/>
        <w:adjustRightInd w:val="0"/>
        <w:spacing w:line="276" w:lineRule="auto"/>
        <w:jc w:val="both"/>
        <w:rPr>
          <w:rFonts w:asciiTheme="minorHAnsi" w:hAnsiTheme="minorHAnsi" w:cs="∆¯¬˛"/>
          <w:sz w:val="18"/>
          <w:szCs w:val="18"/>
          <w:lang w:eastAsia="en-GB"/>
        </w:rPr>
      </w:pPr>
      <w:r w:rsidRPr="00301A96">
        <w:rPr>
          <w:rFonts w:asciiTheme="minorHAnsi" w:hAnsiTheme="minorHAnsi" w:cs="∆¯¬˛"/>
          <w:sz w:val="18"/>
          <w:szCs w:val="18"/>
          <w:lang w:eastAsia="en-GB"/>
        </w:rPr>
        <w:t>There is currently no international right to protection from all forms of violence, abuse and neglect in older age that applies specifically to older persons. There is some protection against violence and abuse under UN human rights treaties, such as the right to life,</w:t>
      </w:r>
      <w:r w:rsidRPr="00301A96">
        <w:rPr>
          <w:rStyle w:val="FootnoteReference"/>
          <w:rFonts w:asciiTheme="minorHAnsi" w:hAnsiTheme="minorHAnsi" w:cs="∆¯¬˛"/>
          <w:sz w:val="18"/>
          <w:szCs w:val="18"/>
          <w:lang w:eastAsia="en-GB"/>
        </w:rPr>
        <w:footnoteReference w:id="6"/>
      </w:r>
      <w:r w:rsidRPr="00301A96">
        <w:rPr>
          <w:rFonts w:asciiTheme="minorHAnsi" w:hAnsiTheme="minorHAnsi" w:cs="∆¯¬˛"/>
          <w:sz w:val="18"/>
          <w:szCs w:val="18"/>
          <w:lang w:eastAsia="en-GB"/>
        </w:rPr>
        <w:t xml:space="preserve"> the prohibition of torture and inhuman and degrading treatment,</w:t>
      </w:r>
      <w:r w:rsidRPr="00301A96">
        <w:rPr>
          <w:rStyle w:val="FootnoteReference"/>
          <w:rFonts w:asciiTheme="minorHAnsi" w:hAnsiTheme="minorHAnsi" w:cs="∆¯¬˛"/>
          <w:sz w:val="18"/>
          <w:szCs w:val="18"/>
          <w:lang w:eastAsia="en-GB"/>
        </w:rPr>
        <w:footnoteReference w:id="7"/>
      </w:r>
      <w:r w:rsidRPr="00301A96">
        <w:rPr>
          <w:rFonts w:asciiTheme="minorHAnsi" w:hAnsiTheme="minorHAnsi" w:cs="∆¯¬˛"/>
          <w:sz w:val="18"/>
          <w:szCs w:val="18"/>
          <w:lang w:eastAsia="en-GB"/>
        </w:rPr>
        <w:t xml:space="preserve"> and the right to liberty and security of the person.</w:t>
      </w:r>
      <w:r w:rsidRPr="00301A96">
        <w:rPr>
          <w:rFonts w:asciiTheme="minorHAnsi" w:hAnsiTheme="minorHAnsi" w:cs="∆¯¬˛"/>
          <w:sz w:val="18"/>
          <w:szCs w:val="18"/>
          <w:vertAlign w:val="superscript"/>
          <w:lang w:eastAsia="en-GB"/>
        </w:rPr>
        <w:footnoteReference w:id="8"/>
      </w:r>
      <w:r w:rsidRPr="00301A96">
        <w:rPr>
          <w:rFonts w:asciiTheme="minorHAnsi" w:hAnsiTheme="minorHAnsi" w:cs="∆¯¬˛"/>
          <w:sz w:val="18"/>
          <w:szCs w:val="18"/>
          <w:lang w:eastAsia="en-GB"/>
        </w:rPr>
        <w:t xml:space="preserve"> The Committee on the Elimination of Discrimination Against Women’s General Recommendation No. 27 on older women includes violence, abuse and neglect but does not apply to older men. Similarly, the obligations under the Convention of the Rights of Persons with Disabilities </w:t>
      </w:r>
      <w:r>
        <w:rPr>
          <w:rFonts w:asciiTheme="minorHAnsi" w:hAnsiTheme="minorHAnsi" w:cs="∆¯¬˛"/>
          <w:sz w:val="18"/>
          <w:szCs w:val="18"/>
          <w:lang w:eastAsia="en-GB"/>
        </w:rPr>
        <w:t xml:space="preserve">(CRPD) </w:t>
      </w:r>
      <w:r w:rsidRPr="00301A96">
        <w:rPr>
          <w:rFonts w:asciiTheme="minorHAnsi" w:hAnsiTheme="minorHAnsi" w:cs="∆¯¬˛"/>
          <w:sz w:val="18"/>
          <w:szCs w:val="18"/>
          <w:lang w:eastAsia="en-GB"/>
        </w:rPr>
        <w:t>on the prohibition of torture and prevention all forms of violence and abuse only apply to older persons with disabilities.</w:t>
      </w:r>
      <w:r w:rsidRPr="00301A96">
        <w:rPr>
          <w:rStyle w:val="FootnoteReference"/>
          <w:rFonts w:asciiTheme="minorHAnsi" w:hAnsiTheme="minorHAnsi" w:cs="∆¯¬˛"/>
          <w:sz w:val="18"/>
          <w:szCs w:val="18"/>
          <w:lang w:eastAsia="en-GB"/>
        </w:rPr>
        <w:footnoteReference w:id="9"/>
      </w:r>
      <w:r w:rsidRPr="00301A96">
        <w:rPr>
          <w:rFonts w:asciiTheme="minorHAnsi" w:hAnsiTheme="minorHAnsi" w:cs="∆¯¬˛"/>
          <w:sz w:val="18"/>
          <w:szCs w:val="18"/>
          <w:lang w:eastAsia="en-GB"/>
        </w:rPr>
        <w:t xml:space="preserve"> </w:t>
      </w:r>
      <w:r w:rsidRPr="00301A96">
        <w:rPr>
          <w:color w:val="000000" w:themeColor="text1"/>
          <w:sz w:val="18"/>
          <w:szCs w:val="22"/>
        </w:rPr>
        <w:t xml:space="preserve">In principle, general human rights norms could be interpreted in a way as to reflect older persons’ particular needs. However, there is no clarity about the scope of States’ obligations in this regard, in addition to a serious lack of awareness and data regarding the issue of elder abuse, its prevalence, its different forms and effects on older persons.     </w:t>
      </w:r>
    </w:p>
    <w:p w14:paraId="612FA227" w14:textId="755DC586" w:rsidR="00A642AC" w:rsidRPr="00301A96" w:rsidRDefault="00A642AC" w:rsidP="00795200">
      <w:pPr>
        <w:autoSpaceDE w:val="0"/>
        <w:autoSpaceDN w:val="0"/>
        <w:adjustRightInd w:val="0"/>
        <w:spacing w:after="0" w:line="276" w:lineRule="auto"/>
        <w:jc w:val="both"/>
        <w:rPr>
          <w:rFonts w:asciiTheme="minorHAnsi" w:hAnsiTheme="minorHAnsi" w:cs="∆¯¬˛"/>
          <w:b/>
          <w:bCs/>
          <w:sz w:val="18"/>
          <w:szCs w:val="18"/>
          <w:lang w:eastAsia="en-GB"/>
        </w:rPr>
      </w:pPr>
      <w:r w:rsidRPr="00301A96">
        <w:rPr>
          <w:rFonts w:asciiTheme="minorHAnsi" w:hAnsiTheme="minorHAnsi" w:cs="∆¯¬˛"/>
          <w:b/>
          <w:bCs/>
          <w:sz w:val="18"/>
          <w:szCs w:val="18"/>
          <w:lang w:eastAsia="en-GB"/>
        </w:rPr>
        <w:t xml:space="preserve">Recommendations </w:t>
      </w:r>
    </w:p>
    <w:p w14:paraId="0CA170B4" w14:textId="0F0C264C" w:rsidR="00A642AC" w:rsidRPr="00301A96" w:rsidRDefault="00A642AC" w:rsidP="00795200">
      <w:pPr>
        <w:autoSpaceDE w:val="0"/>
        <w:autoSpaceDN w:val="0"/>
        <w:adjustRightInd w:val="0"/>
        <w:spacing w:after="240" w:line="276" w:lineRule="auto"/>
        <w:jc w:val="both"/>
        <w:rPr>
          <w:rFonts w:asciiTheme="minorHAnsi" w:hAnsiTheme="minorHAnsi" w:cs="∆¯¬˛"/>
          <w:sz w:val="18"/>
          <w:szCs w:val="18"/>
          <w:lang w:eastAsia="en-GB"/>
        </w:rPr>
      </w:pPr>
      <w:r w:rsidRPr="00301A96">
        <w:rPr>
          <w:rFonts w:asciiTheme="minorHAnsi" w:hAnsiTheme="minorHAnsi" w:cs="∆¯¬˛"/>
          <w:sz w:val="18"/>
          <w:szCs w:val="18"/>
          <w:lang w:eastAsia="en-GB"/>
        </w:rPr>
        <w:t xml:space="preserve">There is a need for an explicit right to freedom from violence, abuse and neglect in older age at the international level. This right should include all forms of violence, abuse and neglect against older people. It should apply to both public and private spheres, to </w:t>
      </w:r>
      <w:r>
        <w:rPr>
          <w:rFonts w:asciiTheme="minorHAnsi" w:hAnsiTheme="minorHAnsi" w:cs="∆¯¬˛"/>
          <w:sz w:val="18"/>
          <w:szCs w:val="18"/>
          <w:lang w:eastAsia="en-GB"/>
        </w:rPr>
        <w:t>a</w:t>
      </w:r>
      <w:r w:rsidRPr="00301A96">
        <w:rPr>
          <w:rFonts w:asciiTheme="minorHAnsi" w:hAnsiTheme="minorHAnsi" w:cs="∆¯¬˛"/>
          <w:sz w:val="18"/>
          <w:szCs w:val="18"/>
          <w:lang w:eastAsia="en-GB"/>
        </w:rPr>
        <w:t>cts perpetrated by both private and public actors. States should have an obligation to actively prevent violence, abuse and neglect in older age. The right should explicitly provide for access to a wide range of support services for survivors as well as the right to an effective remedy and access to redress mechanisms. Finally, the right should explicitly include an obligation for States to collect, disaggregate, analyse, utilise and make public at regular intervals appropriate information and statistical data on all forms of violence, abuse and neglect.</w:t>
      </w:r>
      <w:r w:rsidRPr="00301A96">
        <w:rPr>
          <w:rStyle w:val="FootnoteReference"/>
          <w:rFonts w:asciiTheme="minorHAnsi" w:hAnsiTheme="minorHAnsi" w:cs="∆¯¬˛"/>
          <w:sz w:val="18"/>
          <w:szCs w:val="18"/>
          <w:lang w:eastAsia="en-GB"/>
        </w:rPr>
        <w:footnoteReference w:id="10"/>
      </w:r>
    </w:p>
    <w:p w14:paraId="0A5334CC" w14:textId="6EC49FA8" w:rsidR="00A642AC" w:rsidRPr="00301A96" w:rsidRDefault="00A642AC" w:rsidP="00795200">
      <w:pPr>
        <w:pStyle w:val="ListParagraph"/>
        <w:numPr>
          <w:ilvl w:val="0"/>
          <w:numId w:val="36"/>
        </w:numPr>
        <w:spacing w:line="276" w:lineRule="auto"/>
        <w:ind w:left="357" w:hanging="357"/>
        <w:outlineLvl w:val="1"/>
        <w:rPr>
          <w:b/>
          <w:bCs/>
          <w:color w:val="C9231E" w:themeColor="accent2"/>
        </w:rPr>
      </w:pPr>
      <w:r w:rsidRPr="00301A96">
        <w:rPr>
          <w:b/>
          <w:bCs/>
          <w:color w:val="C9231E" w:themeColor="accent2"/>
        </w:rPr>
        <w:t>Autonomy, independence and legal capacity</w:t>
      </w:r>
    </w:p>
    <w:p w14:paraId="174DF71B" w14:textId="77777777" w:rsidR="00A642AC" w:rsidRDefault="00A642AC" w:rsidP="00795200">
      <w:pPr>
        <w:spacing w:line="276" w:lineRule="auto"/>
        <w:jc w:val="both"/>
        <w:rPr>
          <w:color w:val="000000" w:themeColor="text1"/>
          <w:sz w:val="18"/>
          <w:szCs w:val="22"/>
        </w:rPr>
      </w:pPr>
      <w:r w:rsidRPr="00301A96">
        <w:rPr>
          <w:color w:val="000000" w:themeColor="text1"/>
          <w:sz w:val="18"/>
          <w:szCs w:val="22"/>
        </w:rPr>
        <w:t>Older persons are not always able to make their own decisions due to people interfering with their autonomy and a lack of adequate support. Yet there are no explicit standards on autonomy and independence in older age in international human rights law.</w:t>
      </w:r>
      <w:r w:rsidRPr="00301A96">
        <w:rPr>
          <w:color w:val="000000" w:themeColor="text1"/>
          <w:sz w:val="18"/>
          <w:szCs w:val="22"/>
          <w:vertAlign w:val="superscript"/>
        </w:rPr>
        <w:footnoteReference w:id="11"/>
      </w:r>
      <w:r w:rsidRPr="00301A96">
        <w:rPr>
          <w:color w:val="000000" w:themeColor="text1"/>
          <w:sz w:val="18"/>
          <w:szCs w:val="22"/>
        </w:rPr>
        <w:t xml:space="preserve"> </w:t>
      </w:r>
    </w:p>
    <w:p w14:paraId="3F60B600" w14:textId="3A1D41EB" w:rsidR="00A642AC" w:rsidRPr="00301A96" w:rsidRDefault="00A642AC" w:rsidP="00795200">
      <w:pPr>
        <w:spacing w:line="276" w:lineRule="auto"/>
        <w:jc w:val="both"/>
        <w:rPr>
          <w:color w:val="000000" w:themeColor="text1"/>
          <w:sz w:val="18"/>
          <w:szCs w:val="22"/>
        </w:rPr>
      </w:pPr>
      <w:r w:rsidRPr="00301A96">
        <w:rPr>
          <w:color w:val="000000" w:themeColor="text1"/>
          <w:sz w:val="18"/>
          <w:szCs w:val="22"/>
        </w:rPr>
        <w:t>The CRPD introduced respect for individual autonomy, including the freedom to make one's own choices, and independence of persons as general principles of the Convention.</w:t>
      </w:r>
      <w:r w:rsidRPr="00301A96">
        <w:rPr>
          <w:rStyle w:val="FootnoteReference"/>
          <w:color w:val="000000" w:themeColor="text1"/>
          <w:sz w:val="18"/>
          <w:szCs w:val="22"/>
        </w:rPr>
        <w:footnoteReference w:id="12"/>
      </w:r>
      <w:r w:rsidRPr="00301A96">
        <w:rPr>
          <w:color w:val="000000" w:themeColor="text1"/>
          <w:sz w:val="18"/>
          <w:szCs w:val="22"/>
        </w:rPr>
        <w:t xml:space="preserve"> It also includes a specific right to legal capacity and listed several positive obligations for States in this regard, such as taking all appropriate and effective measures to ensure the equal right of persons with disabilities to own or inherit property, to control their own financial affairs and to have equal access to bank loans, mortgages and other forms of financial credit.</w:t>
      </w:r>
      <w:r w:rsidRPr="00301A96">
        <w:rPr>
          <w:rStyle w:val="FootnoteReference"/>
          <w:color w:val="000000" w:themeColor="text1"/>
          <w:sz w:val="18"/>
          <w:szCs w:val="22"/>
        </w:rPr>
        <w:footnoteReference w:id="13"/>
      </w:r>
      <w:r w:rsidRPr="00301A96">
        <w:rPr>
          <w:color w:val="000000" w:themeColor="text1"/>
          <w:sz w:val="18"/>
          <w:szCs w:val="22"/>
        </w:rPr>
        <w:t xml:space="preserve"> Article 19 CRPD recognizes the right to independent living for persons with disabilities. To that end, States parties must ensure that they can choose their place of residence, and have access to a range of in-home, residential and other support services. This clarification of Member States’ positive obligations is necessary to guarantee the full enjoyment of these rights in practice.</w:t>
      </w:r>
    </w:p>
    <w:p w14:paraId="297E4BFB" w14:textId="2743B4C9" w:rsidR="00A642AC" w:rsidRPr="00301A96" w:rsidRDefault="00A642AC" w:rsidP="00795200">
      <w:pPr>
        <w:spacing w:line="276" w:lineRule="auto"/>
        <w:jc w:val="both"/>
        <w:rPr>
          <w:color w:val="000000" w:themeColor="text1"/>
          <w:sz w:val="18"/>
          <w:szCs w:val="22"/>
        </w:rPr>
      </w:pPr>
      <w:r w:rsidRPr="00301A96">
        <w:rPr>
          <w:color w:val="000000" w:themeColor="text1"/>
          <w:sz w:val="18"/>
          <w:szCs w:val="22"/>
        </w:rPr>
        <w:t>As important as these provisions are for persons with disabilities, they also demonstrate the normative gap that exists in this regard for older persons. The rights to autonomy, independence and legal capacity in older age are not clearly articulated in international human rights law. Some regional human rights standards recognise the right to autonomy and independence in older age.</w:t>
      </w:r>
      <w:r w:rsidRPr="00301A96">
        <w:rPr>
          <w:rStyle w:val="FootnoteReference"/>
          <w:color w:val="000000" w:themeColor="text1"/>
          <w:sz w:val="18"/>
          <w:szCs w:val="22"/>
        </w:rPr>
        <w:footnoteReference w:id="14"/>
      </w:r>
      <w:r w:rsidRPr="00301A96">
        <w:rPr>
          <w:color w:val="000000" w:themeColor="text1"/>
          <w:sz w:val="18"/>
          <w:szCs w:val="22"/>
        </w:rPr>
        <w:t xml:space="preserve"> However, these vary, are limited in territorial scope and are inconsistent across regions.</w:t>
      </w:r>
      <w:r w:rsidRPr="00301A96">
        <w:rPr>
          <w:rStyle w:val="FootnoteReference"/>
          <w:color w:val="000000" w:themeColor="text1"/>
          <w:sz w:val="18"/>
          <w:szCs w:val="22"/>
        </w:rPr>
        <w:footnoteReference w:id="15"/>
      </w:r>
      <w:r w:rsidRPr="00301A96">
        <w:rPr>
          <w:color w:val="000000" w:themeColor="text1"/>
          <w:sz w:val="18"/>
          <w:szCs w:val="22"/>
        </w:rPr>
        <w:t xml:space="preserve"> </w:t>
      </w:r>
    </w:p>
    <w:p w14:paraId="242A7E4A" w14:textId="77777777" w:rsidR="00A642AC" w:rsidRPr="00301A96" w:rsidRDefault="00A642AC" w:rsidP="00795200">
      <w:pPr>
        <w:spacing w:after="0" w:line="276" w:lineRule="auto"/>
        <w:jc w:val="both"/>
        <w:rPr>
          <w:b/>
          <w:bCs/>
          <w:color w:val="000000" w:themeColor="text1"/>
          <w:sz w:val="18"/>
          <w:szCs w:val="22"/>
        </w:rPr>
      </w:pPr>
      <w:r w:rsidRPr="00301A96">
        <w:rPr>
          <w:b/>
          <w:bCs/>
          <w:color w:val="000000" w:themeColor="text1"/>
          <w:sz w:val="18"/>
          <w:szCs w:val="22"/>
        </w:rPr>
        <w:t xml:space="preserve">Recommendations </w:t>
      </w:r>
    </w:p>
    <w:p w14:paraId="4034F476" w14:textId="06AB45B1" w:rsidR="00A642AC" w:rsidRPr="00301A96" w:rsidRDefault="00A642AC" w:rsidP="00A642AC">
      <w:pPr>
        <w:spacing w:after="240" w:line="276" w:lineRule="auto"/>
        <w:jc w:val="both"/>
        <w:rPr>
          <w:b/>
          <w:bCs/>
          <w:color w:val="000000" w:themeColor="text1"/>
          <w:sz w:val="18"/>
          <w:szCs w:val="22"/>
        </w:rPr>
      </w:pPr>
      <w:r w:rsidRPr="00301A96">
        <w:rPr>
          <w:color w:val="000000" w:themeColor="text1"/>
          <w:sz w:val="18"/>
          <w:szCs w:val="22"/>
        </w:rPr>
        <w:t>The right to autonomy and independence should apply</w:t>
      </w:r>
      <w:r w:rsidRPr="00301A96">
        <w:rPr>
          <w:b/>
          <w:bCs/>
          <w:color w:val="000000" w:themeColor="text1"/>
          <w:sz w:val="18"/>
          <w:szCs w:val="22"/>
        </w:rPr>
        <w:t xml:space="preserve"> </w:t>
      </w:r>
      <w:r w:rsidRPr="00301A96">
        <w:rPr>
          <w:color w:val="000000" w:themeColor="text1"/>
          <w:sz w:val="18"/>
          <w:szCs w:val="22"/>
        </w:rPr>
        <w:t>to choice and control in all aspects of older people’s lives.</w:t>
      </w:r>
      <w:r w:rsidRPr="00301A96">
        <w:rPr>
          <w:b/>
          <w:bCs/>
          <w:color w:val="000000" w:themeColor="text1"/>
          <w:sz w:val="18"/>
          <w:szCs w:val="22"/>
        </w:rPr>
        <w:t xml:space="preserve"> </w:t>
      </w:r>
      <w:r w:rsidRPr="00301A96">
        <w:rPr>
          <w:color w:val="000000" w:themeColor="text1"/>
          <w:sz w:val="18"/>
          <w:szCs w:val="22"/>
        </w:rPr>
        <w:t>This should include the right to have those decisions</w:t>
      </w:r>
      <w:r w:rsidRPr="00301A96">
        <w:rPr>
          <w:b/>
          <w:bCs/>
          <w:color w:val="000000" w:themeColor="text1"/>
          <w:sz w:val="18"/>
          <w:szCs w:val="22"/>
        </w:rPr>
        <w:t xml:space="preserve"> </w:t>
      </w:r>
      <w:r w:rsidRPr="00301A96">
        <w:rPr>
          <w:color w:val="000000" w:themeColor="text1"/>
          <w:sz w:val="18"/>
          <w:szCs w:val="22"/>
        </w:rPr>
        <w:t>respected.</w:t>
      </w:r>
      <w:r w:rsidRPr="00301A96">
        <w:rPr>
          <w:rFonts w:ascii="∆¯¬˛" w:hAnsi="∆¯¬˛" w:cs="∆¯¬˛"/>
          <w:color w:val="000000" w:themeColor="text1"/>
          <w:szCs w:val="20"/>
          <w:lang w:eastAsia="en-GB"/>
        </w:rPr>
        <w:t xml:space="preserve"> </w:t>
      </w:r>
      <w:r w:rsidRPr="00301A96">
        <w:rPr>
          <w:color w:val="000000" w:themeColor="text1"/>
          <w:sz w:val="18"/>
          <w:szCs w:val="22"/>
        </w:rPr>
        <w:t>The right should include full, effective and meaningful participation in family, social, cultural, economic, public and political life, and educational and training activities.</w:t>
      </w:r>
      <w:r w:rsidRPr="00301A96">
        <w:rPr>
          <w:rFonts w:ascii="Times New Roman" w:hAnsi="Times New Roman"/>
          <w:color w:val="000000"/>
          <w:szCs w:val="20"/>
          <w:lang w:eastAsia="en-GB"/>
        </w:rPr>
        <w:t xml:space="preserve"> </w:t>
      </w:r>
      <w:r w:rsidRPr="00301A96">
        <w:rPr>
          <w:color w:val="000000" w:themeColor="text1"/>
          <w:sz w:val="18"/>
          <w:szCs w:val="22"/>
        </w:rPr>
        <w:t>Older people should have the right to live independently in the community on an equal basis with others. The right should provide for access to support services, including to make decisions and exercise legal capacity, and services to support independent living and inclusion in the community. Older people should have the right to designate trusted persons to support them with making decisions and the right participate in, and challenge, any decisions that interfere with the exercise of their legal capacity.</w:t>
      </w:r>
      <w:r w:rsidRPr="00301A96">
        <w:rPr>
          <w:rFonts w:ascii="Times New Roman" w:hAnsi="Times New Roman"/>
          <w:szCs w:val="20"/>
          <w:lang w:eastAsia="en-GB"/>
        </w:rPr>
        <w:t xml:space="preserve"> </w:t>
      </w:r>
      <w:r w:rsidRPr="00301A96">
        <w:rPr>
          <w:color w:val="000000" w:themeColor="text1"/>
          <w:sz w:val="18"/>
          <w:szCs w:val="22"/>
        </w:rPr>
        <w:t>Appropriate and effective safeguards should be in place to prevent abuse in the exercise of older people’s legal capacity, while respecting their will and preferences in accordance with international human rights law.  Older persons should have effective access to justice and redress and States should have the obligation to ensure trusted persons, support and other service providers receive appropriate training in this area.</w:t>
      </w:r>
      <w:r w:rsidRPr="00301A96">
        <w:rPr>
          <w:rStyle w:val="FootnoteReference"/>
          <w:color w:val="000000" w:themeColor="text1"/>
          <w:sz w:val="18"/>
          <w:szCs w:val="22"/>
        </w:rPr>
        <w:footnoteReference w:id="16"/>
      </w:r>
    </w:p>
    <w:p w14:paraId="3F618C6B" w14:textId="346A66CF" w:rsidR="00A642AC" w:rsidRPr="00301A96" w:rsidRDefault="00A642AC" w:rsidP="00795200">
      <w:pPr>
        <w:pStyle w:val="ListParagraph"/>
        <w:numPr>
          <w:ilvl w:val="0"/>
          <w:numId w:val="36"/>
        </w:numPr>
        <w:spacing w:line="276" w:lineRule="auto"/>
        <w:ind w:left="357" w:hanging="357"/>
        <w:outlineLvl w:val="1"/>
        <w:rPr>
          <w:b/>
          <w:bCs/>
          <w:color w:val="C9231E" w:themeColor="accent2"/>
        </w:rPr>
      </w:pPr>
      <w:r w:rsidRPr="00301A96">
        <w:rPr>
          <w:b/>
          <w:bCs/>
          <w:color w:val="C9231E" w:themeColor="accent2"/>
        </w:rPr>
        <w:t xml:space="preserve">Social protection and social security  </w:t>
      </w:r>
    </w:p>
    <w:p w14:paraId="0ADF487A" w14:textId="28604D2D" w:rsidR="00A642AC" w:rsidRPr="00301A96" w:rsidRDefault="00A642AC" w:rsidP="00795200">
      <w:pPr>
        <w:spacing w:line="276" w:lineRule="auto"/>
        <w:jc w:val="both"/>
        <w:rPr>
          <w:color w:val="000000" w:themeColor="text1"/>
          <w:sz w:val="18"/>
          <w:szCs w:val="22"/>
        </w:rPr>
      </w:pPr>
      <w:r w:rsidRPr="00301A96">
        <w:rPr>
          <w:color w:val="000000" w:themeColor="text1"/>
          <w:sz w:val="18"/>
          <w:szCs w:val="22"/>
        </w:rPr>
        <w:t>Older persons face particular barriers realizing their right to social protection and social security. These include inadequate levels of entitlements; discriminatory age limits on social security and social protection measures; pension penalties for those who wish to continue working after retirement age; inadequate income and support services for persons with disabilities as they age and for those who acquire a disability in older age; disparities in life expectancy between different populations; and the exclusion of measures for care and support for independent living from social security and social protection floor schemes.</w:t>
      </w:r>
      <w:r w:rsidRPr="00301A96">
        <w:rPr>
          <w:rStyle w:val="FootnoteReference"/>
          <w:color w:val="000000" w:themeColor="text1"/>
          <w:sz w:val="18"/>
          <w:szCs w:val="22"/>
        </w:rPr>
        <w:footnoteReference w:id="17"/>
      </w:r>
      <w:r w:rsidRPr="00301A96">
        <w:rPr>
          <w:color w:val="000000" w:themeColor="text1"/>
          <w:sz w:val="18"/>
          <w:szCs w:val="22"/>
        </w:rPr>
        <w:t xml:space="preserve"> </w:t>
      </w:r>
    </w:p>
    <w:p w14:paraId="6B00BA59" w14:textId="5DDE872A" w:rsidR="00A642AC" w:rsidRDefault="00A642AC" w:rsidP="00795200">
      <w:pPr>
        <w:spacing w:line="276" w:lineRule="auto"/>
        <w:jc w:val="both"/>
        <w:rPr>
          <w:color w:val="000000" w:themeColor="text1"/>
          <w:sz w:val="18"/>
          <w:szCs w:val="22"/>
        </w:rPr>
      </w:pPr>
      <w:r w:rsidRPr="00301A96">
        <w:rPr>
          <w:color w:val="000000" w:themeColor="text1"/>
          <w:sz w:val="18"/>
          <w:szCs w:val="22"/>
        </w:rPr>
        <w:t>These unique barriers older persons face are not adequately covered under international human rights law. The right to social security is protected by the ICESCR</w:t>
      </w:r>
      <w:r w:rsidRPr="00301A96">
        <w:rPr>
          <w:color w:val="000000" w:themeColor="text1"/>
          <w:sz w:val="18"/>
          <w:szCs w:val="22"/>
          <w:vertAlign w:val="superscript"/>
        </w:rPr>
        <w:footnoteReference w:id="18"/>
      </w:r>
      <w:r w:rsidRPr="00301A96">
        <w:rPr>
          <w:color w:val="000000" w:themeColor="text1"/>
          <w:sz w:val="18"/>
          <w:szCs w:val="22"/>
        </w:rPr>
        <w:t xml:space="preserve"> and clarified with regard to specific groups, such as women,</w:t>
      </w:r>
      <w:r w:rsidRPr="00301A96">
        <w:rPr>
          <w:rStyle w:val="FootnoteReference"/>
          <w:color w:val="000000" w:themeColor="text1"/>
          <w:sz w:val="18"/>
          <w:szCs w:val="22"/>
        </w:rPr>
        <w:footnoteReference w:id="19"/>
      </w:r>
      <w:r w:rsidRPr="00301A96">
        <w:rPr>
          <w:color w:val="000000" w:themeColor="text1"/>
          <w:sz w:val="18"/>
          <w:szCs w:val="22"/>
        </w:rPr>
        <w:t xml:space="preserve"> migrant workers</w:t>
      </w:r>
      <w:r w:rsidRPr="00301A96">
        <w:rPr>
          <w:rStyle w:val="FootnoteReference"/>
          <w:color w:val="000000" w:themeColor="text1"/>
          <w:sz w:val="18"/>
          <w:szCs w:val="22"/>
        </w:rPr>
        <w:footnoteReference w:id="20"/>
      </w:r>
      <w:r w:rsidRPr="00301A96">
        <w:rPr>
          <w:color w:val="000000" w:themeColor="text1"/>
          <w:sz w:val="18"/>
          <w:szCs w:val="22"/>
        </w:rPr>
        <w:t xml:space="preserve"> and persons with disabilities</w:t>
      </w:r>
      <w:r w:rsidRPr="00301A96">
        <w:rPr>
          <w:color w:val="000000" w:themeColor="text1"/>
          <w:sz w:val="18"/>
          <w:szCs w:val="22"/>
          <w:vertAlign w:val="superscript"/>
        </w:rPr>
        <w:footnoteReference w:id="21"/>
      </w:r>
      <w:r w:rsidRPr="00301A96">
        <w:rPr>
          <w:color w:val="000000" w:themeColor="text1"/>
          <w:sz w:val="18"/>
          <w:szCs w:val="22"/>
        </w:rPr>
        <w:t xml:space="preserve">, but not older persons. Older people without a pension or with an inadequate pension </w:t>
      </w:r>
      <w:r w:rsidRPr="004D1FB7">
        <w:rPr>
          <w:color w:val="000000" w:themeColor="text1"/>
          <w:sz w:val="18"/>
          <w:szCs w:val="22"/>
        </w:rPr>
        <w:t xml:space="preserve">are </w:t>
      </w:r>
      <w:r w:rsidRPr="00301A96">
        <w:rPr>
          <w:color w:val="000000" w:themeColor="text1"/>
          <w:sz w:val="18"/>
          <w:szCs w:val="22"/>
        </w:rPr>
        <w:t xml:space="preserve">not only denied </w:t>
      </w:r>
      <w:r w:rsidRPr="004D1FB7">
        <w:rPr>
          <w:color w:val="000000" w:themeColor="text1"/>
          <w:sz w:val="18"/>
          <w:szCs w:val="22"/>
        </w:rPr>
        <w:t>their right to social security and social protection</w:t>
      </w:r>
      <w:r w:rsidRPr="00301A96">
        <w:rPr>
          <w:color w:val="000000" w:themeColor="text1"/>
          <w:sz w:val="18"/>
          <w:szCs w:val="22"/>
        </w:rPr>
        <w:t xml:space="preserve"> </w:t>
      </w:r>
      <w:r w:rsidRPr="004D1FB7">
        <w:rPr>
          <w:color w:val="000000" w:themeColor="text1"/>
          <w:sz w:val="18"/>
          <w:szCs w:val="22"/>
        </w:rPr>
        <w:t>but also their rights to health, an adequate standard</w:t>
      </w:r>
      <w:r w:rsidRPr="00301A96">
        <w:rPr>
          <w:color w:val="000000" w:themeColor="text1"/>
          <w:sz w:val="18"/>
          <w:szCs w:val="22"/>
        </w:rPr>
        <w:t xml:space="preserve"> </w:t>
      </w:r>
      <w:r w:rsidRPr="004D1FB7">
        <w:rPr>
          <w:color w:val="000000" w:themeColor="text1"/>
          <w:sz w:val="18"/>
          <w:szCs w:val="22"/>
        </w:rPr>
        <w:t>of living, participation in society, work, autonomy</w:t>
      </w:r>
      <w:r w:rsidRPr="00301A96">
        <w:rPr>
          <w:color w:val="000000" w:themeColor="text1"/>
          <w:sz w:val="18"/>
          <w:szCs w:val="22"/>
        </w:rPr>
        <w:t xml:space="preserve"> </w:t>
      </w:r>
      <w:r w:rsidRPr="004D1FB7">
        <w:rPr>
          <w:color w:val="000000" w:themeColor="text1"/>
          <w:sz w:val="18"/>
          <w:szCs w:val="22"/>
        </w:rPr>
        <w:t>and independence, and education and lifelong</w:t>
      </w:r>
      <w:r w:rsidRPr="00301A96">
        <w:rPr>
          <w:color w:val="000000" w:themeColor="text1"/>
          <w:sz w:val="18"/>
          <w:szCs w:val="22"/>
        </w:rPr>
        <w:t xml:space="preserve"> learning.</w:t>
      </w:r>
      <w:r w:rsidRPr="00301A96">
        <w:rPr>
          <w:rStyle w:val="FootnoteReference"/>
          <w:color w:val="000000" w:themeColor="text1"/>
          <w:sz w:val="18"/>
          <w:szCs w:val="22"/>
        </w:rPr>
        <w:footnoteReference w:id="22"/>
      </w:r>
      <w:r w:rsidRPr="00301A96">
        <w:rPr>
          <w:rFonts w:ascii="Palatino Linotype" w:eastAsiaTheme="minorHAnsi" w:hAnsi="Palatino Linotype" w:cstheme="minorBidi"/>
          <w:szCs w:val="20"/>
        </w:rPr>
        <w:t xml:space="preserve"> </w:t>
      </w:r>
      <w:r w:rsidRPr="00301A96">
        <w:rPr>
          <w:color w:val="000000" w:themeColor="text1"/>
          <w:sz w:val="18"/>
          <w:szCs w:val="22"/>
        </w:rPr>
        <w:t xml:space="preserve"> </w:t>
      </w:r>
    </w:p>
    <w:p w14:paraId="3CF436EA" w14:textId="77777777" w:rsidR="00A642AC" w:rsidRPr="00301A96" w:rsidRDefault="00A642AC" w:rsidP="00795200">
      <w:pPr>
        <w:spacing w:line="276" w:lineRule="auto"/>
        <w:jc w:val="both"/>
        <w:rPr>
          <w:color w:val="000000" w:themeColor="text1"/>
          <w:sz w:val="18"/>
          <w:szCs w:val="22"/>
        </w:rPr>
      </w:pPr>
    </w:p>
    <w:p w14:paraId="1187855C" w14:textId="18AC49F5" w:rsidR="00A642AC" w:rsidRPr="00301A96" w:rsidRDefault="00A642AC" w:rsidP="00795200">
      <w:pPr>
        <w:spacing w:line="276" w:lineRule="auto"/>
        <w:jc w:val="both"/>
        <w:rPr>
          <w:b/>
          <w:bCs/>
          <w:color w:val="000000" w:themeColor="text1"/>
          <w:sz w:val="18"/>
          <w:szCs w:val="22"/>
        </w:rPr>
      </w:pPr>
      <w:r w:rsidRPr="00301A96">
        <w:rPr>
          <w:b/>
          <w:bCs/>
          <w:color w:val="000000" w:themeColor="text1"/>
          <w:sz w:val="18"/>
          <w:szCs w:val="22"/>
        </w:rPr>
        <w:t>Recommendations</w:t>
      </w:r>
    </w:p>
    <w:p w14:paraId="249DFB78" w14:textId="58D9FD3C" w:rsidR="00A642AC" w:rsidRPr="00301A96" w:rsidRDefault="00A642AC" w:rsidP="00795200">
      <w:pPr>
        <w:spacing w:line="276" w:lineRule="auto"/>
        <w:jc w:val="both"/>
        <w:rPr>
          <w:color w:val="000000" w:themeColor="text1"/>
          <w:sz w:val="18"/>
          <w:szCs w:val="22"/>
        </w:rPr>
      </w:pPr>
      <w:r w:rsidRPr="004D1FB7">
        <w:rPr>
          <w:color w:val="000000" w:themeColor="text1"/>
          <w:sz w:val="18"/>
          <w:szCs w:val="22"/>
        </w:rPr>
        <w:t>The right to</w:t>
      </w:r>
      <w:r w:rsidRPr="00301A96">
        <w:rPr>
          <w:color w:val="000000" w:themeColor="text1"/>
          <w:sz w:val="18"/>
          <w:szCs w:val="22"/>
        </w:rPr>
        <w:t xml:space="preserve"> </w:t>
      </w:r>
      <w:r w:rsidRPr="004D1FB7">
        <w:rPr>
          <w:color w:val="000000" w:themeColor="text1"/>
          <w:sz w:val="18"/>
          <w:szCs w:val="22"/>
        </w:rPr>
        <w:t>social protection and social security needs</w:t>
      </w:r>
      <w:r w:rsidRPr="00301A96">
        <w:rPr>
          <w:color w:val="000000" w:themeColor="text1"/>
          <w:sz w:val="18"/>
          <w:szCs w:val="22"/>
        </w:rPr>
        <w:t xml:space="preserve"> to be explicitly applied to the unique context of older age. All older persons should have the right to social protection and social security measures, whether in cash or in kind, to ensure adequate income security, access to healthcare, medication and assistive devices, and access to care and support services for independent living in older age.   </w:t>
      </w:r>
    </w:p>
    <w:p w14:paraId="07828795" w14:textId="77777777" w:rsidR="00A642AC" w:rsidRPr="00301A96" w:rsidRDefault="00A642AC" w:rsidP="00795200">
      <w:pPr>
        <w:spacing w:line="276" w:lineRule="auto"/>
        <w:jc w:val="both"/>
        <w:rPr>
          <w:color w:val="000000" w:themeColor="text1"/>
          <w:sz w:val="18"/>
          <w:szCs w:val="22"/>
        </w:rPr>
      </w:pPr>
      <w:r w:rsidRPr="0079273D">
        <w:rPr>
          <w:color w:val="000000" w:themeColor="text1"/>
          <w:sz w:val="18"/>
          <w:szCs w:val="22"/>
        </w:rPr>
        <w:t xml:space="preserve">The core </w:t>
      </w:r>
      <w:r w:rsidRPr="00301A96">
        <w:rPr>
          <w:color w:val="000000" w:themeColor="text1"/>
          <w:sz w:val="18"/>
          <w:szCs w:val="22"/>
        </w:rPr>
        <w:t xml:space="preserve">normative </w:t>
      </w:r>
      <w:r w:rsidRPr="0079273D">
        <w:rPr>
          <w:color w:val="000000" w:themeColor="text1"/>
          <w:sz w:val="18"/>
          <w:szCs w:val="22"/>
        </w:rPr>
        <w:t xml:space="preserve">elements of the right to social security </w:t>
      </w:r>
      <w:r w:rsidRPr="00301A96">
        <w:rPr>
          <w:color w:val="000000" w:themeColor="text1"/>
          <w:sz w:val="18"/>
          <w:szCs w:val="22"/>
        </w:rPr>
        <w:t xml:space="preserve">include </w:t>
      </w:r>
      <w:r w:rsidRPr="0079273D">
        <w:rPr>
          <w:color w:val="000000" w:themeColor="text1"/>
          <w:sz w:val="18"/>
          <w:szCs w:val="22"/>
        </w:rPr>
        <w:t>availability; adequacy; accessibility; and non-discrimination and</w:t>
      </w:r>
      <w:r w:rsidRPr="00301A96">
        <w:rPr>
          <w:color w:val="000000" w:themeColor="text1"/>
          <w:sz w:val="18"/>
          <w:szCs w:val="22"/>
        </w:rPr>
        <w:t xml:space="preserve"> equality.</w:t>
      </w:r>
      <w:r w:rsidRPr="00301A96">
        <w:rPr>
          <w:rStyle w:val="FootnoteReference"/>
          <w:color w:val="000000" w:themeColor="text1"/>
          <w:sz w:val="18"/>
          <w:szCs w:val="22"/>
        </w:rPr>
        <w:footnoteReference w:id="23"/>
      </w:r>
      <w:r w:rsidRPr="00301A96">
        <w:rPr>
          <w:color w:val="000000" w:themeColor="text1"/>
          <w:sz w:val="18"/>
          <w:szCs w:val="22"/>
        </w:rPr>
        <w:t xml:space="preserve"> For older persons, accessibility entails a right to access social </w:t>
      </w:r>
      <w:r w:rsidRPr="0079273D">
        <w:rPr>
          <w:color w:val="000000" w:themeColor="text1"/>
          <w:sz w:val="18"/>
          <w:szCs w:val="22"/>
        </w:rPr>
        <w:t xml:space="preserve">protection and social security schemes </w:t>
      </w:r>
      <w:r w:rsidRPr="00301A96">
        <w:rPr>
          <w:color w:val="000000" w:themeColor="text1"/>
          <w:sz w:val="18"/>
          <w:szCs w:val="22"/>
        </w:rPr>
        <w:t xml:space="preserve">and measures </w:t>
      </w:r>
      <w:r w:rsidRPr="0079273D">
        <w:rPr>
          <w:color w:val="000000" w:themeColor="text1"/>
          <w:sz w:val="18"/>
          <w:szCs w:val="22"/>
        </w:rPr>
        <w:t>without</w:t>
      </w:r>
      <w:r w:rsidRPr="00301A96">
        <w:rPr>
          <w:color w:val="000000" w:themeColor="text1"/>
          <w:sz w:val="18"/>
          <w:szCs w:val="22"/>
        </w:rPr>
        <w:t xml:space="preserve"> </w:t>
      </w:r>
      <w:r w:rsidRPr="0079273D">
        <w:rPr>
          <w:color w:val="000000" w:themeColor="text1"/>
          <w:sz w:val="18"/>
          <w:szCs w:val="22"/>
        </w:rPr>
        <w:t>discrimination</w:t>
      </w:r>
      <w:r w:rsidRPr="00301A96">
        <w:rPr>
          <w:color w:val="000000" w:themeColor="text1"/>
          <w:sz w:val="18"/>
          <w:szCs w:val="22"/>
        </w:rPr>
        <w:t xml:space="preserve">, as well as access to information and support with applying for them </w:t>
      </w:r>
      <w:r w:rsidRPr="0079273D">
        <w:rPr>
          <w:color w:val="000000" w:themeColor="text1"/>
          <w:sz w:val="18"/>
          <w:szCs w:val="22"/>
        </w:rPr>
        <w:t>without delay.</w:t>
      </w:r>
      <w:r w:rsidRPr="00301A96">
        <w:rPr>
          <w:color w:val="000000" w:themeColor="text1"/>
          <w:sz w:val="18"/>
          <w:szCs w:val="22"/>
        </w:rPr>
        <w:t xml:space="preserve"> Delivery mechanisms should also be adapted to ensure their accessibility and affordability. In the context of older age, availability means social protection</w:t>
      </w:r>
      <w:r w:rsidRPr="0079273D">
        <w:rPr>
          <w:color w:val="000000" w:themeColor="text1"/>
          <w:sz w:val="18"/>
          <w:szCs w:val="22"/>
        </w:rPr>
        <w:t xml:space="preserve"> and social security measures </w:t>
      </w:r>
      <w:r w:rsidRPr="00301A96">
        <w:rPr>
          <w:color w:val="000000" w:themeColor="text1"/>
          <w:sz w:val="18"/>
          <w:szCs w:val="22"/>
        </w:rPr>
        <w:t xml:space="preserve">should be in place that are </w:t>
      </w:r>
      <w:r w:rsidRPr="0079273D">
        <w:rPr>
          <w:color w:val="000000" w:themeColor="text1"/>
          <w:sz w:val="18"/>
          <w:szCs w:val="22"/>
        </w:rPr>
        <w:t>relevant</w:t>
      </w:r>
      <w:r w:rsidRPr="00301A96">
        <w:rPr>
          <w:color w:val="000000" w:themeColor="text1"/>
          <w:sz w:val="18"/>
          <w:szCs w:val="22"/>
        </w:rPr>
        <w:t xml:space="preserve"> </w:t>
      </w:r>
      <w:r w:rsidRPr="0079273D">
        <w:rPr>
          <w:color w:val="000000" w:themeColor="text1"/>
          <w:sz w:val="18"/>
          <w:szCs w:val="22"/>
        </w:rPr>
        <w:t xml:space="preserve">to the risks and contingencies </w:t>
      </w:r>
      <w:r w:rsidRPr="00301A96">
        <w:rPr>
          <w:color w:val="000000" w:themeColor="text1"/>
          <w:sz w:val="18"/>
          <w:szCs w:val="22"/>
        </w:rPr>
        <w:t>older persons</w:t>
      </w:r>
      <w:r w:rsidRPr="0079273D">
        <w:rPr>
          <w:color w:val="000000" w:themeColor="text1"/>
          <w:sz w:val="18"/>
          <w:szCs w:val="22"/>
        </w:rPr>
        <w:t xml:space="preserve"> face, including</w:t>
      </w:r>
      <w:r w:rsidRPr="00301A96">
        <w:rPr>
          <w:color w:val="000000" w:themeColor="text1"/>
          <w:sz w:val="18"/>
          <w:szCs w:val="22"/>
        </w:rPr>
        <w:t xml:space="preserve"> in relation to care and support. Adequacy requires social security measures that are high enough in value and quality, and for a long enough duration of time for an adequate standard of living and to enable them to live dignified, autonomous, independent lives and fully participate in society. </w:t>
      </w:r>
    </w:p>
    <w:p w14:paraId="639E151D" w14:textId="0D1A4A92" w:rsidR="00A642AC" w:rsidRPr="0079273D" w:rsidRDefault="00A642AC" w:rsidP="00A642AC">
      <w:pPr>
        <w:spacing w:after="240" w:line="276" w:lineRule="auto"/>
        <w:jc w:val="both"/>
        <w:rPr>
          <w:color w:val="000000" w:themeColor="text1"/>
          <w:sz w:val="18"/>
          <w:szCs w:val="22"/>
        </w:rPr>
      </w:pPr>
      <w:r w:rsidRPr="00301A96">
        <w:rPr>
          <w:color w:val="000000" w:themeColor="text1"/>
          <w:sz w:val="18"/>
          <w:szCs w:val="22"/>
        </w:rPr>
        <w:t xml:space="preserve">In addition, older persons </w:t>
      </w:r>
      <w:r>
        <w:rPr>
          <w:color w:val="000000" w:themeColor="text1"/>
          <w:sz w:val="18"/>
          <w:szCs w:val="22"/>
        </w:rPr>
        <w:t xml:space="preserve">should </w:t>
      </w:r>
      <w:r w:rsidRPr="00301A96">
        <w:rPr>
          <w:color w:val="000000" w:themeColor="text1"/>
          <w:sz w:val="18"/>
          <w:szCs w:val="22"/>
        </w:rPr>
        <w:t xml:space="preserve">have a right to measures that are appropriate and acceptable for their needs and preferences, and the right to mechanisms, including </w:t>
      </w:r>
      <w:r w:rsidRPr="0079273D">
        <w:rPr>
          <w:color w:val="000000" w:themeColor="text1"/>
          <w:sz w:val="18"/>
          <w:szCs w:val="22"/>
        </w:rPr>
        <w:t>supported-decision-making processes, to exercise</w:t>
      </w:r>
      <w:r w:rsidRPr="00301A96">
        <w:rPr>
          <w:color w:val="000000" w:themeColor="text1"/>
          <w:sz w:val="18"/>
          <w:szCs w:val="22"/>
        </w:rPr>
        <w:t xml:space="preserve"> </w:t>
      </w:r>
      <w:r w:rsidRPr="0079273D">
        <w:rPr>
          <w:color w:val="000000" w:themeColor="text1"/>
          <w:sz w:val="18"/>
          <w:szCs w:val="22"/>
        </w:rPr>
        <w:t>their right to autonomy and independence in relation</w:t>
      </w:r>
      <w:r w:rsidRPr="00301A96">
        <w:rPr>
          <w:color w:val="000000" w:themeColor="text1"/>
          <w:sz w:val="18"/>
          <w:szCs w:val="22"/>
        </w:rPr>
        <w:t xml:space="preserve"> to the use of income from social protection and social security schemes. Older persons also have a right to access accountability mechanisms </w:t>
      </w:r>
      <w:r w:rsidRPr="000938DB">
        <w:rPr>
          <w:color w:val="000000" w:themeColor="text1"/>
          <w:sz w:val="18"/>
          <w:szCs w:val="22"/>
        </w:rPr>
        <w:t xml:space="preserve">and for remedies and redress </w:t>
      </w:r>
      <w:r w:rsidRPr="00301A96">
        <w:rPr>
          <w:color w:val="000000" w:themeColor="text1"/>
          <w:sz w:val="18"/>
          <w:szCs w:val="22"/>
        </w:rPr>
        <w:t>in case of violation of their right to social protection and social security.</w:t>
      </w:r>
    </w:p>
    <w:p w14:paraId="0FD8741D" w14:textId="1A10F52B" w:rsidR="00A642AC" w:rsidRPr="00301A96" w:rsidRDefault="00A642AC" w:rsidP="00795200">
      <w:pPr>
        <w:spacing w:line="276" w:lineRule="auto"/>
        <w:jc w:val="both"/>
        <w:rPr>
          <w:b/>
          <w:bCs/>
          <w:color w:val="C9231E" w:themeColor="accent2"/>
        </w:rPr>
      </w:pPr>
      <w:r w:rsidRPr="00301A96">
        <w:rPr>
          <w:b/>
          <w:bCs/>
          <w:color w:val="C9231E" w:themeColor="accent2"/>
        </w:rPr>
        <w:t>Long-term care and support</w:t>
      </w:r>
      <w:r>
        <w:rPr>
          <w:b/>
          <w:bCs/>
          <w:color w:val="C9231E" w:themeColor="accent2"/>
        </w:rPr>
        <w:t xml:space="preserve"> and palliative care</w:t>
      </w:r>
    </w:p>
    <w:p w14:paraId="03684889" w14:textId="7FF28F82" w:rsidR="00A642AC" w:rsidRPr="00301A96" w:rsidRDefault="00A642AC" w:rsidP="00795200">
      <w:pPr>
        <w:spacing w:line="276" w:lineRule="auto"/>
        <w:jc w:val="both"/>
        <w:rPr>
          <w:color w:val="000000" w:themeColor="text1"/>
          <w:sz w:val="18"/>
          <w:szCs w:val="22"/>
        </w:rPr>
      </w:pPr>
      <w:r w:rsidRPr="00301A96">
        <w:rPr>
          <w:color w:val="000000" w:themeColor="text1"/>
          <w:sz w:val="18"/>
          <w:szCs w:val="22"/>
        </w:rPr>
        <w:t>When asked about their lived experiences, many older people say there are no long-term care and support services available in their community other than the support provided by family members. Often, they also lack access to palliative care to help them die free from pain and unnecessary suffering.</w:t>
      </w:r>
      <w:r w:rsidRPr="00301A96">
        <w:rPr>
          <w:rStyle w:val="FootnoteReference"/>
          <w:color w:val="000000" w:themeColor="text1"/>
          <w:sz w:val="18"/>
          <w:szCs w:val="22"/>
        </w:rPr>
        <w:footnoteReference w:id="24"/>
      </w:r>
      <w:r w:rsidRPr="00301A96">
        <w:rPr>
          <w:color w:val="000000" w:themeColor="text1"/>
          <w:sz w:val="18"/>
          <w:szCs w:val="22"/>
        </w:rPr>
        <w:t xml:space="preserve"> Within international human rights law, however, there exists no explicit and comprehensive normative basis for the provision of long-term care and support for older persons, nor for palliative care.</w:t>
      </w:r>
      <w:r w:rsidRPr="00301A96">
        <w:rPr>
          <w:rStyle w:val="FootnoteReference"/>
          <w:color w:val="000000" w:themeColor="text1"/>
          <w:sz w:val="18"/>
          <w:szCs w:val="22"/>
        </w:rPr>
        <w:footnoteReference w:id="25"/>
      </w:r>
      <w:r w:rsidRPr="00301A96">
        <w:rPr>
          <w:color w:val="000000" w:themeColor="text1"/>
          <w:sz w:val="18"/>
          <w:szCs w:val="22"/>
        </w:rPr>
        <w:t xml:space="preserve"> </w:t>
      </w:r>
    </w:p>
    <w:p w14:paraId="21D4BFE1" w14:textId="6F5D30A5" w:rsidR="00A642AC" w:rsidRPr="00301A96" w:rsidRDefault="00A642AC" w:rsidP="00795200">
      <w:pPr>
        <w:spacing w:line="276" w:lineRule="auto"/>
        <w:jc w:val="both"/>
        <w:rPr>
          <w:color w:val="000000" w:themeColor="text1"/>
          <w:sz w:val="18"/>
          <w:szCs w:val="22"/>
        </w:rPr>
      </w:pPr>
      <w:r w:rsidRPr="00301A96">
        <w:rPr>
          <w:color w:val="000000" w:themeColor="text1"/>
          <w:sz w:val="18"/>
          <w:szCs w:val="22"/>
        </w:rPr>
        <w:t>Article 19 CRPD establishes the right to independent living for persons with disabilities, which applies to older persons with disabilities, and which includes provision of support services to enable such independent living. Some regional human rights standards recognise care and support for independent living in older age</w:t>
      </w:r>
      <w:r w:rsidRPr="00301A96">
        <w:rPr>
          <w:rStyle w:val="FootnoteReference"/>
          <w:color w:val="000000" w:themeColor="text1"/>
          <w:sz w:val="18"/>
          <w:szCs w:val="22"/>
        </w:rPr>
        <w:footnoteReference w:id="26"/>
      </w:r>
      <w:r w:rsidRPr="00301A96">
        <w:rPr>
          <w:color w:val="000000" w:themeColor="text1"/>
          <w:sz w:val="18"/>
          <w:szCs w:val="22"/>
        </w:rPr>
        <w:t xml:space="preserve"> and the right to palliative care</w:t>
      </w:r>
      <w:r w:rsidRPr="00301A96">
        <w:rPr>
          <w:rStyle w:val="FootnoteReference"/>
          <w:color w:val="000000" w:themeColor="text1"/>
          <w:sz w:val="18"/>
          <w:szCs w:val="22"/>
        </w:rPr>
        <w:footnoteReference w:id="27"/>
      </w:r>
      <w:r>
        <w:rPr>
          <w:color w:val="000000" w:themeColor="text1"/>
          <w:sz w:val="18"/>
          <w:szCs w:val="22"/>
        </w:rPr>
        <w:t xml:space="preserve"> as well.</w:t>
      </w:r>
      <w:r w:rsidRPr="00301A96">
        <w:rPr>
          <w:color w:val="000000" w:themeColor="text1"/>
          <w:sz w:val="18"/>
          <w:szCs w:val="22"/>
        </w:rPr>
        <w:t xml:space="preserve"> </w:t>
      </w:r>
      <w:r>
        <w:rPr>
          <w:color w:val="000000" w:themeColor="text1"/>
          <w:sz w:val="18"/>
          <w:szCs w:val="22"/>
        </w:rPr>
        <w:t>T</w:t>
      </w:r>
      <w:r w:rsidRPr="00301A96">
        <w:rPr>
          <w:color w:val="000000" w:themeColor="text1"/>
          <w:sz w:val="18"/>
          <w:szCs w:val="22"/>
        </w:rPr>
        <w:t>hese vary and are inconsistent across regions</w:t>
      </w:r>
      <w:r>
        <w:rPr>
          <w:color w:val="000000" w:themeColor="text1"/>
          <w:sz w:val="18"/>
          <w:szCs w:val="22"/>
        </w:rPr>
        <w:t xml:space="preserve"> but can help </w:t>
      </w:r>
      <w:r w:rsidRPr="00301A96">
        <w:rPr>
          <w:color w:val="000000" w:themeColor="text1"/>
          <w:sz w:val="18"/>
          <w:szCs w:val="22"/>
          <w:lang w:val="en-US"/>
        </w:rPr>
        <w:t>contribute to a better</w:t>
      </w:r>
      <w:r>
        <w:rPr>
          <w:color w:val="000000" w:themeColor="text1"/>
          <w:sz w:val="18"/>
          <w:szCs w:val="22"/>
          <w:lang w:val="en-US"/>
        </w:rPr>
        <w:t xml:space="preserve"> </w:t>
      </w:r>
      <w:r w:rsidRPr="00301A96">
        <w:rPr>
          <w:color w:val="000000" w:themeColor="text1"/>
          <w:sz w:val="18"/>
          <w:szCs w:val="22"/>
          <w:lang w:val="en-US"/>
        </w:rPr>
        <w:t xml:space="preserve">understanding of the role </w:t>
      </w:r>
      <w:r>
        <w:rPr>
          <w:color w:val="000000" w:themeColor="text1"/>
          <w:sz w:val="18"/>
          <w:szCs w:val="22"/>
          <w:lang w:val="en-US"/>
        </w:rPr>
        <w:t xml:space="preserve">and responsibilities </w:t>
      </w:r>
      <w:r w:rsidRPr="00301A96">
        <w:rPr>
          <w:color w:val="000000" w:themeColor="text1"/>
          <w:sz w:val="18"/>
          <w:szCs w:val="22"/>
          <w:lang w:val="en-US"/>
        </w:rPr>
        <w:t>of the state</w:t>
      </w:r>
      <w:r>
        <w:rPr>
          <w:color w:val="000000" w:themeColor="text1"/>
          <w:sz w:val="18"/>
          <w:szCs w:val="22"/>
          <w:lang w:val="en-US"/>
        </w:rPr>
        <w:t xml:space="preserve"> in this regard. </w:t>
      </w:r>
      <w:r w:rsidRPr="00301A96">
        <w:rPr>
          <w:color w:val="000000" w:themeColor="text1"/>
          <w:sz w:val="18"/>
          <w:szCs w:val="22"/>
        </w:rPr>
        <w:t>Central to these standards is that care and support services should enable older people to live independent and autonomous lives. Framing older people’s right to care and support services in the context of independent living will ensure those services enable older people to lead autonomous and independent lives in any setting they choose to live.</w:t>
      </w:r>
      <w:r w:rsidRPr="00301A96">
        <w:rPr>
          <w:rStyle w:val="FootnoteReference"/>
          <w:color w:val="000000" w:themeColor="text1"/>
          <w:sz w:val="18"/>
          <w:szCs w:val="22"/>
        </w:rPr>
        <w:footnoteReference w:id="28"/>
      </w:r>
    </w:p>
    <w:p w14:paraId="60AC1F1E" w14:textId="6A039F9C" w:rsidR="00A642AC" w:rsidRPr="00301A96" w:rsidRDefault="00A642AC" w:rsidP="00795200">
      <w:pPr>
        <w:spacing w:line="276" w:lineRule="auto"/>
        <w:jc w:val="both"/>
        <w:rPr>
          <w:b/>
          <w:bCs/>
          <w:color w:val="000000" w:themeColor="text1"/>
          <w:sz w:val="18"/>
          <w:szCs w:val="22"/>
        </w:rPr>
      </w:pPr>
      <w:r w:rsidRPr="00301A96">
        <w:rPr>
          <w:b/>
          <w:bCs/>
          <w:color w:val="000000" w:themeColor="text1"/>
          <w:sz w:val="18"/>
          <w:szCs w:val="22"/>
        </w:rPr>
        <w:t>Recommendations</w:t>
      </w:r>
    </w:p>
    <w:p w14:paraId="01BCD96D" w14:textId="4A21FD77" w:rsidR="00A642AC" w:rsidRPr="00301A96" w:rsidRDefault="00A642AC" w:rsidP="00795200">
      <w:pPr>
        <w:spacing w:line="276" w:lineRule="auto"/>
        <w:jc w:val="both"/>
        <w:rPr>
          <w:color w:val="000000" w:themeColor="text1"/>
          <w:sz w:val="18"/>
          <w:szCs w:val="22"/>
        </w:rPr>
      </w:pPr>
      <w:r>
        <w:rPr>
          <w:color w:val="000000" w:themeColor="text1"/>
          <w:sz w:val="18"/>
          <w:szCs w:val="22"/>
        </w:rPr>
        <w:t xml:space="preserve">There is a need for a clear articulation in international human rights law of the right to long-term care and support for older persons, as well as their right to palliative care. </w:t>
      </w:r>
      <w:r w:rsidRPr="00301A96">
        <w:rPr>
          <w:color w:val="000000" w:themeColor="text1"/>
          <w:sz w:val="18"/>
          <w:szCs w:val="22"/>
        </w:rPr>
        <w:t>Older persons’ right to care and support for independent living should apply to</w:t>
      </w:r>
      <w:r w:rsidRPr="006979CB">
        <w:rPr>
          <w:i/>
          <w:iCs/>
          <w:color w:val="000000" w:themeColor="text1"/>
          <w:sz w:val="18"/>
          <w:szCs w:val="22"/>
        </w:rPr>
        <w:t xml:space="preserve"> all</w:t>
      </w:r>
      <w:r w:rsidRPr="00301A96">
        <w:rPr>
          <w:color w:val="000000" w:themeColor="text1"/>
          <w:sz w:val="18"/>
          <w:szCs w:val="22"/>
        </w:rPr>
        <w:t xml:space="preserve"> settings, public and private.</w:t>
      </w:r>
      <w:r w:rsidRPr="00301A96">
        <w:rPr>
          <w:rFonts w:ascii="Times New Roman" w:hAnsi="Times New Roman"/>
          <w:szCs w:val="20"/>
          <w:lang w:eastAsia="en-GB"/>
        </w:rPr>
        <w:t xml:space="preserve"> It </w:t>
      </w:r>
      <w:r w:rsidRPr="00301A96">
        <w:rPr>
          <w:color w:val="000000" w:themeColor="text1"/>
          <w:sz w:val="18"/>
          <w:szCs w:val="22"/>
        </w:rPr>
        <w:t xml:space="preserve">should provide access to a range of care and support services </w:t>
      </w:r>
      <w:r>
        <w:rPr>
          <w:color w:val="000000" w:themeColor="text1"/>
          <w:sz w:val="18"/>
          <w:szCs w:val="22"/>
        </w:rPr>
        <w:t>that are</w:t>
      </w:r>
      <w:r w:rsidRPr="00301A96">
        <w:rPr>
          <w:color w:val="000000" w:themeColor="text1"/>
          <w:sz w:val="18"/>
          <w:szCs w:val="22"/>
        </w:rPr>
        <w:t xml:space="preserve"> easily available and affordable and should ensure older people can enjoy their right to choose where they live and with whom on an equal basis with others.</w:t>
      </w:r>
      <w:r>
        <w:rPr>
          <w:color w:val="000000" w:themeColor="text1"/>
          <w:sz w:val="18"/>
          <w:szCs w:val="22"/>
        </w:rPr>
        <w:t xml:space="preserve"> The right should</w:t>
      </w:r>
      <w:r w:rsidRPr="00301A96">
        <w:rPr>
          <w:color w:val="000000" w:themeColor="text1"/>
          <w:sz w:val="18"/>
          <w:szCs w:val="22"/>
        </w:rPr>
        <w:t xml:space="preserve"> </w:t>
      </w:r>
      <w:r>
        <w:rPr>
          <w:color w:val="000000" w:themeColor="text1"/>
          <w:sz w:val="18"/>
          <w:szCs w:val="22"/>
        </w:rPr>
        <w:t xml:space="preserve">be </w:t>
      </w:r>
      <w:r w:rsidRPr="00301A96">
        <w:rPr>
          <w:color w:val="000000" w:themeColor="text1"/>
          <w:sz w:val="18"/>
          <w:szCs w:val="22"/>
        </w:rPr>
        <w:t xml:space="preserve">unrelated to their income </w:t>
      </w:r>
      <w:r>
        <w:rPr>
          <w:color w:val="000000" w:themeColor="text1"/>
          <w:sz w:val="18"/>
          <w:szCs w:val="22"/>
        </w:rPr>
        <w:t>or that of</w:t>
      </w:r>
      <w:r w:rsidRPr="00301A96">
        <w:rPr>
          <w:color w:val="000000" w:themeColor="text1"/>
          <w:sz w:val="18"/>
          <w:szCs w:val="22"/>
        </w:rPr>
        <w:t xml:space="preserve"> family members. Care and support services should be adapted to older people’s individual needs and preferences</w:t>
      </w:r>
      <w:r>
        <w:rPr>
          <w:color w:val="000000" w:themeColor="text1"/>
          <w:sz w:val="18"/>
          <w:szCs w:val="22"/>
        </w:rPr>
        <w:t xml:space="preserve"> and o</w:t>
      </w:r>
      <w:r w:rsidRPr="00301A96">
        <w:rPr>
          <w:color w:val="000000" w:themeColor="text1"/>
          <w:sz w:val="18"/>
          <w:szCs w:val="22"/>
        </w:rPr>
        <w:t>lder people</w:t>
      </w:r>
      <w:r>
        <w:rPr>
          <w:color w:val="000000" w:themeColor="text1"/>
          <w:sz w:val="18"/>
          <w:szCs w:val="22"/>
        </w:rPr>
        <w:t>’s autonomy should be guaranteed in all aspects of long-term care and support, including by ensuring access to supported decision-making.</w:t>
      </w:r>
      <w:r>
        <w:rPr>
          <w:rStyle w:val="FootnoteReference"/>
          <w:color w:val="000000" w:themeColor="text1"/>
          <w:sz w:val="18"/>
          <w:szCs w:val="22"/>
        </w:rPr>
        <w:footnoteReference w:id="29"/>
      </w:r>
    </w:p>
    <w:p w14:paraId="114A94E4" w14:textId="1CCD7A9F" w:rsidR="00A642AC" w:rsidRPr="00301A96" w:rsidRDefault="00A642AC" w:rsidP="00183269">
      <w:pPr>
        <w:spacing w:after="240" w:line="276" w:lineRule="auto"/>
        <w:jc w:val="both"/>
        <w:rPr>
          <w:color w:val="000000" w:themeColor="text1"/>
          <w:sz w:val="18"/>
          <w:szCs w:val="22"/>
        </w:rPr>
      </w:pPr>
      <w:r w:rsidRPr="00301A96">
        <w:rPr>
          <w:color w:val="000000" w:themeColor="text1"/>
          <w:sz w:val="18"/>
          <w:szCs w:val="22"/>
        </w:rPr>
        <w:t xml:space="preserve">Older people </w:t>
      </w:r>
      <w:r>
        <w:rPr>
          <w:color w:val="000000" w:themeColor="text1"/>
          <w:sz w:val="18"/>
          <w:szCs w:val="22"/>
        </w:rPr>
        <w:t xml:space="preserve">should also </w:t>
      </w:r>
      <w:r w:rsidRPr="00301A96">
        <w:rPr>
          <w:color w:val="000000" w:themeColor="text1"/>
          <w:sz w:val="18"/>
          <w:szCs w:val="22"/>
        </w:rPr>
        <w:t xml:space="preserve">have the right to </w:t>
      </w:r>
      <w:r>
        <w:rPr>
          <w:color w:val="000000" w:themeColor="text1"/>
          <w:sz w:val="18"/>
          <w:szCs w:val="22"/>
        </w:rPr>
        <w:t xml:space="preserve">holistic </w:t>
      </w:r>
      <w:r w:rsidRPr="00301A96">
        <w:rPr>
          <w:color w:val="000000" w:themeColor="text1"/>
          <w:sz w:val="18"/>
          <w:szCs w:val="22"/>
        </w:rPr>
        <w:t>palliative care without discrimination of any kind</w:t>
      </w:r>
      <w:r>
        <w:rPr>
          <w:color w:val="000000" w:themeColor="text1"/>
          <w:sz w:val="18"/>
          <w:szCs w:val="22"/>
        </w:rPr>
        <w:t xml:space="preserve">, that applies in </w:t>
      </w:r>
      <w:r w:rsidRPr="006979CB">
        <w:rPr>
          <w:i/>
          <w:iCs/>
          <w:color w:val="000000" w:themeColor="text1"/>
          <w:sz w:val="18"/>
          <w:szCs w:val="22"/>
        </w:rPr>
        <w:t>all</w:t>
      </w:r>
      <w:r>
        <w:rPr>
          <w:color w:val="000000" w:themeColor="text1"/>
          <w:sz w:val="18"/>
          <w:szCs w:val="22"/>
        </w:rPr>
        <w:t xml:space="preserve"> settings</w:t>
      </w:r>
      <w:r w:rsidRPr="00301A96">
        <w:rPr>
          <w:color w:val="000000" w:themeColor="text1"/>
          <w:sz w:val="18"/>
          <w:szCs w:val="22"/>
        </w:rPr>
        <w:t xml:space="preserve"> and </w:t>
      </w:r>
      <w:r>
        <w:rPr>
          <w:color w:val="000000" w:themeColor="text1"/>
          <w:sz w:val="18"/>
          <w:szCs w:val="22"/>
        </w:rPr>
        <w:t xml:space="preserve">is </w:t>
      </w:r>
      <w:r w:rsidRPr="00301A96">
        <w:rPr>
          <w:color w:val="000000" w:themeColor="text1"/>
          <w:sz w:val="18"/>
          <w:szCs w:val="22"/>
        </w:rPr>
        <w:t>not limited to pain relief or any particular treatment.</w:t>
      </w:r>
      <w:r>
        <w:rPr>
          <w:color w:val="000000" w:themeColor="text1"/>
          <w:sz w:val="18"/>
          <w:szCs w:val="22"/>
        </w:rPr>
        <w:t xml:space="preserve"> </w:t>
      </w:r>
      <w:r w:rsidRPr="00301A96">
        <w:rPr>
          <w:color w:val="000000" w:themeColor="text1"/>
          <w:sz w:val="18"/>
          <w:szCs w:val="22"/>
        </w:rPr>
        <w:t>Palliative care services</w:t>
      </w:r>
      <w:r>
        <w:rPr>
          <w:color w:val="000000" w:themeColor="text1"/>
          <w:sz w:val="18"/>
          <w:szCs w:val="22"/>
        </w:rPr>
        <w:t>, including medicines,</w:t>
      </w:r>
      <w:r w:rsidRPr="00301A96">
        <w:rPr>
          <w:color w:val="000000" w:themeColor="text1"/>
          <w:sz w:val="18"/>
          <w:szCs w:val="22"/>
        </w:rPr>
        <w:t xml:space="preserve"> should be affordable, available and accessible for older people. Older people should have the right and opportunity to make free and informed decisions</w:t>
      </w:r>
      <w:r>
        <w:rPr>
          <w:color w:val="000000" w:themeColor="text1"/>
          <w:sz w:val="18"/>
          <w:szCs w:val="22"/>
        </w:rPr>
        <w:t xml:space="preserve"> and </w:t>
      </w:r>
      <w:r w:rsidRPr="00301A96">
        <w:rPr>
          <w:color w:val="000000" w:themeColor="text1"/>
          <w:sz w:val="18"/>
          <w:szCs w:val="22"/>
        </w:rPr>
        <w:t xml:space="preserve">have access to palliative care in settings </w:t>
      </w:r>
      <w:r w:rsidRPr="00301A96">
        <w:rPr>
          <w:color w:val="000000" w:themeColor="text1"/>
          <w:sz w:val="16"/>
          <w:szCs w:val="21"/>
        </w:rPr>
        <w:t>that</w:t>
      </w:r>
      <w:r w:rsidRPr="00301A96">
        <w:rPr>
          <w:color w:val="000000" w:themeColor="text1"/>
          <w:sz w:val="18"/>
          <w:szCs w:val="22"/>
        </w:rPr>
        <w:t xml:space="preserve"> </w:t>
      </w:r>
      <w:r w:rsidRPr="00301A96">
        <w:rPr>
          <w:color w:val="000000" w:themeColor="text1"/>
          <w:sz w:val="18"/>
          <w:szCs w:val="18"/>
        </w:rPr>
        <w:t>meet their needs, will and preferences,</w:t>
      </w:r>
      <w:r w:rsidRPr="00301A96">
        <w:rPr>
          <w:rFonts w:ascii="Times New Roman" w:hAnsi="Times New Roman"/>
          <w:szCs w:val="20"/>
          <w:lang w:eastAsia="en-GB"/>
        </w:rPr>
        <w:t xml:space="preserve"> </w:t>
      </w:r>
      <w:r w:rsidRPr="00301A96">
        <w:rPr>
          <w:color w:val="000000" w:themeColor="text1"/>
          <w:sz w:val="18"/>
          <w:szCs w:val="18"/>
        </w:rPr>
        <w:t>including at home and in residential facilities.</w:t>
      </w:r>
      <w:r>
        <w:rPr>
          <w:color w:val="000000" w:themeColor="text1"/>
          <w:sz w:val="18"/>
          <w:szCs w:val="22"/>
        </w:rPr>
        <w:t xml:space="preserve"> </w:t>
      </w:r>
      <w:r>
        <w:rPr>
          <w:color w:val="000000" w:themeColor="text1"/>
          <w:sz w:val="18"/>
          <w:szCs w:val="18"/>
        </w:rPr>
        <w:t xml:space="preserve">Older persons’ autonomy should also be guaranteed in all aspects of palliative care, including by providing for </w:t>
      </w:r>
      <w:r w:rsidRPr="00301A96">
        <w:rPr>
          <w:color w:val="000000" w:themeColor="text1"/>
          <w:sz w:val="18"/>
          <w:szCs w:val="18"/>
        </w:rPr>
        <w:t>supported decision</w:t>
      </w:r>
      <w:r>
        <w:rPr>
          <w:color w:val="000000" w:themeColor="text1"/>
          <w:sz w:val="18"/>
          <w:szCs w:val="18"/>
        </w:rPr>
        <w:t>-making</w:t>
      </w:r>
      <w:r w:rsidRPr="00301A96">
        <w:rPr>
          <w:color w:val="000000" w:themeColor="text1"/>
          <w:sz w:val="18"/>
          <w:szCs w:val="18"/>
        </w:rPr>
        <w:t xml:space="preserve"> processes where necessary, while making sure older people retain legal capacity. States should ensure adequate and appropriate training of health personnel in palliative care</w:t>
      </w:r>
      <w:r>
        <w:rPr>
          <w:color w:val="000000" w:themeColor="text1"/>
          <w:sz w:val="18"/>
          <w:szCs w:val="18"/>
        </w:rPr>
        <w:t xml:space="preserve"> and</w:t>
      </w:r>
      <w:r w:rsidRPr="00301A96">
        <w:rPr>
          <w:color w:val="000000" w:themeColor="text1"/>
          <w:sz w:val="18"/>
          <w:szCs w:val="18"/>
        </w:rPr>
        <w:t xml:space="preserve"> ensure regulation of all palliative care providers and monitoring of their compliance with professional obligations and standards.</w:t>
      </w:r>
      <w:r w:rsidRPr="00301A96">
        <w:rPr>
          <w:rStyle w:val="FootnoteReference"/>
          <w:color w:val="000000" w:themeColor="text1"/>
          <w:sz w:val="18"/>
          <w:szCs w:val="18"/>
        </w:rPr>
        <w:footnoteReference w:id="30"/>
      </w:r>
    </w:p>
    <w:p w14:paraId="6D8CE9D3" w14:textId="76715F1E" w:rsidR="00224355" w:rsidRPr="00301A96" w:rsidRDefault="005A4644" w:rsidP="00795200">
      <w:pPr>
        <w:pStyle w:val="ListParagraph"/>
        <w:numPr>
          <w:ilvl w:val="0"/>
          <w:numId w:val="36"/>
        </w:numPr>
        <w:spacing w:line="276" w:lineRule="auto"/>
        <w:ind w:left="357" w:hanging="357"/>
        <w:outlineLvl w:val="1"/>
        <w:rPr>
          <w:b/>
          <w:bCs/>
          <w:color w:val="C9231E" w:themeColor="accent2"/>
        </w:rPr>
      </w:pPr>
      <w:r>
        <w:rPr>
          <w:b/>
          <w:bCs/>
          <w:color w:val="C9231E" w:themeColor="accent2"/>
        </w:rPr>
        <w:t>Concluding remarks</w:t>
      </w:r>
    </w:p>
    <w:p w14:paraId="5906FD9F" w14:textId="633CF071" w:rsidR="005A4644" w:rsidRDefault="004E2E9B" w:rsidP="00795200">
      <w:pPr>
        <w:spacing w:line="276" w:lineRule="auto"/>
        <w:jc w:val="both"/>
        <w:rPr>
          <w:color w:val="000000" w:themeColor="text1"/>
          <w:sz w:val="18"/>
          <w:szCs w:val="22"/>
        </w:rPr>
      </w:pPr>
      <w:r w:rsidRPr="00301A96">
        <w:rPr>
          <w:color w:val="000000" w:themeColor="text1"/>
          <w:sz w:val="18"/>
          <w:szCs w:val="22"/>
        </w:rPr>
        <w:t xml:space="preserve">An analysis of the international human rights framework shows a significant gap in the promotion and protection of the rights of older persons. </w:t>
      </w:r>
      <w:r w:rsidR="00660E74" w:rsidRPr="00301A96">
        <w:rPr>
          <w:color w:val="000000" w:themeColor="text1"/>
          <w:sz w:val="18"/>
          <w:szCs w:val="22"/>
        </w:rPr>
        <w:t xml:space="preserve">Although the list of rights discussed </w:t>
      </w:r>
      <w:r w:rsidR="00256296">
        <w:rPr>
          <w:color w:val="000000" w:themeColor="text1"/>
          <w:sz w:val="18"/>
          <w:szCs w:val="22"/>
        </w:rPr>
        <w:t xml:space="preserve">here </w:t>
      </w:r>
      <w:r w:rsidR="005A4644" w:rsidRPr="00301A96">
        <w:rPr>
          <w:color w:val="000000" w:themeColor="text1"/>
          <w:sz w:val="18"/>
          <w:szCs w:val="22"/>
        </w:rPr>
        <w:t>is</w:t>
      </w:r>
      <w:r w:rsidR="00660E74" w:rsidRPr="00301A96">
        <w:rPr>
          <w:color w:val="000000" w:themeColor="text1"/>
          <w:sz w:val="18"/>
          <w:szCs w:val="22"/>
        </w:rPr>
        <w:t xml:space="preserve"> by no means exhaustive, it</w:t>
      </w:r>
      <w:r w:rsidR="005A4644">
        <w:rPr>
          <w:color w:val="000000" w:themeColor="text1"/>
          <w:sz w:val="18"/>
          <w:szCs w:val="22"/>
        </w:rPr>
        <w:t xml:space="preserve"> demonstrates that existing rights provisions fail to clarify the scope </w:t>
      </w:r>
      <w:r w:rsidR="00DA15E0">
        <w:rPr>
          <w:color w:val="000000" w:themeColor="text1"/>
          <w:sz w:val="18"/>
          <w:szCs w:val="22"/>
        </w:rPr>
        <w:t>of</w:t>
      </w:r>
      <w:r w:rsidR="005A4644">
        <w:rPr>
          <w:color w:val="000000" w:themeColor="text1"/>
          <w:sz w:val="18"/>
          <w:szCs w:val="22"/>
        </w:rPr>
        <w:t xml:space="preserve"> States</w:t>
      </w:r>
      <w:r w:rsidR="00DA15E0">
        <w:rPr>
          <w:color w:val="000000" w:themeColor="text1"/>
          <w:sz w:val="18"/>
          <w:szCs w:val="22"/>
        </w:rPr>
        <w:t>’</w:t>
      </w:r>
      <w:r w:rsidR="005A4644">
        <w:rPr>
          <w:color w:val="000000" w:themeColor="text1"/>
          <w:sz w:val="18"/>
          <w:szCs w:val="22"/>
        </w:rPr>
        <w:t xml:space="preserve"> obligations in the context of old age. Especially</w:t>
      </w:r>
      <w:r w:rsidR="005807F4" w:rsidRPr="00301A96">
        <w:rPr>
          <w:color w:val="000000" w:themeColor="text1"/>
          <w:sz w:val="18"/>
          <w:szCs w:val="22"/>
        </w:rPr>
        <w:t xml:space="preserve"> when comparing the normative content of existing norms of a general nature with those adopted at the regional level focusing on older persons specifically, it </w:t>
      </w:r>
      <w:r w:rsidR="005A4644">
        <w:rPr>
          <w:color w:val="000000" w:themeColor="text1"/>
          <w:sz w:val="18"/>
          <w:szCs w:val="22"/>
        </w:rPr>
        <w:t>is clear that it</w:t>
      </w:r>
      <w:r w:rsidR="005807F4" w:rsidRPr="00301A96">
        <w:rPr>
          <w:color w:val="000000" w:themeColor="text1"/>
          <w:sz w:val="18"/>
          <w:szCs w:val="22"/>
        </w:rPr>
        <w:t xml:space="preserve"> would take a great deal of awareness and proactiveness of judges to interpret those general provisions in a way that effectively protects older persons’ rights and adequately takes into account their particular needs.</w:t>
      </w:r>
      <w:r w:rsidR="005A4644">
        <w:rPr>
          <w:color w:val="000000" w:themeColor="text1"/>
          <w:sz w:val="18"/>
          <w:szCs w:val="22"/>
        </w:rPr>
        <w:t xml:space="preserve"> This lack of an older persons’ perspective in international human rights law supports claims for a new global binding instrument to fill these gaps.   </w:t>
      </w:r>
    </w:p>
    <w:p w14:paraId="33E11045" w14:textId="5C39EC26" w:rsidR="00183269" w:rsidRDefault="00183269" w:rsidP="00795200">
      <w:pPr>
        <w:spacing w:line="276" w:lineRule="auto"/>
        <w:jc w:val="both"/>
        <w:rPr>
          <w:color w:val="000000" w:themeColor="text1"/>
          <w:sz w:val="18"/>
          <w:szCs w:val="22"/>
        </w:rPr>
      </w:pPr>
    </w:p>
    <w:p w14:paraId="352559C7" w14:textId="77777777" w:rsidR="00183269" w:rsidRPr="00301A96" w:rsidRDefault="00183269" w:rsidP="00795200">
      <w:pPr>
        <w:spacing w:line="276" w:lineRule="auto"/>
        <w:jc w:val="both"/>
        <w:rPr>
          <w:color w:val="000000" w:themeColor="text1"/>
          <w:sz w:val="18"/>
          <w:szCs w:val="22"/>
        </w:rPr>
      </w:pPr>
    </w:p>
    <w:p w14:paraId="0A34E4A6" w14:textId="7F2882A7" w:rsidR="00BB71AE" w:rsidRPr="00256296" w:rsidRDefault="00BB71AE" w:rsidP="00256296">
      <w:pPr>
        <w:pStyle w:val="Heading3"/>
      </w:pPr>
    </w:p>
    <w:p w14:paraId="3602C666" w14:textId="3458EDDC" w:rsidR="00BB71AE" w:rsidRDefault="00BB71AE" w:rsidP="00256296">
      <w:pPr>
        <w:rPr>
          <w:sz w:val="18"/>
          <w:szCs w:val="22"/>
        </w:rPr>
      </w:pPr>
      <w:r w:rsidRPr="00301A96">
        <w:rPr>
          <w:sz w:val="18"/>
          <w:szCs w:val="22"/>
        </w:rPr>
        <w:t xml:space="preserve">For further information, contact Marijke De Pauw, Global Rights Policy Adviser, HelpAge International: </w:t>
      </w:r>
      <w:hyperlink r:id="rId12" w:history="1">
        <w:r w:rsidRPr="00256296">
          <w:rPr>
            <w:rStyle w:val="Hyperlink"/>
            <w:color w:val="0432FF"/>
            <w:sz w:val="18"/>
            <w:szCs w:val="22"/>
            <w:u w:val="single"/>
          </w:rPr>
          <w:t>marijke.depauw@helpage.org</w:t>
        </w:r>
      </w:hyperlink>
      <w:r w:rsidR="00D4286B" w:rsidRPr="00256296">
        <w:rPr>
          <w:rStyle w:val="Hyperlink"/>
          <w:color w:val="0070C0"/>
          <w:sz w:val="16"/>
          <w:szCs w:val="21"/>
        </w:rPr>
        <w:t xml:space="preserve"> </w:t>
      </w:r>
      <w:r w:rsidRPr="00256296">
        <w:rPr>
          <w:color w:val="0070C0"/>
          <w:sz w:val="16"/>
          <w:szCs w:val="21"/>
        </w:rPr>
        <w:t xml:space="preserve">  </w:t>
      </w:r>
      <w:r w:rsidR="00256296" w:rsidRPr="00256296">
        <w:rPr>
          <w:color w:val="0070C0"/>
          <w:sz w:val="16"/>
          <w:szCs w:val="21"/>
        </w:rPr>
        <w:t xml:space="preserve"> </w:t>
      </w:r>
    </w:p>
    <w:p w14:paraId="3EA1F148" w14:textId="77777777" w:rsidR="00256296" w:rsidRPr="00301A96" w:rsidRDefault="00256296" w:rsidP="001628E0">
      <w:pPr>
        <w:rPr>
          <w:sz w:val="18"/>
          <w:szCs w:val="22"/>
        </w:rPr>
      </w:pPr>
    </w:p>
    <w:p w14:paraId="7BD84B15" w14:textId="38DBCC64" w:rsidR="00BB71AE" w:rsidRPr="00795200" w:rsidRDefault="00BB71AE" w:rsidP="001628E0">
      <w:pPr>
        <w:rPr>
          <w:b/>
          <w:bCs/>
          <w:sz w:val="18"/>
          <w:szCs w:val="22"/>
        </w:rPr>
      </w:pPr>
    </w:p>
    <w:sectPr w:rsidR="00BB71AE" w:rsidRPr="00795200" w:rsidSect="00C61088">
      <w:headerReference w:type="default" r:id="rId13"/>
      <w:footerReference w:type="even" r:id="rId14"/>
      <w:footerReference w:type="default" r:id="rId15"/>
      <w:headerReference w:type="first" r:id="rId16"/>
      <w:endnotePr>
        <w:numFmt w:val="decimal"/>
      </w:endnotePr>
      <w:type w:val="continuous"/>
      <w:pgSz w:w="11901" w:h="16840"/>
      <w:pgMar w:top="1440" w:right="1080" w:bottom="1440" w:left="1080" w:header="680" w:footer="45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4C64" w14:textId="77777777" w:rsidR="00933A07" w:rsidRPr="00793B54" w:rsidRDefault="00933A07" w:rsidP="003117C7">
      <w:pPr>
        <w:pStyle w:val="EndnoteText"/>
        <w:spacing w:after="0"/>
        <w:rPr>
          <w:sz w:val="4"/>
          <w:szCs w:val="4"/>
        </w:rPr>
      </w:pPr>
    </w:p>
  </w:endnote>
  <w:endnote w:type="continuationSeparator" w:id="0">
    <w:p w14:paraId="266D459C" w14:textId="77777777" w:rsidR="00933A07" w:rsidRDefault="00933A07">
      <w:pPr>
        <w:spacing w:after="0"/>
      </w:pPr>
      <w:r>
        <w:continuationSeparator/>
      </w:r>
    </w:p>
    <w:p w14:paraId="49142C31" w14:textId="77777777" w:rsidR="00933A07" w:rsidRDefault="00933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exia XBold">
    <w:charset w:val="4D"/>
    <w:family w:val="auto"/>
    <w:pitch w:val="variable"/>
    <w:sig w:usb0="A00000AF" w:usb1="5000205B"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3A30" w14:textId="77777777" w:rsidR="00BD37F4" w:rsidRDefault="00BD37F4" w:rsidP="00C610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2F42" w14:textId="77777777" w:rsidR="00BD37F4" w:rsidRDefault="00BD37F4" w:rsidP="00A9389B">
    <w:pPr>
      <w:pStyle w:val="Footer"/>
      <w:ind w:right="360"/>
    </w:pPr>
  </w:p>
  <w:p w14:paraId="6B82DF6D" w14:textId="77777777" w:rsidR="00BD37F4" w:rsidRDefault="00BD37F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812467"/>
      <w:docPartObj>
        <w:docPartGallery w:val="Page Numbers (Bottom of Page)"/>
        <w:docPartUnique/>
      </w:docPartObj>
    </w:sdtPr>
    <w:sdtEndPr>
      <w:rPr>
        <w:rStyle w:val="PageNumber"/>
      </w:rPr>
    </w:sdtEndPr>
    <w:sdtContent>
      <w:p w14:paraId="4ACEB452" w14:textId="4FCD36F6" w:rsidR="00C61088" w:rsidRDefault="00C61088" w:rsidP="00C61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09B6">
          <w:rPr>
            <w:rStyle w:val="PageNumber"/>
            <w:noProof/>
          </w:rPr>
          <w:t>1</w:t>
        </w:r>
        <w:r>
          <w:rPr>
            <w:rStyle w:val="PageNumber"/>
          </w:rPr>
          <w:fldChar w:fldCharType="end"/>
        </w:r>
      </w:p>
    </w:sdtContent>
  </w:sdt>
  <w:p w14:paraId="344C3678" w14:textId="3E1871B3" w:rsidR="00BD37F4" w:rsidRDefault="00BD37F4" w:rsidP="00C61088">
    <w:pPr>
      <w:pStyle w:val="Header"/>
      <w:tabs>
        <w:tab w:val="clear" w:pos="8278"/>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90F9" w14:textId="77777777" w:rsidR="00933A07" w:rsidRDefault="00933A07">
      <w:pPr>
        <w:spacing w:after="0"/>
      </w:pPr>
      <w:r>
        <w:separator/>
      </w:r>
    </w:p>
    <w:p w14:paraId="7B207832" w14:textId="77777777" w:rsidR="00933A07" w:rsidRDefault="00933A07"/>
  </w:footnote>
  <w:footnote w:type="continuationSeparator" w:id="0">
    <w:p w14:paraId="279F19C2" w14:textId="77777777" w:rsidR="00933A07" w:rsidRDefault="00933A07">
      <w:pPr>
        <w:spacing w:after="0"/>
      </w:pPr>
      <w:r>
        <w:continuationSeparator/>
      </w:r>
    </w:p>
    <w:p w14:paraId="1DABF927" w14:textId="77777777" w:rsidR="00933A07" w:rsidRDefault="00933A07"/>
  </w:footnote>
  <w:footnote w:id="1">
    <w:p w14:paraId="1F738E0D" w14:textId="4D262A80" w:rsidR="00A642AC" w:rsidRPr="00CF4AD3" w:rsidRDefault="00A642AC">
      <w:pPr>
        <w:pStyle w:val="FootnoteText"/>
        <w:rPr>
          <w:lang w:val="en-US"/>
        </w:rPr>
      </w:pPr>
      <w:r>
        <w:rPr>
          <w:rStyle w:val="FootnoteReference"/>
        </w:rPr>
        <w:footnoteRef/>
      </w:r>
      <w:r>
        <w:t xml:space="preserve"> </w:t>
      </w:r>
      <w:r w:rsidRPr="00CF4AD3">
        <w:rPr>
          <w:lang w:val="en-US"/>
        </w:rPr>
        <w:t xml:space="preserve">With the exception of </w:t>
      </w:r>
      <w:r w:rsidRPr="002C007F">
        <w:rPr>
          <w:lang w:val="en-US"/>
        </w:rPr>
        <w:t xml:space="preserve">Article 7 </w:t>
      </w:r>
      <w:r>
        <w:rPr>
          <w:lang w:val="en-US"/>
        </w:rPr>
        <w:t xml:space="preserve">of the </w:t>
      </w:r>
      <w:r w:rsidRPr="00901482">
        <w:t>Convention on the Rights of Migrant Workers</w:t>
      </w:r>
      <w:r>
        <w:t xml:space="preserve">. </w:t>
      </w:r>
      <w:r>
        <w:rPr>
          <w:lang w:val="en-US"/>
        </w:rPr>
        <w:t xml:space="preserve"> </w:t>
      </w:r>
    </w:p>
  </w:footnote>
  <w:footnote w:id="2">
    <w:p w14:paraId="5331211E" w14:textId="35D2FAA9" w:rsidR="00A642AC" w:rsidRPr="002C007F" w:rsidRDefault="00A642AC" w:rsidP="00463937">
      <w:pPr>
        <w:pStyle w:val="FootnoteText"/>
        <w:rPr>
          <w:lang w:val="en-US"/>
        </w:rPr>
      </w:pPr>
      <w:r w:rsidRPr="002C007F">
        <w:rPr>
          <w:rStyle w:val="FootnoteReference"/>
          <w:szCs w:val="16"/>
          <w:lang w:val="en-US"/>
        </w:rPr>
        <w:footnoteRef/>
      </w:r>
      <w:r w:rsidRPr="002C007F">
        <w:rPr>
          <w:lang w:val="en-US"/>
        </w:rPr>
        <w:t xml:space="preserve"> </w:t>
      </w:r>
      <w:r>
        <w:rPr>
          <w:lang w:val="en-US"/>
        </w:rPr>
        <w:t xml:space="preserve">E.g. </w:t>
      </w:r>
      <w:r w:rsidRPr="002C007F">
        <w:rPr>
          <w:lang w:val="en-US"/>
        </w:rPr>
        <w:t>Articles 2(1) and 26 I</w:t>
      </w:r>
      <w:r>
        <w:rPr>
          <w:lang w:val="en-US"/>
        </w:rPr>
        <w:t>nternational Covenant on Civil and Political Rights (ICCPR)</w:t>
      </w:r>
      <w:r w:rsidRPr="002C007F">
        <w:rPr>
          <w:lang w:val="en-US"/>
        </w:rPr>
        <w:t xml:space="preserve">; Article 2 (2) </w:t>
      </w:r>
      <w:r>
        <w:rPr>
          <w:lang w:val="en-US"/>
        </w:rPr>
        <w:t>International Covenant on Economic, Social and Cultural Rights (CESCR); Article 5 Convention on the Rights of Persons with Disabilities (CRPD)</w:t>
      </w:r>
      <w:r w:rsidRPr="002C007F">
        <w:rPr>
          <w:lang w:val="en-US"/>
        </w:rPr>
        <w:t xml:space="preserve">. </w:t>
      </w:r>
    </w:p>
  </w:footnote>
  <w:footnote w:id="3">
    <w:p w14:paraId="63FB608D" w14:textId="26C4ED2C" w:rsidR="00A642AC" w:rsidRPr="00D04738" w:rsidRDefault="00A642AC">
      <w:pPr>
        <w:pStyle w:val="FootnoteText"/>
        <w:rPr>
          <w:lang/>
        </w:rPr>
      </w:pPr>
      <w:r>
        <w:rPr>
          <w:rStyle w:val="FootnoteReference"/>
        </w:rPr>
        <w:footnoteRef/>
      </w:r>
      <w:r>
        <w:t xml:space="preserve"> At the international level, see, for example, </w:t>
      </w:r>
      <w:r w:rsidRPr="0014771A">
        <w:t>H</w:t>
      </w:r>
      <w:r>
        <w:t xml:space="preserve">uman Rights Committee </w:t>
      </w:r>
      <w:r w:rsidRPr="0014771A">
        <w:t xml:space="preserve">(Views), </w:t>
      </w:r>
      <w:r w:rsidRPr="0014771A">
        <w:rPr>
          <w:i/>
        </w:rPr>
        <w:t>Rubén Santiago Hinostroza Solís</w:t>
      </w:r>
      <w:r w:rsidRPr="0014771A">
        <w:t xml:space="preserve"> v</w:t>
      </w:r>
      <w:r w:rsidRPr="0014771A">
        <w:rPr>
          <w:i/>
        </w:rPr>
        <w:t>. Peru</w:t>
      </w:r>
      <w:r w:rsidRPr="0014771A">
        <w:t>, 27 March 2006, Communication No. 1016/2001</w:t>
      </w:r>
      <w:r>
        <w:t xml:space="preserve">; </w:t>
      </w:r>
      <w:r w:rsidRPr="0014771A">
        <w:t>H</w:t>
      </w:r>
      <w:r>
        <w:t>uman Rights Committee</w:t>
      </w:r>
      <w:r w:rsidRPr="0014771A">
        <w:t xml:space="preserve"> (Views), </w:t>
      </w:r>
      <w:r w:rsidRPr="0014771A">
        <w:rPr>
          <w:i/>
        </w:rPr>
        <w:t xml:space="preserve">Néstor Julio Canessa Albareda and others </w:t>
      </w:r>
      <w:r w:rsidRPr="006F0E26">
        <w:t>v.</w:t>
      </w:r>
      <w:r w:rsidRPr="0014771A">
        <w:rPr>
          <w:i/>
        </w:rPr>
        <w:t xml:space="preserve"> Uruguay</w:t>
      </w:r>
      <w:r w:rsidRPr="0014771A">
        <w:t>, 24 October 2011, Communication Nos. 1637/2007, 1757/2008 and 1765/2008</w:t>
      </w:r>
      <w:r>
        <w:rPr>
          <w:szCs w:val="22"/>
        </w:rPr>
        <w:t>.</w:t>
      </w:r>
    </w:p>
  </w:footnote>
  <w:footnote w:id="4">
    <w:p w14:paraId="1FE439E5" w14:textId="7C0425F3" w:rsidR="00A642AC" w:rsidRPr="00C923CC" w:rsidRDefault="00A642AC" w:rsidP="005A4644">
      <w:pPr>
        <w:pStyle w:val="FootnoteText"/>
      </w:pPr>
      <w:r>
        <w:rPr>
          <w:rStyle w:val="FootnoteReference"/>
        </w:rPr>
        <w:footnoteRef/>
      </w:r>
      <w:r>
        <w:t xml:space="preserve"> </w:t>
      </w:r>
      <w:r w:rsidRPr="00C923CC">
        <w:t>Article 21 (non-discrimination) of the EU Charter of Fundamental Rights</w:t>
      </w:r>
      <w:r>
        <w:t xml:space="preserve">; </w:t>
      </w:r>
      <w:r w:rsidRPr="002C007F">
        <w:rPr>
          <w:lang w:val="en-US"/>
        </w:rPr>
        <w:t xml:space="preserve">Article 1(1) </w:t>
      </w:r>
      <w:r>
        <w:rPr>
          <w:lang w:val="en-US"/>
        </w:rPr>
        <w:t xml:space="preserve">of the </w:t>
      </w:r>
      <w:r w:rsidRPr="002C007F">
        <w:rPr>
          <w:lang w:val="en-US"/>
        </w:rPr>
        <w:t>Inter-American Convention on the Elimination of All Forms of Discrimination</w:t>
      </w:r>
      <w:r>
        <w:rPr>
          <w:lang w:val="en-US"/>
        </w:rPr>
        <w:t xml:space="preserve"> and Intolerance; </w:t>
      </w:r>
      <w:r w:rsidRPr="002C007F">
        <w:rPr>
          <w:lang w:val="en-US"/>
        </w:rPr>
        <w:t xml:space="preserve">Article 5 </w:t>
      </w:r>
      <w:r>
        <w:rPr>
          <w:lang w:val="en-US"/>
        </w:rPr>
        <w:t xml:space="preserve">of the Inter-American Convention </w:t>
      </w:r>
      <w:r w:rsidRPr="00901482">
        <w:t>on Protecting the Human Rights of Older Persons</w:t>
      </w:r>
      <w:r>
        <w:t xml:space="preserve">; </w:t>
      </w:r>
      <w:r w:rsidRPr="002C007F">
        <w:rPr>
          <w:lang w:val="en-US"/>
        </w:rPr>
        <w:t xml:space="preserve">Article </w:t>
      </w:r>
      <w:r>
        <w:rPr>
          <w:lang w:val="en-US"/>
        </w:rPr>
        <w:t>3</w:t>
      </w:r>
      <w:r w:rsidRPr="002C007F">
        <w:rPr>
          <w:lang w:val="en-US"/>
        </w:rPr>
        <w:t xml:space="preserve"> </w:t>
      </w:r>
      <w:r>
        <w:rPr>
          <w:lang w:val="en-US"/>
        </w:rPr>
        <w:t xml:space="preserve">of the </w:t>
      </w:r>
      <w:r w:rsidRPr="002C007F">
        <w:rPr>
          <w:lang w:val="en-US"/>
        </w:rPr>
        <w:t>Protocol on the Human Rights of Older Persons in Africa</w:t>
      </w:r>
      <w:r>
        <w:rPr>
          <w:lang w:val="en-US"/>
        </w:rPr>
        <w:t xml:space="preserve">. </w:t>
      </w:r>
    </w:p>
  </w:footnote>
  <w:footnote w:id="5">
    <w:p w14:paraId="430DCEF6" w14:textId="5277CCCF" w:rsidR="00A642AC" w:rsidRPr="00683F90" w:rsidRDefault="00A642AC">
      <w:pPr>
        <w:pStyle w:val="FootnoteText"/>
      </w:pPr>
      <w:r>
        <w:rPr>
          <w:rStyle w:val="FootnoteReference"/>
        </w:rPr>
        <w:footnoteRef/>
      </w:r>
      <w:r>
        <w:t xml:space="preserve"> HelpAge International, </w:t>
      </w:r>
      <w:r w:rsidRPr="00683F90">
        <w:rPr>
          <w:i/>
          <w:iCs/>
        </w:rPr>
        <w:t>Entitled to the same rights: What older women say about their rights to non-discrimination and equality, and to freedom from violence, abuse and neglect</w:t>
      </w:r>
      <w:r>
        <w:t>, London, HelpAge International, 2017.</w:t>
      </w:r>
    </w:p>
  </w:footnote>
  <w:footnote w:id="6">
    <w:p w14:paraId="547FF7CE" w14:textId="1B88CDED" w:rsidR="00A642AC" w:rsidRPr="00463937" w:rsidRDefault="00A642AC">
      <w:pPr>
        <w:pStyle w:val="FootnoteText"/>
        <w:rPr>
          <w:lang/>
        </w:rPr>
      </w:pPr>
      <w:r>
        <w:rPr>
          <w:rStyle w:val="FootnoteReference"/>
        </w:rPr>
        <w:footnoteRef/>
      </w:r>
      <w:r>
        <w:t xml:space="preserve"> </w:t>
      </w:r>
      <w:r>
        <w:rPr>
          <w:lang w:val="en-US"/>
        </w:rPr>
        <w:t xml:space="preserve">Article 6 ICCPR. </w:t>
      </w:r>
    </w:p>
  </w:footnote>
  <w:footnote w:id="7">
    <w:p w14:paraId="78F50FA7" w14:textId="32FDABCF" w:rsidR="00A642AC" w:rsidRPr="00463937" w:rsidRDefault="00A642AC">
      <w:pPr>
        <w:pStyle w:val="FootnoteText"/>
        <w:rPr>
          <w:lang/>
        </w:rPr>
      </w:pPr>
      <w:r>
        <w:rPr>
          <w:rStyle w:val="FootnoteReference"/>
        </w:rPr>
        <w:footnoteRef/>
      </w:r>
      <w:r>
        <w:t xml:space="preserve"> Article 7 </w:t>
      </w:r>
      <w:r>
        <w:rPr>
          <w:lang w:val="en-US"/>
        </w:rPr>
        <w:t xml:space="preserve">ICCPR and the </w:t>
      </w:r>
      <w:r w:rsidRPr="00463937">
        <w:rPr>
          <w:lang w:val="en-US"/>
        </w:rPr>
        <w:t>Convention against Torture and Other Cruel, Inhuman or Degrading Treatment or Punishment</w:t>
      </w:r>
      <w:r>
        <w:rPr>
          <w:lang w:val="en-US"/>
        </w:rPr>
        <w:t>.</w:t>
      </w:r>
    </w:p>
  </w:footnote>
  <w:footnote w:id="8">
    <w:p w14:paraId="097BD638" w14:textId="0CEF64EF" w:rsidR="00A642AC" w:rsidRPr="002C007F" w:rsidRDefault="00A642AC" w:rsidP="00463937">
      <w:pPr>
        <w:pStyle w:val="FootnoteText"/>
        <w:rPr>
          <w:lang w:val="en-US"/>
        </w:rPr>
      </w:pPr>
      <w:r w:rsidRPr="002C007F">
        <w:rPr>
          <w:rStyle w:val="FootnoteReference"/>
          <w:szCs w:val="16"/>
          <w:lang w:val="en-US"/>
        </w:rPr>
        <w:footnoteRef/>
      </w:r>
      <w:r w:rsidRPr="002C007F">
        <w:rPr>
          <w:lang w:val="en-US"/>
        </w:rPr>
        <w:t xml:space="preserve"> Article 9 ICCPR.</w:t>
      </w:r>
      <w:r w:rsidRPr="00463937">
        <w:rPr>
          <w:rFonts w:asciiTheme="minorHAnsi" w:hAnsiTheme="minorHAnsi" w:cs="∆¯¬˛"/>
          <w:sz w:val="18"/>
          <w:szCs w:val="18"/>
          <w:lang w:eastAsia="en-GB"/>
        </w:rPr>
        <w:t xml:space="preserve"> </w:t>
      </w:r>
      <w:r w:rsidRPr="00463937">
        <w:t>Article 10 ICCPR further requires certain standards to be met in cases of deprivation of liberty.</w:t>
      </w:r>
    </w:p>
  </w:footnote>
  <w:footnote w:id="9">
    <w:p w14:paraId="49C7E758" w14:textId="33193A98" w:rsidR="00A642AC" w:rsidRPr="00E57690" w:rsidRDefault="00A642AC">
      <w:pPr>
        <w:pStyle w:val="FootnoteText"/>
      </w:pPr>
      <w:r>
        <w:rPr>
          <w:rStyle w:val="FootnoteReference"/>
        </w:rPr>
        <w:footnoteRef/>
      </w:r>
      <w:r>
        <w:t xml:space="preserve"> See </w:t>
      </w:r>
      <w:r w:rsidRPr="002C007F">
        <w:rPr>
          <w:lang w:val="en-US"/>
        </w:rPr>
        <w:t>Article</w:t>
      </w:r>
      <w:r>
        <w:rPr>
          <w:lang w:val="en-US"/>
        </w:rPr>
        <w:t>s</w:t>
      </w:r>
      <w:r w:rsidRPr="002C007F">
        <w:rPr>
          <w:lang w:val="en-US"/>
        </w:rPr>
        <w:t xml:space="preserve"> </w:t>
      </w:r>
      <w:r>
        <w:rPr>
          <w:lang w:val="en-US"/>
        </w:rPr>
        <w:t>15-17</w:t>
      </w:r>
      <w:r w:rsidRPr="002C007F">
        <w:rPr>
          <w:lang w:val="en-US"/>
        </w:rPr>
        <w:t xml:space="preserve"> CRPD</w:t>
      </w:r>
      <w:r>
        <w:rPr>
          <w:lang w:val="en-US"/>
        </w:rPr>
        <w:t xml:space="preserve">. </w:t>
      </w:r>
      <w:r>
        <w:t xml:space="preserve">HelpAge International, </w:t>
      </w:r>
      <w:r w:rsidRPr="00683F90">
        <w:rPr>
          <w:i/>
          <w:iCs/>
        </w:rPr>
        <w:t>Entitled to the same rights: What older women say about their rights to non-discrimination and equality, and to freedom from violence, abuse and neglect</w:t>
      </w:r>
      <w:r>
        <w:t>, London, HelpAge International, 2017.</w:t>
      </w:r>
    </w:p>
  </w:footnote>
  <w:footnote w:id="10">
    <w:p w14:paraId="7DD58C1B" w14:textId="3B5CAB4A" w:rsidR="00A642AC" w:rsidRPr="00E57690" w:rsidRDefault="00A642AC">
      <w:pPr>
        <w:pStyle w:val="FootnoteText"/>
      </w:pPr>
      <w:r>
        <w:rPr>
          <w:rStyle w:val="FootnoteReference"/>
        </w:rPr>
        <w:footnoteRef/>
      </w:r>
      <w:r>
        <w:t xml:space="preserve"> HelpAge International, </w:t>
      </w:r>
      <w:r w:rsidRPr="00683F90">
        <w:rPr>
          <w:i/>
          <w:iCs/>
        </w:rPr>
        <w:t>Entitled to the same rights: What older women say about their rights to non-discrimination and equality, and to freedom from violence, abuse and neglect</w:t>
      </w:r>
      <w:r>
        <w:t>, London, HelpAge International, 2017.</w:t>
      </w:r>
    </w:p>
  </w:footnote>
  <w:footnote w:id="11">
    <w:p w14:paraId="35426411" w14:textId="77777777" w:rsidR="00A642AC" w:rsidRPr="001E7B70" w:rsidRDefault="00A642AC" w:rsidP="0068520A">
      <w:pPr>
        <w:pStyle w:val="FootnoteText"/>
        <w:rPr>
          <w:lang w:val="en-US"/>
        </w:rPr>
      </w:pPr>
      <w:r>
        <w:rPr>
          <w:rStyle w:val="FootnoteReference"/>
        </w:rPr>
        <w:footnoteRef/>
      </w:r>
      <w:r>
        <w:t xml:space="preserve"> HelpAge International, </w:t>
      </w:r>
      <w:r w:rsidRPr="00DB7BAF">
        <w:rPr>
          <w:i/>
          <w:iCs/>
        </w:rPr>
        <w:t>Freedom to decide for ourselves: What older people say about their rights to autonomy and independence, long-term care and palliative care</w:t>
      </w:r>
      <w:r>
        <w:t xml:space="preserve">, London, HelpAge International, 2018. </w:t>
      </w:r>
    </w:p>
  </w:footnote>
  <w:footnote w:id="12">
    <w:p w14:paraId="4E183281" w14:textId="181A5150" w:rsidR="00A642AC" w:rsidRPr="0068520A" w:rsidRDefault="00A642AC">
      <w:pPr>
        <w:pStyle w:val="FootnoteText"/>
      </w:pPr>
      <w:r>
        <w:rPr>
          <w:rStyle w:val="FootnoteReference"/>
        </w:rPr>
        <w:footnoteRef/>
      </w:r>
      <w:r>
        <w:t xml:space="preserve"> Article 3 CRPD. </w:t>
      </w:r>
    </w:p>
  </w:footnote>
  <w:footnote w:id="13">
    <w:p w14:paraId="6C011081" w14:textId="65C1A2D4" w:rsidR="00A642AC" w:rsidRPr="0068520A" w:rsidRDefault="00A642AC">
      <w:pPr>
        <w:pStyle w:val="FootnoteText"/>
      </w:pPr>
      <w:r>
        <w:rPr>
          <w:rStyle w:val="FootnoteReference"/>
        </w:rPr>
        <w:footnoteRef/>
      </w:r>
      <w:r>
        <w:t xml:space="preserve"> Article 12 CRPD. </w:t>
      </w:r>
    </w:p>
  </w:footnote>
  <w:footnote w:id="14">
    <w:p w14:paraId="02EBE7EB" w14:textId="78569E1A" w:rsidR="00A642AC" w:rsidRPr="00DB7BAF" w:rsidRDefault="00A642AC" w:rsidP="00DB7BAF">
      <w:pPr>
        <w:pStyle w:val="FootnoteText"/>
        <w:rPr>
          <w:lang w:val="en-US"/>
        </w:rPr>
      </w:pPr>
      <w:r>
        <w:rPr>
          <w:rStyle w:val="FootnoteReference"/>
        </w:rPr>
        <w:footnoteRef/>
      </w:r>
      <w:r>
        <w:t xml:space="preserve"> </w:t>
      </w:r>
      <w:r w:rsidRPr="00DB7BAF">
        <w:rPr>
          <w:lang w:val="en-US"/>
        </w:rPr>
        <w:t xml:space="preserve">Article 7 </w:t>
      </w:r>
      <w:r>
        <w:rPr>
          <w:lang w:val="en-US"/>
        </w:rPr>
        <w:t xml:space="preserve">and 11 </w:t>
      </w:r>
      <w:r w:rsidRPr="00DB7BAF">
        <w:rPr>
          <w:lang w:val="en-US"/>
        </w:rPr>
        <w:t>of the Inter-American Convention on Protecting</w:t>
      </w:r>
      <w:r>
        <w:rPr>
          <w:lang w:val="en-US"/>
        </w:rPr>
        <w:t xml:space="preserve"> </w:t>
      </w:r>
      <w:r w:rsidRPr="00DB7BAF">
        <w:rPr>
          <w:lang w:val="en-US"/>
        </w:rPr>
        <w:t>the Human Rights of Older Persons</w:t>
      </w:r>
      <w:r>
        <w:rPr>
          <w:lang w:val="en-US"/>
        </w:rPr>
        <w:t xml:space="preserve">; </w:t>
      </w:r>
      <w:r w:rsidRPr="00DB7BAF">
        <w:rPr>
          <w:lang w:val="en-US"/>
        </w:rPr>
        <w:t>Article 5 of the Protocol to the African Charter on Human</w:t>
      </w:r>
      <w:r>
        <w:rPr>
          <w:lang w:val="en-US"/>
        </w:rPr>
        <w:t xml:space="preserve"> </w:t>
      </w:r>
      <w:r w:rsidRPr="00DB7BAF">
        <w:rPr>
          <w:lang w:val="en-US"/>
        </w:rPr>
        <w:t>and Peoples’ Rights on the Rights of Older Persons in</w:t>
      </w:r>
      <w:r>
        <w:rPr>
          <w:lang w:val="en-US"/>
        </w:rPr>
        <w:t xml:space="preserve"> </w:t>
      </w:r>
      <w:r w:rsidRPr="00DB7BAF">
        <w:rPr>
          <w:lang w:val="en-US"/>
        </w:rPr>
        <w:t>Africa</w:t>
      </w:r>
      <w:r>
        <w:rPr>
          <w:lang w:val="en-US"/>
        </w:rPr>
        <w:t xml:space="preserve">; </w:t>
      </w:r>
      <w:r w:rsidRPr="00DB7BAF">
        <w:rPr>
          <w:lang w:val="en-US"/>
        </w:rPr>
        <w:t>Article 25 of the European Union Charter</w:t>
      </w:r>
      <w:r>
        <w:rPr>
          <w:lang w:val="en-US"/>
        </w:rPr>
        <w:t xml:space="preserve"> </w:t>
      </w:r>
      <w:r w:rsidRPr="00DB7BAF">
        <w:rPr>
          <w:lang w:val="en-US"/>
        </w:rPr>
        <w:t>of Fundamental Rights</w:t>
      </w:r>
      <w:r>
        <w:rPr>
          <w:lang w:val="en-US"/>
        </w:rPr>
        <w:t>;</w:t>
      </w:r>
      <w:r w:rsidRPr="00DB7BAF">
        <w:rPr>
          <w:lang w:val="en-US"/>
        </w:rPr>
        <w:t xml:space="preserve"> and Article 23 of the</w:t>
      </w:r>
      <w:r>
        <w:rPr>
          <w:lang w:val="en-US"/>
        </w:rPr>
        <w:t xml:space="preserve"> Revised </w:t>
      </w:r>
      <w:r w:rsidRPr="00DB7BAF">
        <w:rPr>
          <w:lang w:val="en-US"/>
        </w:rPr>
        <w:t>European Social Charter.</w:t>
      </w:r>
    </w:p>
  </w:footnote>
  <w:footnote w:id="15">
    <w:p w14:paraId="4B8572D9" w14:textId="768A5DAF" w:rsidR="00A642AC" w:rsidRPr="0068520A" w:rsidRDefault="00A642AC">
      <w:pPr>
        <w:pStyle w:val="FootnoteText"/>
        <w:rPr>
          <w:lang w:val="en-US"/>
        </w:rPr>
      </w:pPr>
      <w:r>
        <w:rPr>
          <w:rStyle w:val="FootnoteReference"/>
        </w:rPr>
        <w:footnoteRef/>
      </w:r>
      <w:r>
        <w:t xml:space="preserve"> HelpAge International, </w:t>
      </w:r>
      <w:r w:rsidRPr="00DB7BAF">
        <w:rPr>
          <w:i/>
          <w:iCs/>
        </w:rPr>
        <w:t>Freedom to decide for ourselves: What older people say about their rights to autonomy and independence, long-term care and palliative care</w:t>
      </w:r>
      <w:r>
        <w:t>, London, HelpAge International, 2018.</w:t>
      </w:r>
    </w:p>
  </w:footnote>
  <w:footnote w:id="16">
    <w:p w14:paraId="68FDF46B" w14:textId="72F19147" w:rsidR="00A642AC" w:rsidRPr="00DB7BAF" w:rsidRDefault="00A642AC">
      <w:pPr>
        <w:pStyle w:val="FootnoteText"/>
      </w:pPr>
      <w:r>
        <w:rPr>
          <w:rStyle w:val="FootnoteReference"/>
        </w:rPr>
        <w:footnoteRef/>
      </w:r>
      <w:r>
        <w:t xml:space="preserve"> Ibid.</w:t>
      </w:r>
    </w:p>
  </w:footnote>
  <w:footnote w:id="17">
    <w:p w14:paraId="1D8E259E" w14:textId="77777777" w:rsidR="00A642AC" w:rsidRPr="006C3718" w:rsidRDefault="00A642AC" w:rsidP="00D4286B">
      <w:pPr>
        <w:pStyle w:val="FootnoteText"/>
        <w:rPr>
          <w:lang w:val="en-US"/>
        </w:rPr>
      </w:pPr>
      <w:r>
        <w:rPr>
          <w:rStyle w:val="FootnoteReference"/>
        </w:rPr>
        <w:footnoteRef/>
      </w:r>
      <w:r>
        <w:t xml:space="preserve"> </w:t>
      </w:r>
      <w:r w:rsidRPr="00477861">
        <w:rPr>
          <w:lang w:val="en-US"/>
        </w:rPr>
        <w:t xml:space="preserve">HelpAge International, </w:t>
      </w:r>
      <w:r w:rsidRPr="00477861">
        <w:rPr>
          <w:i/>
          <w:iCs/>
          <w:lang w:val="en-US"/>
        </w:rPr>
        <w:t>Living, not just surviving: What older people say about their rights to social protection and social security, and to education, training, lifelong learning and capacity building</w:t>
      </w:r>
      <w:r>
        <w:rPr>
          <w:lang w:val="en-US"/>
        </w:rPr>
        <w:t>, London, HelpAge International, 2019.</w:t>
      </w:r>
    </w:p>
  </w:footnote>
  <w:footnote w:id="18">
    <w:p w14:paraId="49E21D4E" w14:textId="77777777" w:rsidR="00A642AC" w:rsidRPr="002C007F" w:rsidRDefault="00A642AC" w:rsidP="00223B58">
      <w:pPr>
        <w:pStyle w:val="FootnoteText"/>
        <w:rPr>
          <w:lang w:val="en-US"/>
        </w:rPr>
      </w:pPr>
      <w:r w:rsidRPr="002C007F">
        <w:rPr>
          <w:rStyle w:val="FootnoteReference"/>
          <w:szCs w:val="16"/>
          <w:lang w:val="en-US"/>
        </w:rPr>
        <w:footnoteRef/>
      </w:r>
      <w:r w:rsidRPr="002C007F">
        <w:rPr>
          <w:lang w:val="en-US"/>
        </w:rPr>
        <w:t xml:space="preserve"> Article 9 ICESCR. </w:t>
      </w:r>
    </w:p>
  </w:footnote>
  <w:footnote w:id="19">
    <w:p w14:paraId="30D23E15" w14:textId="18F2692C" w:rsidR="00A642AC" w:rsidRPr="00D4286B" w:rsidRDefault="00A642AC">
      <w:pPr>
        <w:pStyle w:val="FootnoteText"/>
      </w:pPr>
      <w:r>
        <w:rPr>
          <w:rStyle w:val="FootnoteReference"/>
        </w:rPr>
        <w:footnoteRef/>
      </w:r>
      <w:r>
        <w:t xml:space="preserve"> </w:t>
      </w:r>
      <w:r w:rsidRPr="002C007F">
        <w:rPr>
          <w:lang w:val="en-US"/>
        </w:rPr>
        <w:t>Article 11 (e) CEDAW</w:t>
      </w:r>
      <w:r>
        <w:rPr>
          <w:lang w:val="en-US"/>
        </w:rPr>
        <w:t>.</w:t>
      </w:r>
    </w:p>
  </w:footnote>
  <w:footnote w:id="20">
    <w:p w14:paraId="69343E57" w14:textId="043D5E8D" w:rsidR="00A642AC" w:rsidRPr="00D4286B" w:rsidRDefault="00A642AC">
      <w:pPr>
        <w:pStyle w:val="FootnoteText"/>
      </w:pPr>
      <w:r>
        <w:rPr>
          <w:rStyle w:val="FootnoteReference"/>
        </w:rPr>
        <w:footnoteRef/>
      </w:r>
      <w:r>
        <w:t xml:space="preserve"> </w:t>
      </w:r>
      <w:r w:rsidRPr="002C007F">
        <w:rPr>
          <w:lang w:val="en-US"/>
        </w:rPr>
        <w:t>Article 27 ICMW</w:t>
      </w:r>
      <w:r>
        <w:rPr>
          <w:lang w:val="en-US"/>
        </w:rPr>
        <w:t>.</w:t>
      </w:r>
    </w:p>
  </w:footnote>
  <w:footnote w:id="21">
    <w:p w14:paraId="028B0611" w14:textId="12031CC0" w:rsidR="00A642AC" w:rsidRPr="002C007F" w:rsidRDefault="00A642AC" w:rsidP="00223B58">
      <w:pPr>
        <w:pStyle w:val="FootnoteText"/>
        <w:rPr>
          <w:lang w:val="en-US"/>
        </w:rPr>
      </w:pPr>
      <w:r w:rsidRPr="002C007F">
        <w:rPr>
          <w:rStyle w:val="FootnoteReference"/>
          <w:szCs w:val="16"/>
          <w:lang w:val="en-US"/>
        </w:rPr>
        <w:footnoteRef/>
      </w:r>
      <w:r w:rsidRPr="002C007F">
        <w:rPr>
          <w:lang w:val="en-US"/>
        </w:rPr>
        <w:t xml:space="preserve"> Article 28 CRPD. Article 24 (1)(b) of the 1951 Convention relating to the Status of Refugees requires States to accord to refugees lawfully staying in their territory the same treatment as to nationals as regards social security, including for the contingency of old age. </w:t>
      </w:r>
    </w:p>
  </w:footnote>
  <w:footnote w:id="22">
    <w:p w14:paraId="75723D9A" w14:textId="26B987D7" w:rsidR="00A642AC" w:rsidRPr="004D1FB7" w:rsidRDefault="00A642AC">
      <w:pPr>
        <w:pStyle w:val="FootnoteText"/>
      </w:pPr>
      <w:r>
        <w:rPr>
          <w:rStyle w:val="FootnoteReference"/>
        </w:rPr>
        <w:footnoteRef/>
      </w:r>
      <w:r>
        <w:t xml:space="preserve"> </w:t>
      </w:r>
      <w:r w:rsidRPr="00477861">
        <w:rPr>
          <w:lang w:val="en-US"/>
        </w:rPr>
        <w:t xml:space="preserve">HelpAge International, </w:t>
      </w:r>
      <w:r w:rsidRPr="00477861">
        <w:rPr>
          <w:i/>
          <w:iCs/>
          <w:lang w:val="en-US"/>
        </w:rPr>
        <w:t>Living, not just surviving: What older people say about their rights to social protection and social security, and to education, training, lifelong learning and capacity building</w:t>
      </w:r>
      <w:r>
        <w:rPr>
          <w:lang w:val="en-US"/>
        </w:rPr>
        <w:t>, London, HelpAge International, 2019.</w:t>
      </w:r>
    </w:p>
  </w:footnote>
  <w:footnote w:id="23">
    <w:p w14:paraId="3222C58F" w14:textId="6CA2FFB9" w:rsidR="00A642AC" w:rsidRPr="0079273D" w:rsidRDefault="00A642AC" w:rsidP="0079273D">
      <w:pPr>
        <w:pStyle w:val="FootnoteText"/>
        <w:rPr>
          <w:lang w:val="en-US"/>
        </w:rPr>
      </w:pPr>
      <w:r>
        <w:rPr>
          <w:rStyle w:val="FootnoteReference"/>
        </w:rPr>
        <w:footnoteRef/>
      </w:r>
      <w:r>
        <w:t xml:space="preserve"> </w:t>
      </w:r>
      <w:r w:rsidRPr="00A642AC">
        <w:rPr>
          <w:sz w:val="15"/>
          <w:szCs w:val="15"/>
          <w:lang w:val="en-US"/>
        </w:rPr>
        <w:t>Committee on Economic, Social and Cultural Rights, General Comment No.19, The right to social security, 2008.</w:t>
      </w:r>
    </w:p>
  </w:footnote>
  <w:footnote w:id="24">
    <w:p w14:paraId="78B25459" w14:textId="77777777" w:rsidR="00A642AC" w:rsidRPr="00E936EF" w:rsidRDefault="00A642AC" w:rsidP="00ED7D98">
      <w:pPr>
        <w:pStyle w:val="FootnoteText"/>
      </w:pPr>
      <w:r>
        <w:rPr>
          <w:rStyle w:val="FootnoteReference"/>
        </w:rPr>
        <w:footnoteRef/>
      </w:r>
      <w:r>
        <w:t xml:space="preserve"> HelpAge International, </w:t>
      </w:r>
      <w:r w:rsidRPr="00E936EF">
        <w:rPr>
          <w:i/>
          <w:iCs/>
        </w:rPr>
        <w:t>Freedom to decide for ourselves: What older people say about their rights to autonomy and independence, long-term care and palliative care</w:t>
      </w:r>
      <w:r>
        <w:t>, London, HelpAge International, 2018.</w:t>
      </w:r>
    </w:p>
  </w:footnote>
  <w:footnote w:id="25">
    <w:p w14:paraId="269350A8" w14:textId="15E713F6" w:rsidR="00A642AC" w:rsidRPr="006E7191" w:rsidRDefault="00A642AC">
      <w:pPr>
        <w:pStyle w:val="FootnoteText"/>
        <w:rPr>
          <w:lang w:val="en-US"/>
        </w:rPr>
      </w:pPr>
      <w:r>
        <w:rPr>
          <w:rStyle w:val="FootnoteReference"/>
        </w:rPr>
        <w:footnoteRef/>
      </w:r>
      <w:r>
        <w:t xml:space="preserve"> Ibid.</w:t>
      </w:r>
    </w:p>
  </w:footnote>
  <w:footnote w:id="26">
    <w:p w14:paraId="3665CB0F" w14:textId="77BD646B" w:rsidR="00A642AC" w:rsidRPr="00301A96" w:rsidRDefault="00A642AC" w:rsidP="00301A96">
      <w:pPr>
        <w:pStyle w:val="FootnoteText"/>
      </w:pPr>
      <w:r>
        <w:rPr>
          <w:rStyle w:val="FootnoteReference"/>
        </w:rPr>
        <w:footnoteRef/>
      </w:r>
      <w:r>
        <w:t xml:space="preserve"> Article 12 </w:t>
      </w:r>
      <w:r w:rsidRPr="00301A96">
        <w:rPr>
          <w:lang w:val="en-US"/>
        </w:rPr>
        <w:t>Inter-American Convention on Protecting the Human Rights of Older Persons</w:t>
      </w:r>
      <w:r>
        <w:rPr>
          <w:lang w:val="en-US"/>
        </w:rPr>
        <w:t xml:space="preserve">; </w:t>
      </w:r>
      <w:r w:rsidRPr="00301A96">
        <w:t>Articles 10 and 11 Protocol to the African Charter on Human and Peoples’ Rights on the Rights of Older Persons in Africa</w:t>
      </w:r>
      <w:r>
        <w:t xml:space="preserve">; </w:t>
      </w:r>
      <w:r w:rsidRPr="00301A96">
        <w:t>Article 25 European Union Charter of Fundamental Right</w:t>
      </w:r>
      <w:r>
        <w:t xml:space="preserve">s; </w:t>
      </w:r>
      <w:r w:rsidRPr="00301A96">
        <w:t xml:space="preserve">Article 23 </w:t>
      </w:r>
      <w:r>
        <w:t xml:space="preserve">Revised </w:t>
      </w:r>
      <w:r w:rsidRPr="00301A96">
        <w:t>European Social Charter</w:t>
      </w:r>
      <w:r>
        <w:t xml:space="preserve">. </w:t>
      </w:r>
    </w:p>
  </w:footnote>
  <w:footnote w:id="27">
    <w:p w14:paraId="1D830365" w14:textId="6D699FA9" w:rsidR="00A642AC" w:rsidRPr="00301A96" w:rsidRDefault="00A642AC" w:rsidP="00301A96">
      <w:pPr>
        <w:pStyle w:val="FootnoteText"/>
      </w:pPr>
      <w:r>
        <w:rPr>
          <w:rStyle w:val="FootnoteReference"/>
        </w:rPr>
        <w:footnoteRef/>
      </w:r>
      <w:r>
        <w:t xml:space="preserve"> Article 6, 11, 12 and 19 </w:t>
      </w:r>
      <w:r w:rsidRPr="00301A96">
        <w:rPr>
          <w:lang w:val="en-US"/>
        </w:rPr>
        <w:t>Inter-American Convention on Protecting the Human Rights of Older Persons</w:t>
      </w:r>
      <w:r>
        <w:rPr>
          <w:lang w:val="en-US"/>
        </w:rPr>
        <w:t xml:space="preserve">; </w:t>
      </w:r>
      <w:r w:rsidRPr="00301A96">
        <w:rPr>
          <w:lang w:val="en-US"/>
        </w:rPr>
        <w:t>Article 11 Protocol to the African Charter on Human and Peoples’ Rights on the Rights of Older Persons in Africa</w:t>
      </w:r>
      <w:r>
        <w:rPr>
          <w:lang w:val="en-US"/>
        </w:rPr>
        <w:t>.</w:t>
      </w:r>
    </w:p>
  </w:footnote>
  <w:footnote w:id="28">
    <w:p w14:paraId="7E1F9C96" w14:textId="1F20469E" w:rsidR="00A642AC" w:rsidRPr="00E20AB7" w:rsidRDefault="00A642AC" w:rsidP="00E20AB7">
      <w:pPr>
        <w:pStyle w:val="FootnoteText"/>
        <w:rPr>
          <w:lang w:val="en-US"/>
        </w:rPr>
      </w:pPr>
      <w:r>
        <w:rPr>
          <w:rStyle w:val="FootnoteReference"/>
        </w:rPr>
        <w:footnoteRef/>
      </w:r>
      <w:r>
        <w:t xml:space="preserve"> HelpAge International, </w:t>
      </w:r>
      <w:r w:rsidRPr="00E936EF">
        <w:rPr>
          <w:i/>
          <w:iCs/>
        </w:rPr>
        <w:t>Freedom to decide for ourselves: What older people say about their rights to autonomy and independence, long-term care and palliative care</w:t>
      </w:r>
      <w:r>
        <w:t>, London, HelpAge International, 2018.</w:t>
      </w:r>
    </w:p>
  </w:footnote>
  <w:footnote w:id="29">
    <w:p w14:paraId="7375CF53" w14:textId="4C0C9B72" w:rsidR="00A642AC" w:rsidRPr="009073C1" w:rsidRDefault="00A642AC">
      <w:pPr>
        <w:pStyle w:val="FootnoteText"/>
      </w:pPr>
      <w:r>
        <w:rPr>
          <w:rStyle w:val="FootnoteReference"/>
        </w:rPr>
        <w:footnoteRef/>
      </w:r>
      <w:r>
        <w:t xml:space="preserve"> Ibid.</w:t>
      </w:r>
    </w:p>
  </w:footnote>
  <w:footnote w:id="30">
    <w:p w14:paraId="6E995B78" w14:textId="7338F97C" w:rsidR="00A642AC" w:rsidRPr="00853085" w:rsidRDefault="00A642AC">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C776" w14:textId="4E610C79" w:rsidR="00B93238" w:rsidRPr="00B93238" w:rsidRDefault="002133E0">
    <w:pPr>
      <w:pStyle w:val="Header"/>
      <w:rPr>
        <w:lang w:val="nl-NL"/>
      </w:rPr>
    </w:pPr>
    <w:r>
      <w:rPr>
        <w:lang w:val="nl-NL"/>
      </w:rPr>
      <w:t xml:space="preserve">December </w:t>
    </w:r>
    <w:r w:rsidR="00B93238" w:rsidRPr="00B93238">
      <w:rPr>
        <w:lang w:val="nl-NL"/>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A905" w14:textId="253AA1A7" w:rsidR="00D22861" w:rsidRPr="00D22861" w:rsidRDefault="007D041C">
    <w:pPr>
      <w:pStyle w:val="Header"/>
      <w:rPr>
        <w:lang w:val="en-US"/>
      </w:rPr>
    </w:pPr>
    <w:r>
      <w:rPr>
        <w:lang w:val="en-US"/>
      </w:rPr>
      <w:t>06.12.2021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40D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7E9D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CA8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52E4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4EC2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5ECF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E0B3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90B4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DAF1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0C322"/>
    <w:lvl w:ilvl="0">
      <w:start w:val="1"/>
      <w:numFmt w:val="decimal"/>
      <w:pStyle w:val="ListNumber"/>
      <w:lvlText w:val="%1."/>
      <w:lvlJc w:val="left"/>
      <w:pPr>
        <w:tabs>
          <w:tab w:val="num" w:pos="360"/>
        </w:tabs>
        <w:ind w:left="360" w:hanging="360"/>
      </w:pPr>
      <w:rPr>
        <w:rFonts w:ascii="Verdana" w:hAnsi="Verdana" w:hint="default"/>
        <w:b/>
        <w:bCs/>
        <w:i w:val="0"/>
        <w:iCs w:val="0"/>
        <w:color w:val="F15720"/>
        <w:sz w:val="20"/>
        <w:szCs w:val="20"/>
      </w:rPr>
    </w:lvl>
  </w:abstractNum>
  <w:abstractNum w:abstractNumId="10" w15:restartNumberingAfterBreak="0">
    <w:nsid w:val="FFFFFF89"/>
    <w:multiLevelType w:val="singleLevel"/>
    <w:tmpl w:val="37D660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A3318"/>
    <w:multiLevelType w:val="multilevel"/>
    <w:tmpl w:val="BF0A7DDC"/>
    <w:lvl w:ilvl="0">
      <w:start w:val="1"/>
      <w:numFmt w:val="bullet"/>
      <w:lvlText w:val="•"/>
      <w:lvlJc w:val="left"/>
      <w:pPr>
        <w:tabs>
          <w:tab w:val="num" w:pos="284"/>
        </w:tabs>
        <w:ind w:left="284" w:hanging="284"/>
      </w:pPr>
      <w:rPr>
        <w:rFonts w:ascii="Lexia XBold" w:hAnsi="Lexia XBold" w:hint="default"/>
        <w:color w:val="F25821"/>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8839B9"/>
    <w:multiLevelType w:val="hybridMultilevel"/>
    <w:tmpl w:val="4CB4F06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7DBE"/>
    <w:multiLevelType w:val="multilevel"/>
    <w:tmpl w:val="F24E3966"/>
    <w:lvl w:ilvl="0">
      <w:start w:val="1"/>
      <w:numFmt w:val="bullet"/>
      <w:lvlText w:val="•"/>
      <w:lvlJc w:val="left"/>
      <w:pPr>
        <w:tabs>
          <w:tab w:val="num" w:pos="284"/>
        </w:tabs>
        <w:ind w:left="0" w:firstLine="0"/>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470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EA4F60"/>
    <w:multiLevelType w:val="multilevel"/>
    <w:tmpl w:val="A89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71491F"/>
    <w:multiLevelType w:val="multilevel"/>
    <w:tmpl w:val="69A69BEA"/>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24731"/>
    <w:multiLevelType w:val="multilevel"/>
    <w:tmpl w:val="B4C6960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796A56"/>
    <w:multiLevelType w:val="hybridMultilevel"/>
    <w:tmpl w:val="8C787DA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1E9025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F1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7E3570"/>
    <w:multiLevelType w:val="multilevel"/>
    <w:tmpl w:val="205609F8"/>
    <w:lvl w:ilvl="0">
      <w:start w:val="1"/>
      <w:numFmt w:val="bullet"/>
      <w:lvlText w:val="•"/>
      <w:lvlJc w:val="left"/>
      <w:pPr>
        <w:tabs>
          <w:tab w:val="num" w:pos="284"/>
        </w:tabs>
        <w:ind w:left="284" w:hanging="284"/>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1379DB"/>
    <w:multiLevelType w:val="multilevel"/>
    <w:tmpl w:val="2D7AEAEA"/>
    <w:lvl w:ilvl="0">
      <w:start w:val="1"/>
      <w:numFmt w:val="bullet"/>
      <w:lvlText w:val="•"/>
      <w:lvlJc w:val="left"/>
      <w:pPr>
        <w:tabs>
          <w:tab w:val="num" w:pos="284"/>
        </w:tabs>
        <w:ind w:left="284" w:hanging="284"/>
      </w:pPr>
      <w:rPr>
        <w:rFonts w:ascii="Lexia XBold" w:hAnsi="Lexia XBold"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2207D9"/>
    <w:multiLevelType w:val="hybridMultilevel"/>
    <w:tmpl w:val="51C08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E703945"/>
    <w:multiLevelType w:val="multilevel"/>
    <w:tmpl w:val="AFACE59E"/>
    <w:lvl w:ilvl="0">
      <w:start w:val="1"/>
      <w:numFmt w:val="bullet"/>
      <w:lvlText w:val="•"/>
      <w:lvlJc w:val="left"/>
      <w:pPr>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CF7EA8"/>
    <w:multiLevelType w:val="hybridMultilevel"/>
    <w:tmpl w:val="553E82DE"/>
    <w:lvl w:ilvl="0" w:tplc="96D4E99A">
      <w:start w:val="1"/>
      <w:numFmt w:val="bullet"/>
      <w:lvlText w:val="•"/>
      <w:lvlJc w:val="left"/>
      <w:pPr>
        <w:tabs>
          <w:tab w:val="num" w:pos="284"/>
        </w:tabs>
        <w:ind w:left="284" w:hanging="284"/>
      </w:pPr>
      <w:rPr>
        <w:rFonts w:ascii="Lexia XBold" w:hAnsi="Lexia XBold" w:hint="default"/>
        <w:color w:val="FF66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E2B5A"/>
    <w:multiLevelType w:val="multilevel"/>
    <w:tmpl w:val="EA2410EA"/>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42DD0"/>
    <w:multiLevelType w:val="multilevel"/>
    <w:tmpl w:val="2D00B7B6"/>
    <w:lvl w:ilvl="0">
      <w:start w:val="1"/>
      <w:numFmt w:val="bullet"/>
      <w:lvlText w:val="•"/>
      <w:lvlJc w:val="left"/>
      <w:pPr>
        <w:tabs>
          <w:tab w:val="num" w:pos="284"/>
        </w:tabs>
        <w:ind w:left="284" w:hanging="284"/>
      </w:pPr>
      <w:rPr>
        <w:rFonts w:ascii="Lexia XBold" w:hAnsi="Lexia XBold" w:hint="default"/>
        <w:color w:val="F25821"/>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625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66706"/>
    <w:multiLevelType w:val="hybridMultilevel"/>
    <w:tmpl w:val="5F26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000A02"/>
    <w:multiLevelType w:val="hybridMultilevel"/>
    <w:tmpl w:val="D982E23A"/>
    <w:lvl w:ilvl="0" w:tplc="80443340">
      <w:start w:val="1"/>
      <w:numFmt w:val="bullet"/>
      <w:pStyle w:val="ListBullet"/>
      <w:lvlText w:val="•"/>
      <w:lvlJc w:val="left"/>
      <w:pPr>
        <w:tabs>
          <w:tab w:val="num" w:pos="284"/>
        </w:tabs>
        <w:ind w:left="284" w:hanging="284"/>
      </w:pPr>
      <w:rPr>
        <w:rFonts w:ascii="Lexia XBold" w:hAnsi="Lexia XBold" w:hint="default"/>
        <w:color w:val="F1572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F025A"/>
    <w:multiLevelType w:val="multilevel"/>
    <w:tmpl w:val="5D1EDB88"/>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E339B"/>
    <w:multiLevelType w:val="multilevel"/>
    <w:tmpl w:val="7616ABE6"/>
    <w:lvl w:ilvl="0">
      <w:start w:val="1"/>
      <w:numFmt w:val="bullet"/>
      <w:lvlText w:val="•"/>
      <w:lvlJc w:val="left"/>
      <w:pPr>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BD4FCE"/>
    <w:multiLevelType w:val="multilevel"/>
    <w:tmpl w:val="F32A5C28"/>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D575E0"/>
    <w:multiLevelType w:val="hybridMultilevel"/>
    <w:tmpl w:val="D0BEA6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D4C4930"/>
    <w:multiLevelType w:val="multilevel"/>
    <w:tmpl w:val="89D05198"/>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127FF5"/>
    <w:multiLevelType w:val="multilevel"/>
    <w:tmpl w:val="C298F1BA"/>
    <w:lvl w:ilvl="0">
      <w:start w:val="1"/>
      <w:numFmt w:val="bullet"/>
      <w:lvlText w:val="•"/>
      <w:lvlJc w:val="left"/>
      <w:pPr>
        <w:tabs>
          <w:tab w:val="num" w:pos="284"/>
        </w:tabs>
        <w:ind w:left="284" w:hanging="284"/>
      </w:pPr>
      <w:rPr>
        <w:rFonts w:ascii="Lexia XBold" w:hAnsi="Lexia XBold" w:hint="default"/>
        <w:color w:val="ED135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DE20BD"/>
    <w:multiLevelType w:val="multilevel"/>
    <w:tmpl w:val="087CE2FA"/>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27511"/>
    <w:multiLevelType w:val="multilevel"/>
    <w:tmpl w:val="EACAD54A"/>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9"/>
  </w:num>
  <w:num w:numId="6">
    <w:abstractNumId w:val="4"/>
  </w:num>
  <w:num w:numId="7">
    <w:abstractNumId w:val="5"/>
  </w:num>
  <w:num w:numId="8">
    <w:abstractNumId w:val="7"/>
  </w:num>
  <w:num w:numId="9">
    <w:abstractNumId w:val="6"/>
  </w:num>
  <w:num w:numId="10">
    <w:abstractNumId w:val="10"/>
  </w:num>
  <w:num w:numId="11">
    <w:abstractNumId w:val="8"/>
  </w:num>
  <w:num w:numId="12">
    <w:abstractNumId w:val="30"/>
  </w:num>
  <w:num w:numId="13">
    <w:abstractNumId w:val="21"/>
  </w:num>
  <w:num w:numId="14">
    <w:abstractNumId w:val="22"/>
  </w:num>
  <w:num w:numId="15">
    <w:abstractNumId w:val="33"/>
  </w:num>
  <w:num w:numId="16">
    <w:abstractNumId w:val="34"/>
  </w:num>
  <w:num w:numId="17">
    <w:abstractNumId w:val="23"/>
  </w:num>
  <w:num w:numId="18">
    <w:abstractNumId w:val="18"/>
  </w:num>
  <w:num w:numId="19">
    <w:abstractNumId w:val="12"/>
  </w:num>
  <w:num w:numId="20">
    <w:abstractNumId w:val="25"/>
  </w:num>
  <w:num w:numId="21">
    <w:abstractNumId w:val="11"/>
  </w:num>
  <w:num w:numId="22">
    <w:abstractNumId w:val="38"/>
  </w:num>
  <w:num w:numId="23">
    <w:abstractNumId w:val="29"/>
  </w:num>
  <w:num w:numId="24">
    <w:abstractNumId w:val="35"/>
  </w:num>
  <w:num w:numId="25">
    <w:abstractNumId w:val="16"/>
  </w:num>
  <w:num w:numId="26">
    <w:abstractNumId w:val="36"/>
  </w:num>
  <w:num w:numId="27">
    <w:abstractNumId w:val="20"/>
  </w:num>
  <w:num w:numId="28">
    <w:abstractNumId w:val="27"/>
  </w:num>
  <w:num w:numId="29">
    <w:abstractNumId w:val="31"/>
  </w:num>
  <w:num w:numId="30">
    <w:abstractNumId w:val="26"/>
  </w:num>
  <w:num w:numId="31">
    <w:abstractNumId w:val="32"/>
  </w:num>
  <w:num w:numId="32">
    <w:abstractNumId w:val="13"/>
  </w:num>
  <w:num w:numId="33">
    <w:abstractNumId w:val="37"/>
  </w:num>
  <w:num w:numId="34">
    <w:abstractNumId w:val="24"/>
  </w:num>
  <w:num w:numId="35">
    <w:abstractNumId w:val="14"/>
  </w:num>
  <w:num w:numId="36">
    <w:abstractNumId w:val="17"/>
  </w:num>
  <w:num w:numId="37">
    <w:abstractNumId w:val="28"/>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ttachedTemplate r:id="rId1"/>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67"/>
    <w:rsid w:val="00026EF1"/>
    <w:rsid w:val="00041F10"/>
    <w:rsid w:val="00055047"/>
    <w:rsid w:val="00056847"/>
    <w:rsid w:val="0006310B"/>
    <w:rsid w:val="00063517"/>
    <w:rsid w:val="00064E67"/>
    <w:rsid w:val="00070CE3"/>
    <w:rsid w:val="000811D8"/>
    <w:rsid w:val="000812AC"/>
    <w:rsid w:val="00093809"/>
    <w:rsid w:val="000938DB"/>
    <w:rsid w:val="00097741"/>
    <w:rsid w:val="000A3CDE"/>
    <w:rsid w:val="000C415D"/>
    <w:rsid w:val="000F3733"/>
    <w:rsid w:val="000F5C6E"/>
    <w:rsid w:val="000F67AE"/>
    <w:rsid w:val="00112D01"/>
    <w:rsid w:val="001247EF"/>
    <w:rsid w:val="00151C52"/>
    <w:rsid w:val="00157F92"/>
    <w:rsid w:val="001628E0"/>
    <w:rsid w:val="00162DC6"/>
    <w:rsid w:val="00170391"/>
    <w:rsid w:val="001760C0"/>
    <w:rsid w:val="00183269"/>
    <w:rsid w:val="00186B53"/>
    <w:rsid w:val="001A3DD6"/>
    <w:rsid w:val="001A78A1"/>
    <w:rsid w:val="001B7E67"/>
    <w:rsid w:val="001E2CFC"/>
    <w:rsid w:val="001E7B70"/>
    <w:rsid w:val="001F22EB"/>
    <w:rsid w:val="00211493"/>
    <w:rsid w:val="002133E0"/>
    <w:rsid w:val="002161C5"/>
    <w:rsid w:val="00216298"/>
    <w:rsid w:val="00223B58"/>
    <w:rsid w:val="00224355"/>
    <w:rsid w:val="00233C0F"/>
    <w:rsid w:val="00234C07"/>
    <w:rsid w:val="00253CAF"/>
    <w:rsid w:val="00256296"/>
    <w:rsid w:val="00267948"/>
    <w:rsid w:val="00286F2D"/>
    <w:rsid w:val="002879E7"/>
    <w:rsid w:val="00291F53"/>
    <w:rsid w:val="002A2D81"/>
    <w:rsid w:val="002E5BDF"/>
    <w:rsid w:val="002E787E"/>
    <w:rsid w:val="00301A96"/>
    <w:rsid w:val="003117C7"/>
    <w:rsid w:val="00345CC1"/>
    <w:rsid w:val="003465AD"/>
    <w:rsid w:val="00363E39"/>
    <w:rsid w:val="00374C1D"/>
    <w:rsid w:val="00377A70"/>
    <w:rsid w:val="003827B3"/>
    <w:rsid w:val="003876DD"/>
    <w:rsid w:val="0039633B"/>
    <w:rsid w:val="00397F28"/>
    <w:rsid w:val="003A0EF9"/>
    <w:rsid w:val="003B681D"/>
    <w:rsid w:val="003C1E21"/>
    <w:rsid w:val="003C2128"/>
    <w:rsid w:val="003D06DE"/>
    <w:rsid w:val="003F240E"/>
    <w:rsid w:val="004214D0"/>
    <w:rsid w:val="00425D3F"/>
    <w:rsid w:val="00430077"/>
    <w:rsid w:val="004307F8"/>
    <w:rsid w:val="00442D73"/>
    <w:rsid w:val="004434C9"/>
    <w:rsid w:val="004446FE"/>
    <w:rsid w:val="00450313"/>
    <w:rsid w:val="00463937"/>
    <w:rsid w:val="00467936"/>
    <w:rsid w:val="00477861"/>
    <w:rsid w:val="00493E77"/>
    <w:rsid w:val="0049718E"/>
    <w:rsid w:val="004A29BB"/>
    <w:rsid w:val="004B6CB4"/>
    <w:rsid w:val="004C0772"/>
    <w:rsid w:val="004C466C"/>
    <w:rsid w:val="004C534B"/>
    <w:rsid w:val="004D1FB7"/>
    <w:rsid w:val="004E2E9B"/>
    <w:rsid w:val="004F2BEF"/>
    <w:rsid w:val="00503A4C"/>
    <w:rsid w:val="00543B3A"/>
    <w:rsid w:val="005628D7"/>
    <w:rsid w:val="005652A1"/>
    <w:rsid w:val="00570B99"/>
    <w:rsid w:val="005807F4"/>
    <w:rsid w:val="005A4644"/>
    <w:rsid w:val="005B5748"/>
    <w:rsid w:val="005D3F3B"/>
    <w:rsid w:val="005E7D94"/>
    <w:rsid w:val="005F4720"/>
    <w:rsid w:val="005F674E"/>
    <w:rsid w:val="0060006F"/>
    <w:rsid w:val="00602668"/>
    <w:rsid w:val="00605257"/>
    <w:rsid w:val="00605D74"/>
    <w:rsid w:val="00615F7E"/>
    <w:rsid w:val="00647350"/>
    <w:rsid w:val="00652666"/>
    <w:rsid w:val="00660E74"/>
    <w:rsid w:val="006779E9"/>
    <w:rsid w:val="00682F99"/>
    <w:rsid w:val="00683F90"/>
    <w:rsid w:val="0068520A"/>
    <w:rsid w:val="00690C58"/>
    <w:rsid w:val="00692761"/>
    <w:rsid w:val="006979CB"/>
    <w:rsid w:val="006A11BA"/>
    <w:rsid w:val="006B0445"/>
    <w:rsid w:val="006B2CDB"/>
    <w:rsid w:val="006B4462"/>
    <w:rsid w:val="006C1D57"/>
    <w:rsid w:val="006C3718"/>
    <w:rsid w:val="006C6CC1"/>
    <w:rsid w:val="006D3C36"/>
    <w:rsid w:val="006E5DED"/>
    <w:rsid w:val="006E7191"/>
    <w:rsid w:val="006F2A16"/>
    <w:rsid w:val="00701E2B"/>
    <w:rsid w:val="00702B33"/>
    <w:rsid w:val="007101F7"/>
    <w:rsid w:val="00716C5A"/>
    <w:rsid w:val="007241C7"/>
    <w:rsid w:val="00743593"/>
    <w:rsid w:val="007541DA"/>
    <w:rsid w:val="007645DA"/>
    <w:rsid w:val="00767B3E"/>
    <w:rsid w:val="00771A5C"/>
    <w:rsid w:val="0078063B"/>
    <w:rsid w:val="0079273D"/>
    <w:rsid w:val="00793B54"/>
    <w:rsid w:val="00795200"/>
    <w:rsid w:val="007B04FF"/>
    <w:rsid w:val="007D041C"/>
    <w:rsid w:val="007E6986"/>
    <w:rsid w:val="00803426"/>
    <w:rsid w:val="0081465D"/>
    <w:rsid w:val="0081547C"/>
    <w:rsid w:val="00824369"/>
    <w:rsid w:val="008328FC"/>
    <w:rsid w:val="008476A0"/>
    <w:rsid w:val="00853085"/>
    <w:rsid w:val="00854CAF"/>
    <w:rsid w:val="008560B1"/>
    <w:rsid w:val="00860483"/>
    <w:rsid w:val="008A7456"/>
    <w:rsid w:val="008D41D6"/>
    <w:rsid w:val="008E0017"/>
    <w:rsid w:val="008F186E"/>
    <w:rsid w:val="009073C1"/>
    <w:rsid w:val="009075A1"/>
    <w:rsid w:val="00915C0B"/>
    <w:rsid w:val="00917241"/>
    <w:rsid w:val="00923219"/>
    <w:rsid w:val="0092634F"/>
    <w:rsid w:val="00933A07"/>
    <w:rsid w:val="00936606"/>
    <w:rsid w:val="009422FE"/>
    <w:rsid w:val="009509B6"/>
    <w:rsid w:val="00950A0D"/>
    <w:rsid w:val="00965EA5"/>
    <w:rsid w:val="00971654"/>
    <w:rsid w:val="00977032"/>
    <w:rsid w:val="009801CF"/>
    <w:rsid w:val="0099332A"/>
    <w:rsid w:val="009A3233"/>
    <w:rsid w:val="009B1261"/>
    <w:rsid w:val="009B460C"/>
    <w:rsid w:val="009C3AC9"/>
    <w:rsid w:val="00A15B48"/>
    <w:rsid w:val="00A17C24"/>
    <w:rsid w:val="00A26663"/>
    <w:rsid w:val="00A36D15"/>
    <w:rsid w:val="00A472EC"/>
    <w:rsid w:val="00A54935"/>
    <w:rsid w:val="00A61973"/>
    <w:rsid w:val="00A62D19"/>
    <w:rsid w:val="00A642AC"/>
    <w:rsid w:val="00A647FE"/>
    <w:rsid w:val="00A86DFD"/>
    <w:rsid w:val="00A9389B"/>
    <w:rsid w:val="00AB1FE0"/>
    <w:rsid w:val="00AB5D14"/>
    <w:rsid w:val="00AC09EF"/>
    <w:rsid w:val="00AC389F"/>
    <w:rsid w:val="00AE656C"/>
    <w:rsid w:val="00AF3090"/>
    <w:rsid w:val="00B244E5"/>
    <w:rsid w:val="00B5654D"/>
    <w:rsid w:val="00B6513A"/>
    <w:rsid w:val="00B91174"/>
    <w:rsid w:val="00B92B4F"/>
    <w:rsid w:val="00B93238"/>
    <w:rsid w:val="00B95ED3"/>
    <w:rsid w:val="00B97F1C"/>
    <w:rsid w:val="00BB71AE"/>
    <w:rsid w:val="00BD0F93"/>
    <w:rsid w:val="00BD37F4"/>
    <w:rsid w:val="00BD3FED"/>
    <w:rsid w:val="00BD7D15"/>
    <w:rsid w:val="00BE5F4F"/>
    <w:rsid w:val="00BF4FA0"/>
    <w:rsid w:val="00BF70EB"/>
    <w:rsid w:val="00C011CB"/>
    <w:rsid w:val="00C13C3A"/>
    <w:rsid w:val="00C2612B"/>
    <w:rsid w:val="00C26B1F"/>
    <w:rsid w:val="00C345AF"/>
    <w:rsid w:val="00C37936"/>
    <w:rsid w:val="00C61088"/>
    <w:rsid w:val="00C73CF4"/>
    <w:rsid w:val="00C74990"/>
    <w:rsid w:val="00C80B12"/>
    <w:rsid w:val="00C8406A"/>
    <w:rsid w:val="00C923CC"/>
    <w:rsid w:val="00CA6ACE"/>
    <w:rsid w:val="00CC432B"/>
    <w:rsid w:val="00CF4AD3"/>
    <w:rsid w:val="00D04738"/>
    <w:rsid w:val="00D11CFA"/>
    <w:rsid w:val="00D1276F"/>
    <w:rsid w:val="00D136EB"/>
    <w:rsid w:val="00D22861"/>
    <w:rsid w:val="00D26954"/>
    <w:rsid w:val="00D35463"/>
    <w:rsid w:val="00D37BD1"/>
    <w:rsid w:val="00D4286B"/>
    <w:rsid w:val="00D47217"/>
    <w:rsid w:val="00D52704"/>
    <w:rsid w:val="00D57330"/>
    <w:rsid w:val="00D62989"/>
    <w:rsid w:val="00D707E3"/>
    <w:rsid w:val="00D75ACE"/>
    <w:rsid w:val="00D9192F"/>
    <w:rsid w:val="00DA15E0"/>
    <w:rsid w:val="00DA75E4"/>
    <w:rsid w:val="00DB7BAF"/>
    <w:rsid w:val="00DC3EFD"/>
    <w:rsid w:val="00DE27B7"/>
    <w:rsid w:val="00DE46F7"/>
    <w:rsid w:val="00DE692F"/>
    <w:rsid w:val="00E11D06"/>
    <w:rsid w:val="00E15C4D"/>
    <w:rsid w:val="00E20AB7"/>
    <w:rsid w:val="00E22520"/>
    <w:rsid w:val="00E23C73"/>
    <w:rsid w:val="00E4072C"/>
    <w:rsid w:val="00E519F0"/>
    <w:rsid w:val="00E57690"/>
    <w:rsid w:val="00E61C3F"/>
    <w:rsid w:val="00E936EF"/>
    <w:rsid w:val="00EA1A20"/>
    <w:rsid w:val="00EC20F9"/>
    <w:rsid w:val="00ED730E"/>
    <w:rsid w:val="00ED7D98"/>
    <w:rsid w:val="00EE59FF"/>
    <w:rsid w:val="00EF29B0"/>
    <w:rsid w:val="00EF7165"/>
    <w:rsid w:val="00F02958"/>
    <w:rsid w:val="00F142E4"/>
    <w:rsid w:val="00F576F2"/>
    <w:rsid w:val="00F73742"/>
    <w:rsid w:val="00F95884"/>
    <w:rsid w:val="00FB57F0"/>
    <w:rsid w:val="00FC6AF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09E40F8"/>
  <w14:defaultImageDpi w14:val="300"/>
  <w15:docId w15:val="{ABD4539A-46E1-4AC6-95ED-F2D8F96E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3D"/>
    <w:pPr>
      <w:spacing w:after="120"/>
    </w:pPr>
    <w:rPr>
      <w:rFonts w:ascii="Verdana" w:hAnsi="Verdana"/>
      <w:szCs w:val="24"/>
      <w:lang w:eastAsia="en-US"/>
    </w:rPr>
  </w:style>
  <w:style w:type="paragraph" w:styleId="Heading1">
    <w:name w:val="heading 1"/>
    <w:basedOn w:val="Normal"/>
    <w:next w:val="Normal"/>
    <w:qFormat/>
    <w:rsid w:val="00605D74"/>
    <w:pPr>
      <w:keepNext/>
      <w:spacing w:before="60"/>
      <w:outlineLvl w:val="0"/>
    </w:pPr>
    <w:rPr>
      <w:b/>
      <w:color w:val="F15720"/>
      <w:kern w:val="32"/>
      <w:sz w:val="32"/>
      <w:szCs w:val="32"/>
    </w:rPr>
  </w:style>
  <w:style w:type="paragraph" w:styleId="Heading2">
    <w:name w:val="heading 2"/>
    <w:basedOn w:val="Normal"/>
    <w:next w:val="Normal"/>
    <w:link w:val="Heading2Char"/>
    <w:qFormat/>
    <w:rsid w:val="005B5748"/>
    <w:pPr>
      <w:keepNext/>
      <w:spacing w:before="80" w:after="60"/>
      <w:outlineLvl w:val="1"/>
    </w:pPr>
    <w:rPr>
      <w:b/>
      <w:color w:val="C9231E"/>
      <w:sz w:val="24"/>
      <w:szCs w:val="28"/>
    </w:rPr>
  </w:style>
  <w:style w:type="paragraph" w:styleId="Heading3">
    <w:name w:val="heading 3"/>
    <w:basedOn w:val="Normal"/>
    <w:next w:val="Normal"/>
    <w:qFormat/>
    <w:rsid w:val="00605D74"/>
    <w:pPr>
      <w:keepNext/>
      <w:spacing w:before="80" w:after="60"/>
      <w:outlineLvl w:val="2"/>
    </w:pPr>
    <w:rPr>
      <w:b/>
      <w:color w:val="F15720"/>
      <w:szCs w:val="26"/>
    </w:rPr>
  </w:style>
  <w:style w:type="paragraph" w:styleId="Heading4">
    <w:name w:val="heading 4"/>
    <w:basedOn w:val="Heading3"/>
    <w:next w:val="Normal"/>
    <w:link w:val="Heading4Char"/>
    <w:qFormat/>
    <w:rsid w:val="005D3F3B"/>
    <w:pPr>
      <w:keepLines/>
      <w:outlineLvl w:val="3"/>
    </w:pPr>
    <w:rPr>
      <w:rFonts w:eastAsia="MS Gothic"/>
      <w:bCs/>
      <w:iCs/>
      <w:color w:val="auto"/>
    </w:rPr>
  </w:style>
  <w:style w:type="paragraph" w:styleId="Heading5">
    <w:name w:val="heading 5"/>
    <w:basedOn w:val="Normal"/>
    <w:next w:val="Normal"/>
    <w:link w:val="Heading5Char"/>
    <w:semiHidden/>
    <w:unhideWhenUsed/>
    <w:rsid w:val="00771A5C"/>
    <w:pPr>
      <w:keepNext/>
      <w:keepLines/>
      <w:spacing w:before="40" w:after="0"/>
      <w:outlineLvl w:val="4"/>
    </w:pPr>
    <w:rPr>
      <w:rFonts w:asciiTheme="majorHAnsi" w:eastAsiaTheme="majorEastAsia" w:hAnsiTheme="majorHAnsi" w:cstheme="majorBidi"/>
      <w:color w:val="CD0C3D" w:themeColor="accent1" w:themeShade="BF"/>
    </w:rPr>
  </w:style>
  <w:style w:type="paragraph" w:styleId="Heading6">
    <w:name w:val="heading 6"/>
    <w:basedOn w:val="Normal"/>
    <w:next w:val="Normal"/>
    <w:link w:val="Heading6Char"/>
    <w:unhideWhenUsed/>
    <w:rsid w:val="004A29BB"/>
    <w:pPr>
      <w:keepNext/>
      <w:keepLines/>
      <w:spacing w:before="40" w:after="80"/>
      <w:outlineLvl w:val="5"/>
    </w:pPr>
    <w:rPr>
      <w:rFonts w:eastAsia="MS Gothic"/>
      <w:b/>
      <w:i/>
      <w:color w:val="8A7C66"/>
    </w:rPr>
  </w:style>
  <w:style w:type="paragraph" w:styleId="Heading7">
    <w:name w:val="heading 7"/>
    <w:basedOn w:val="Normal"/>
    <w:next w:val="Normal"/>
    <w:link w:val="Heading7Char"/>
    <w:semiHidden/>
    <w:unhideWhenUsed/>
    <w:rsid w:val="00286F2D"/>
    <w:pPr>
      <w:keepNext/>
      <w:keepLines/>
      <w:spacing w:before="40" w:after="0"/>
      <w:outlineLvl w:val="6"/>
    </w:pPr>
    <w:rPr>
      <w:rFonts w:eastAsia="MS Gothic"/>
      <w:i/>
      <w:iCs/>
      <w:color w:val="F33062"/>
    </w:rPr>
  </w:style>
  <w:style w:type="paragraph" w:styleId="Heading8">
    <w:name w:val="heading 8"/>
    <w:basedOn w:val="Normal"/>
    <w:next w:val="Normal"/>
    <w:link w:val="Heading8Char"/>
    <w:semiHidden/>
    <w:unhideWhenUsed/>
    <w:rsid w:val="00771A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71A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D3F3B"/>
    <w:rPr>
      <w:rFonts w:ascii="Verdana" w:eastAsia="MS Gothic" w:hAnsi="Verdana" w:cs="Times New Roman"/>
      <w:b/>
      <w:bCs/>
      <w:iCs/>
      <w:sz w:val="21"/>
      <w:szCs w:val="26"/>
    </w:rPr>
  </w:style>
  <w:style w:type="paragraph" w:styleId="Header">
    <w:name w:val="header"/>
    <w:rsid w:val="00D11CFA"/>
    <w:pPr>
      <w:tabs>
        <w:tab w:val="right" w:pos="8278"/>
      </w:tabs>
    </w:pPr>
    <w:rPr>
      <w:rFonts w:ascii="Verdana" w:hAnsi="Verdana"/>
      <w:b/>
      <w:color w:val="8A7C66"/>
      <w:sz w:val="16"/>
      <w:szCs w:val="24"/>
      <w:lang w:eastAsia="en-US"/>
    </w:rPr>
  </w:style>
  <w:style w:type="paragraph" w:styleId="Footer">
    <w:name w:val="footer"/>
    <w:basedOn w:val="Normal"/>
    <w:semiHidden/>
    <w:rsid w:val="00DB079C"/>
    <w:pPr>
      <w:tabs>
        <w:tab w:val="center" w:pos="4320"/>
        <w:tab w:val="right" w:pos="8640"/>
      </w:tabs>
    </w:pPr>
  </w:style>
  <w:style w:type="character" w:styleId="PageNumber">
    <w:name w:val="page number"/>
    <w:rsid w:val="00CB5C23"/>
    <w:rPr>
      <w:rFonts w:ascii="Verdana" w:hAnsi="Verdana"/>
      <w:b/>
      <w:color w:val="BB0F18"/>
      <w:sz w:val="16"/>
    </w:rPr>
  </w:style>
  <w:style w:type="paragraph" w:styleId="ListBullet">
    <w:name w:val="List Bullet"/>
    <w:basedOn w:val="Normal"/>
    <w:qFormat/>
    <w:rsid w:val="00E23C73"/>
    <w:pPr>
      <w:numPr>
        <w:numId w:val="12"/>
      </w:numPr>
    </w:pPr>
  </w:style>
  <w:style w:type="paragraph" w:styleId="FootnoteText">
    <w:name w:val="footnote text"/>
    <w:basedOn w:val="Normal"/>
    <w:link w:val="FootnoteTextChar"/>
    <w:qFormat/>
    <w:rsid w:val="00C13C3A"/>
    <w:rPr>
      <w:sz w:val="14"/>
    </w:rPr>
  </w:style>
  <w:style w:type="character" w:customStyle="1" w:styleId="FootnoteTextChar">
    <w:name w:val="Footnote Text Char"/>
    <w:link w:val="FootnoteText"/>
    <w:rsid w:val="00C13C3A"/>
    <w:rPr>
      <w:rFonts w:ascii="Verdana" w:hAnsi="Verdana"/>
      <w:sz w:val="14"/>
      <w:szCs w:val="24"/>
    </w:rPr>
  </w:style>
  <w:style w:type="paragraph" w:styleId="Caption">
    <w:name w:val="caption"/>
    <w:basedOn w:val="Normal"/>
    <w:next w:val="Normal"/>
    <w:qFormat/>
    <w:rsid w:val="00C13C3A"/>
    <w:pPr>
      <w:spacing w:after="60"/>
    </w:pPr>
    <w:rPr>
      <w:b/>
      <w:bCs/>
      <w:i/>
      <w:color w:val="8A7C66"/>
      <w:szCs w:val="20"/>
    </w:rPr>
  </w:style>
  <w:style w:type="paragraph" w:customStyle="1" w:styleId="Quotelarge">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rPr>
  </w:style>
  <w:style w:type="character" w:customStyle="1" w:styleId="QuoteChar">
    <w:name w:val="Quote Char"/>
    <w:link w:val="Quote"/>
    <w:rsid w:val="00BD0F93"/>
    <w:rPr>
      <w:rFonts w:ascii="Verdana" w:hAnsi="Verdana"/>
      <w:i/>
      <w:iCs/>
      <w:color w:val="C9231E"/>
      <w:szCs w:val="24"/>
    </w:rPr>
  </w:style>
  <w:style w:type="paragraph" w:customStyle="1" w:styleId="Quotecredit">
    <w:name w:val="Quote credit"/>
    <w:basedOn w:val="Quote"/>
    <w:next w:val="Normal"/>
    <w:qFormat/>
    <w:rsid w:val="00BD0F93"/>
    <w:rPr>
      <w:i w:val="0"/>
    </w:rPr>
  </w:style>
  <w:style w:type="table" w:styleId="TableGrid">
    <w:name w:val="Table Grid"/>
    <w:basedOn w:val="TableNormal"/>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A62D19"/>
    <w:rPr>
      <w:sz w:val="16"/>
    </w:rPr>
  </w:style>
  <w:style w:type="character" w:customStyle="1" w:styleId="EndnoteTextChar">
    <w:name w:val="Endnote Text Char"/>
    <w:link w:val="EndnoteText"/>
    <w:rsid w:val="00A62D19"/>
    <w:rPr>
      <w:rFonts w:ascii="Verdana" w:hAnsi="Verdana"/>
      <w:sz w:val="16"/>
      <w:szCs w:val="24"/>
    </w:rPr>
  </w:style>
  <w:style w:type="character" w:styleId="Hyperlink">
    <w:name w:val="Hyperlink"/>
    <w:uiPriority w:val="99"/>
    <w:rsid w:val="00DB079C"/>
    <w:rPr>
      <w:color w:val="auto"/>
      <w:u w:val="none"/>
    </w:rPr>
  </w:style>
  <w:style w:type="character" w:styleId="FollowedHyperlink">
    <w:name w:val="FollowedHyperlink"/>
    <w:rsid w:val="00DB079C"/>
    <w:rPr>
      <w:color w:val="auto"/>
      <w:u w:val="none"/>
    </w:rPr>
  </w:style>
  <w:style w:type="paragraph" w:styleId="ListNumber">
    <w:name w:val="List Number"/>
    <w:basedOn w:val="Normal"/>
    <w:qFormat/>
    <w:rsid w:val="00234C07"/>
    <w:pPr>
      <w:numPr>
        <w:numId w:val="5"/>
      </w:numPr>
    </w:pPr>
  </w:style>
  <w:style w:type="paragraph" w:styleId="Subtitle">
    <w:name w:val="Subtitle"/>
    <w:basedOn w:val="Normal"/>
    <w:next w:val="Normal"/>
    <w:link w:val="SubtitleChar"/>
    <w:rsid w:val="00A647FE"/>
    <w:pPr>
      <w:numPr>
        <w:ilvl w:val="1"/>
      </w:numPr>
    </w:pPr>
    <w:rPr>
      <w:rFonts w:eastAsia="MS Gothic"/>
      <w:i/>
      <w:iCs/>
      <w:color w:val="F33062"/>
      <w:spacing w:val="15"/>
      <w:sz w:val="32"/>
    </w:rPr>
  </w:style>
  <w:style w:type="character" w:customStyle="1" w:styleId="SubtitleChar">
    <w:name w:val="Subtitle Char"/>
    <w:link w:val="Subtitle"/>
    <w:rsid w:val="00A647FE"/>
    <w:rPr>
      <w:rFonts w:ascii="Verdana" w:eastAsia="MS Gothic" w:hAnsi="Verdana" w:cs="Times New Roman"/>
      <w:i/>
      <w:iCs/>
      <w:color w:val="F33062"/>
      <w:spacing w:val="15"/>
      <w:sz w:val="32"/>
      <w:szCs w:val="24"/>
    </w:rPr>
  </w:style>
  <w:style w:type="paragraph" w:styleId="Title">
    <w:name w:val="Title"/>
    <w:basedOn w:val="Normal"/>
    <w:next w:val="Normal"/>
    <w:link w:val="TitleChar"/>
    <w:rsid w:val="00A54935"/>
    <w:pPr>
      <w:contextualSpacing/>
    </w:pPr>
    <w:rPr>
      <w:rFonts w:eastAsia="MS Gothic"/>
      <w:color w:val="F33062"/>
      <w:spacing w:val="5"/>
      <w:kern w:val="28"/>
      <w:sz w:val="56"/>
      <w:szCs w:val="52"/>
    </w:rPr>
  </w:style>
  <w:style w:type="character" w:customStyle="1" w:styleId="TitleChar">
    <w:name w:val="Title Char"/>
    <w:link w:val="Title"/>
    <w:rsid w:val="00A54935"/>
    <w:rPr>
      <w:rFonts w:ascii="Verdana" w:eastAsia="MS Gothic" w:hAnsi="Verdana" w:cs="Times New Roman"/>
      <w:color w:val="F33062"/>
      <w:spacing w:val="5"/>
      <w:kern w:val="28"/>
      <w:sz w:val="56"/>
      <w:szCs w:val="52"/>
    </w:rPr>
  </w:style>
  <w:style w:type="character" w:customStyle="1" w:styleId="Heading7Char">
    <w:name w:val="Heading 7 Char"/>
    <w:link w:val="Heading7"/>
    <w:semiHidden/>
    <w:rsid w:val="00286F2D"/>
    <w:rPr>
      <w:rFonts w:ascii="Verdana" w:eastAsia="MS Gothic" w:hAnsi="Verdana" w:cs="Times New Roman"/>
      <w:i/>
      <w:iCs/>
      <w:color w:val="F33062"/>
      <w:szCs w:val="24"/>
    </w:rPr>
  </w:style>
  <w:style w:type="table" w:styleId="ColorfulGrid-Accent2">
    <w:name w:val="Colorful Grid Accent 2"/>
    <w:basedOn w:val="TableNormal"/>
    <w:rsid w:val="002161C5"/>
    <w:rPr>
      <w:color w:val="000000"/>
    </w:rPr>
    <w:tblPr>
      <w:tblStyleRowBandSize w:val="1"/>
      <w:tblStyleColBandSize w:val="1"/>
      <w:tblBorders>
        <w:insideH w:val="single" w:sz="4" w:space="0" w:color="FFFFFF"/>
      </w:tblBorders>
    </w:tblPr>
    <w:tcPr>
      <w:shd w:val="clear" w:color="auto" w:fill="F1EFEC"/>
      <w:tcMar>
        <w:bottom w:w="68" w:type="dxa"/>
      </w:tcMar>
    </w:tcPr>
    <w:tblStylePr w:type="firstRow">
      <w:rPr>
        <w:b w:val="0"/>
        <w:bCs/>
        <w:color w:val="auto"/>
      </w:rPr>
      <w:tblPr/>
      <w:tcPr>
        <w:shd w:val="clear" w:color="auto" w:fill="C9231E"/>
      </w:tcPr>
    </w:tblStylePr>
    <w:tblStylePr w:type="lastRow">
      <w:rPr>
        <w:b/>
        <w:bCs/>
        <w:color w:val="000000"/>
      </w:rPr>
      <w:tblPr/>
      <w:tcPr>
        <w:shd w:val="clear" w:color="auto" w:fill="C9231E"/>
      </w:tcPr>
    </w:tblStylePr>
    <w:tblStylePr w:type="firstCol">
      <w:rPr>
        <w:color w:val="FFFFFF"/>
      </w:rPr>
      <w:tblPr/>
      <w:tcPr>
        <w:shd w:val="clear" w:color="auto" w:fill="C9231E"/>
      </w:tcPr>
    </w:tblStylePr>
    <w:tblStylePr w:type="lastCol">
      <w:rPr>
        <w:color w:val="FFFFFF"/>
      </w:rPr>
      <w:tblPr/>
      <w:tcPr>
        <w:shd w:val="clear" w:color="auto" w:fill="C9231E"/>
      </w:tcPr>
    </w:tblStylePr>
    <w:tblStylePr w:type="band2Horz">
      <w:tblPr/>
      <w:tcPr>
        <w:shd w:val="clear" w:color="auto" w:fill="DDD8D0"/>
      </w:tcPr>
    </w:tblStylePr>
    <w:tblStylePr w:type="nwCell">
      <w:tblPr/>
      <w:tcPr>
        <w:shd w:val="clear" w:color="auto" w:fill="F1EFEC"/>
      </w:tcPr>
    </w:tblStylePr>
  </w:style>
  <w:style w:type="table" w:styleId="ColorfulGrid-Accent3">
    <w:name w:val="Colorful Grid Accent 3"/>
    <w:basedOn w:val="TableNormal"/>
    <w:rsid w:val="001F22EB"/>
    <w:rPr>
      <w:color w:val="8A7C6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1EFEC"/>
    </w:tcPr>
    <w:tblStylePr w:type="firstRow">
      <w:rPr>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9231E"/>
      </w:tcPr>
    </w:tblStylePr>
    <w:tblStylePr w:type="lastRow">
      <w:rPr>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5720"/>
      </w:tcPr>
    </w:tblStylePr>
    <w:tblStylePr w:type="firstCol">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BEB4A6"/>
      </w:tcPr>
    </w:tblStylePr>
    <w:tblStylePr w:type="lastCol">
      <w:rPr>
        <w:color w:val="FFFFFF"/>
      </w:rPr>
      <w:tblPr/>
      <w:tcPr>
        <w:tcBorders>
          <w:top w:val="nil"/>
          <w:left w:val="nil"/>
          <w:bottom w:val="nil"/>
          <w:right w:val="nil"/>
          <w:insideH w:val="nil"/>
          <w:insideV w:val="nil"/>
        </w:tcBorders>
        <w:shd w:val="clear" w:color="auto" w:fill="F15720"/>
      </w:tcPr>
    </w:tblStylePr>
    <w:tblStylePr w:type="band1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1EFEC"/>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style>
  <w:style w:type="paragraph" w:customStyle="1" w:styleId="CreditSourceSmalltext">
    <w:name w:val="Credit / Source / Small text"/>
    <w:basedOn w:val="Normal"/>
    <w:qFormat/>
    <w:rsid w:val="00915C0B"/>
    <w:pPr>
      <w:spacing w:after="60"/>
    </w:pPr>
    <w:rPr>
      <w:sz w:val="16"/>
    </w:rPr>
  </w:style>
  <w:style w:type="character" w:customStyle="1" w:styleId="Heading2Char">
    <w:name w:val="Heading 2 Char"/>
    <w:link w:val="Heading2"/>
    <w:rsid w:val="005B5748"/>
    <w:rPr>
      <w:rFonts w:ascii="Verdana" w:hAnsi="Verdana"/>
      <w:b/>
      <w:color w:val="C9231E"/>
      <w:sz w:val="24"/>
      <w:szCs w:val="28"/>
    </w:rPr>
  </w:style>
  <w:style w:type="paragraph" w:styleId="ListParagraph">
    <w:name w:val="List Paragraph"/>
    <w:basedOn w:val="Normal"/>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rPr>
      <w:tblPr/>
      <w:tcPr>
        <w:tcBorders>
          <w:bottom w:val="nil"/>
        </w:tcBorders>
      </w:tcPr>
    </w:tblStylePr>
    <w:tblStylePr w:type="lastRow">
      <w:rPr>
        <w:b/>
        <w:bCs/>
        <w:caps w:val="0"/>
        <w:color w:val="F15720"/>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cPr>
    </w:tblStylePr>
    <w:tblStylePr w:type="band2Horz">
      <w:tblPr/>
      <w:tcPr>
        <w:tcBorders>
          <w:top w:val="nil"/>
          <w:left w:val="nil"/>
          <w:bottom w:val="nil"/>
          <w:right w:val="nil"/>
          <w:insideH w:val="nil"/>
          <w:insideV w:val="nil"/>
          <w:tl2br w:val="nil"/>
          <w:tr2bl w:val="nil"/>
        </w:tcBorders>
        <w:shd w:val="clear" w:color="auto" w:fill="DAD5CD"/>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link w:val="Heading6"/>
    <w:rsid w:val="004A29BB"/>
    <w:rPr>
      <w:rFonts w:ascii="Verdana" w:eastAsia="MS Gothic" w:hAnsi="Verdana" w:cs="Times New Roman"/>
      <w:b/>
      <w:i/>
      <w:color w:val="8A7C66"/>
      <w:szCs w:val="24"/>
    </w:rPr>
  </w:style>
  <w:style w:type="paragraph" w:customStyle="1" w:styleId="Introduction">
    <w:name w:val="Introduction"/>
    <w:basedOn w:val="Normal"/>
    <w:qFormat/>
    <w:rsid w:val="008476A0"/>
    <w:rPr>
      <w:b/>
    </w:rPr>
  </w:style>
  <w:style w:type="character" w:styleId="EndnoteReference">
    <w:name w:val="endnote reference"/>
    <w:unhideWhenUsed/>
    <w:rsid w:val="003117C7"/>
    <w:rPr>
      <w:vertAlign w:val="superscript"/>
    </w:rPr>
  </w:style>
  <w:style w:type="table" w:styleId="PlainTable5">
    <w:name w:val="Plain Table 5"/>
    <w:basedOn w:val="TableNormal"/>
    <w:uiPriority w:val="45"/>
    <w:rsid w:val="002161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4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basedOn w:val="DefaultParagraphFont"/>
    <w:link w:val="Heading5"/>
    <w:semiHidden/>
    <w:rsid w:val="00771A5C"/>
    <w:rPr>
      <w:rFonts w:asciiTheme="majorHAnsi" w:eastAsiaTheme="majorEastAsia" w:hAnsiTheme="majorHAnsi" w:cstheme="majorBidi"/>
      <w:color w:val="CD0C3D" w:themeColor="accent1" w:themeShade="BF"/>
      <w:szCs w:val="24"/>
      <w:lang w:eastAsia="en-US"/>
    </w:rPr>
  </w:style>
  <w:style w:type="character" w:customStyle="1" w:styleId="Heading8Char">
    <w:name w:val="Heading 8 Char"/>
    <w:basedOn w:val="DefaultParagraphFont"/>
    <w:link w:val="Heading8"/>
    <w:semiHidden/>
    <w:rsid w:val="00771A5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1A5C"/>
    <w:rPr>
      <w:rFonts w:asciiTheme="majorHAnsi" w:eastAsiaTheme="majorEastAsia" w:hAnsiTheme="majorHAnsi" w:cstheme="majorBidi"/>
      <w:i/>
      <w:iCs/>
      <w:color w:val="272727" w:themeColor="text1" w:themeTint="D8"/>
      <w:sz w:val="21"/>
      <w:szCs w:val="21"/>
      <w:lang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unhideWhenUsed/>
    <w:rsid w:val="00CF4AD3"/>
    <w:rPr>
      <w:vertAlign w:val="superscript"/>
    </w:rPr>
  </w:style>
  <w:style w:type="character" w:customStyle="1" w:styleId="UnresolvedMention">
    <w:name w:val="Unresolved Mention"/>
    <w:basedOn w:val="DefaultParagraphFont"/>
    <w:rsid w:val="00BB71AE"/>
    <w:rPr>
      <w:color w:val="605E5C"/>
      <w:shd w:val="clear" w:color="auto" w:fill="E1DFDD"/>
    </w:rPr>
  </w:style>
  <w:style w:type="character" w:customStyle="1" w:styleId="SmartLink">
    <w:name w:val="Smart Link"/>
    <w:basedOn w:val="DefaultParagraphFont"/>
    <w:uiPriority w:val="99"/>
    <w:unhideWhenUsed/>
    <w:rsid w:val="0025629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695">
      <w:bodyDiv w:val="1"/>
      <w:marLeft w:val="0"/>
      <w:marRight w:val="0"/>
      <w:marTop w:val="0"/>
      <w:marBottom w:val="0"/>
      <w:divBdr>
        <w:top w:val="none" w:sz="0" w:space="0" w:color="auto"/>
        <w:left w:val="none" w:sz="0" w:space="0" w:color="auto"/>
        <w:bottom w:val="none" w:sz="0" w:space="0" w:color="auto"/>
        <w:right w:val="none" w:sz="0" w:space="0" w:color="auto"/>
      </w:divBdr>
    </w:div>
    <w:div w:id="53628572">
      <w:bodyDiv w:val="1"/>
      <w:marLeft w:val="0"/>
      <w:marRight w:val="0"/>
      <w:marTop w:val="0"/>
      <w:marBottom w:val="0"/>
      <w:divBdr>
        <w:top w:val="none" w:sz="0" w:space="0" w:color="auto"/>
        <w:left w:val="none" w:sz="0" w:space="0" w:color="auto"/>
        <w:bottom w:val="none" w:sz="0" w:space="0" w:color="auto"/>
        <w:right w:val="none" w:sz="0" w:space="0" w:color="auto"/>
      </w:divBdr>
    </w:div>
    <w:div w:id="344403506">
      <w:bodyDiv w:val="1"/>
      <w:marLeft w:val="0"/>
      <w:marRight w:val="0"/>
      <w:marTop w:val="0"/>
      <w:marBottom w:val="0"/>
      <w:divBdr>
        <w:top w:val="none" w:sz="0" w:space="0" w:color="auto"/>
        <w:left w:val="none" w:sz="0" w:space="0" w:color="auto"/>
        <w:bottom w:val="none" w:sz="0" w:space="0" w:color="auto"/>
        <w:right w:val="none" w:sz="0" w:space="0" w:color="auto"/>
      </w:divBdr>
    </w:div>
    <w:div w:id="385491925">
      <w:bodyDiv w:val="1"/>
      <w:marLeft w:val="0"/>
      <w:marRight w:val="0"/>
      <w:marTop w:val="0"/>
      <w:marBottom w:val="0"/>
      <w:divBdr>
        <w:top w:val="none" w:sz="0" w:space="0" w:color="auto"/>
        <w:left w:val="none" w:sz="0" w:space="0" w:color="auto"/>
        <w:bottom w:val="none" w:sz="0" w:space="0" w:color="auto"/>
        <w:right w:val="none" w:sz="0" w:space="0" w:color="auto"/>
      </w:divBdr>
      <w:divsChild>
        <w:div w:id="1768649913">
          <w:marLeft w:val="0"/>
          <w:marRight w:val="0"/>
          <w:marTop w:val="0"/>
          <w:marBottom w:val="0"/>
          <w:divBdr>
            <w:top w:val="none" w:sz="0" w:space="0" w:color="auto"/>
            <w:left w:val="none" w:sz="0" w:space="0" w:color="auto"/>
            <w:bottom w:val="none" w:sz="0" w:space="0" w:color="auto"/>
            <w:right w:val="none" w:sz="0" w:space="0" w:color="auto"/>
          </w:divBdr>
          <w:divsChild>
            <w:div w:id="884874835">
              <w:marLeft w:val="0"/>
              <w:marRight w:val="0"/>
              <w:marTop w:val="0"/>
              <w:marBottom w:val="0"/>
              <w:divBdr>
                <w:top w:val="none" w:sz="0" w:space="0" w:color="auto"/>
                <w:left w:val="none" w:sz="0" w:space="0" w:color="auto"/>
                <w:bottom w:val="none" w:sz="0" w:space="0" w:color="auto"/>
                <w:right w:val="none" w:sz="0" w:space="0" w:color="auto"/>
              </w:divBdr>
              <w:divsChild>
                <w:div w:id="19220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907">
      <w:bodyDiv w:val="1"/>
      <w:marLeft w:val="0"/>
      <w:marRight w:val="0"/>
      <w:marTop w:val="0"/>
      <w:marBottom w:val="0"/>
      <w:divBdr>
        <w:top w:val="none" w:sz="0" w:space="0" w:color="auto"/>
        <w:left w:val="none" w:sz="0" w:space="0" w:color="auto"/>
        <w:bottom w:val="none" w:sz="0" w:space="0" w:color="auto"/>
        <w:right w:val="none" w:sz="0" w:space="0" w:color="auto"/>
      </w:divBdr>
    </w:div>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540747985">
      <w:bodyDiv w:val="1"/>
      <w:marLeft w:val="0"/>
      <w:marRight w:val="0"/>
      <w:marTop w:val="0"/>
      <w:marBottom w:val="0"/>
      <w:divBdr>
        <w:top w:val="none" w:sz="0" w:space="0" w:color="auto"/>
        <w:left w:val="none" w:sz="0" w:space="0" w:color="auto"/>
        <w:bottom w:val="none" w:sz="0" w:space="0" w:color="auto"/>
        <w:right w:val="none" w:sz="0" w:space="0" w:color="auto"/>
      </w:divBdr>
      <w:divsChild>
        <w:div w:id="1927760688">
          <w:marLeft w:val="0"/>
          <w:marRight w:val="0"/>
          <w:marTop w:val="0"/>
          <w:marBottom w:val="0"/>
          <w:divBdr>
            <w:top w:val="none" w:sz="0" w:space="0" w:color="auto"/>
            <w:left w:val="none" w:sz="0" w:space="0" w:color="auto"/>
            <w:bottom w:val="none" w:sz="0" w:space="0" w:color="auto"/>
            <w:right w:val="none" w:sz="0" w:space="0" w:color="auto"/>
          </w:divBdr>
          <w:divsChild>
            <w:div w:id="1166818354">
              <w:marLeft w:val="0"/>
              <w:marRight w:val="0"/>
              <w:marTop w:val="0"/>
              <w:marBottom w:val="0"/>
              <w:divBdr>
                <w:top w:val="none" w:sz="0" w:space="0" w:color="auto"/>
                <w:left w:val="none" w:sz="0" w:space="0" w:color="auto"/>
                <w:bottom w:val="none" w:sz="0" w:space="0" w:color="auto"/>
                <w:right w:val="none" w:sz="0" w:space="0" w:color="auto"/>
              </w:divBdr>
              <w:divsChild>
                <w:div w:id="18121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9479">
      <w:bodyDiv w:val="1"/>
      <w:marLeft w:val="0"/>
      <w:marRight w:val="0"/>
      <w:marTop w:val="0"/>
      <w:marBottom w:val="0"/>
      <w:divBdr>
        <w:top w:val="none" w:sz="0" w:space="0" w:color="auto"/>
        <w:left w:val="none" w:sz="0" w:space="0" w:color="auto"/>
        <w:bottom w:val="none" w:sz="0" w:space="0" w:color="auto"/>
        <w:right w:val="none" w:sz="0" w:space="0" w:color="auto"/>
      </w:divBdr>
      <w:divsChild>
        <w:div w:id="1329552545">
          <w:marLeft w:val="0"/>
          <w:marRight w:val="0"/>
          <w:marTop w:val="0"/>
          <w:marBottom w:val="0"/>
          <w:divBdr>
            <w:top w:val="none" w:sz="0" w:space="0" w:color="auto"/>
            <w:left w:val="none" w:sz="0" w:space="0" w:color="auto"/>
            <w:bottom w:val="none" w:sz="0" w:space="0" w:color="auto"/>
            <w:right w:val="none" w:sz="0" w:space="0" w:color="auto"/>
          </w:divBdr>
          <w:divsChild>
            <w:div w:id="629093038">
              <w:marLeft w:val="0"/>
              <w:marRight w:val="0"/>
              <w:marTop w:val="0"/>
              <w:marBottom w:val="0"/>
              <w:divBdr>
                <w:top w:val="none" w:sz="0" w:space="0" w:color="auto"/>
                <w:left w:val="none" w:sz="0" w:space="0" w:color="auto"/>
                <w:bottom w:val="none" w:sz="0" w:space="0" w:color="auto"/>
                <w:right w:val="none" w:sz="0" w:space="0" w:color="auto"/>
              </w:divBdr>
              <w:divsChild>
                <w:div w:id="20191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664">
      <w:bodyDiv w:val="1"/>
      <w:marLeft w:val="0"/>
      <w:marRight w:val="0"/>
      <w:marTop w:val="0"/>
      <w:marBottom w:val="0"/>
      <w:divBdr>
        <w:top w:val="none" w:sz="0" w:space="0" w:color="auto"/>
        <w:left w:val="none" w:sz="0" w:space="0" w:color="auto"/>
        <w:bottom w:val="none" w:sz="0" w:space="0" w:color="auto"/>
        <w:right w:val="none" w:sz="0" w:space="0" w:color="auto"/>
      </w:divBdr>
    </w:div>
    <w:div w:id="603265159">
      <w:bodyDiv w:val="1"/>
      <w:marLeft w:val="0"/>
      <w:marRight w:val="0"/>
      <w:marTop w:val="0"/>
      <w:marBottom w:val="0"/>
      <w:divBdr>
        <w:top w:val="none" w:sz="0" w:space="0" w:color="auto"/>
        <w:left w:val="none" w:sz="0" w:space="0" w:color="auto"/>
        <w:bottom w:val="none" w:sz="0" w:space="0" w:color="auto"/>
        <w:right w:val="none" w:sz="0" w:space="0" w:color="auto"/>
      </w:divBdr>
    </w:div>
    <w:div w:id="629632204">
      <w:bodyDiv w:val="1"/>
      <w:marLeft w:val="0"/>
      <w:marRight w:val="0"/>
      <w:marTop w:val="0"/>
      <w:marBottom w:val="0"/>
      <w:divBdr>
        <w:top w:val="none" w:sz="0" w:space="0" w:color="auto"/>
        <w:left w:val="none" w:sz="0" w:space="0" w:color="auto"/>
        <w:bottom w:val="none" w:sz="0" w:space="0" w:color="auto"/>
        <w:right w:val="none" w:sz="0" w:space="0" w:color="auto"/>
      </w:divBdr>
    </w:div>
    <w:div w:id="667902256">
      <w:bodyDiv w:val="1"/>
      <w:marLeft w:val="0"/>
      <w:marRight w:val="0"/>
      <w:marTop w:val="0"/>
      <w:marBottom w:val="0"/>
      <w:divBdr>
        <w:top w:val="none" w:sz="0" w:space="0" w:color="auto"/>
        <w:left w:val="none" w:sz="0" w:space="0" w:color="auto"/>
        <w:bottom w:val="none" w:sz="0" w:space="0" w:color="auto"/>
        <w:right w:val="none" w:sz="0" w:space="0" w:color="auto"/>
      </w:divBdr>
    </w:div>
    <w:div w:id="715276598">
      <w:bodyDiv w:val="1"/>
      <w:marLeft w:val="0"/>
      <w:marRight w:val="0"/>
      <w:marTop w:val="0"/>
      <w:marBottom w:val="0"/>
      <w:divBdr>
        <w:top w:val="none" w:sz="0" w:space="0" w:color="auto"/>
        <w:left w:val="none" w:sz="0" w:space="0" w:color="auto"/>
        <w:bottom w:val="none" w:sz="0" w:space="0" w:color="auto"/>
        <w:right w:val="none" w:sz="0" w:space="0" w:color="auto"/>
      </w:divBdr>
      <w:divsChild>
        <w:div w:id="308553755">
          <w:marLeft w:val="0"/>
          <w:marRight w:val="0"/>
          <w:marTop w:val="0"/>
          <w:marBottom w:val="0"/>
          <w:divBdr>
            <w:top w:val="none" w:sz="0" w:space="0" w:color="auto"/>
            <w:left w:val="none" w:sz="0" w:space="0" w:color="auto"/>
            <w:bottom w:val="none" w:sz="0" w:space="0" w:color="auto"/>
            <w:right w:val="none" w:sz="0" w:space="0" w:color="auto"/>
          </w:divBdr>
          <w:divsChild>
            <w:div w:id="2052875642">
              <w:marLeft w:val="0"/>
              <w:marRight w:val="0"/>
              <w:marTop w:val="0"/>
              <w:marBottom w:val="0"/>
              <w:divBdr>
                <w:top w:val="none" w:sz="0" w:space="0" w:color="auto"/>
                <w:left w:val="none" w:sz="0" w:space="0" w:color="auto"/>
                <w:bottom w:val="none" w:sz="0" w:space="0" w:color="auto"/>
                <w:right w:val="none" w:sz="0" w:space="0" w:color="auto"/>
              </w:divBdr>
              <w:divsChild>
                <w:div w:id="1635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728722514">
      <w:bodyDiv w:val="1"/>
      <w:marLeft w:val="0"/>
      <w:marRight w:val="0"/>
      <w:marTop w:val="0"/>
      <w:marBottom w:val="0"/>
      <w:divBdr>
        <w:top w:val="none" w:sz="0" w:space="0" w:color="auto"/>
        <w:left w:val="none" w:sz="0" w:space="0" w:color="auto"/>
        <w:bottom w:val="none" w:sz="0" w:space="0" w:color="auto"/>
        <w:right w:val="none" w:sz="0" w:space="0" w:color="auto"/>
      </w:divBdr>
    </w:div>
    <w:div w:id="741374948">
      <w:bodyDiv w:val="1"/>
      <w:marLeft w:val="0"/>
      <w:marRight w:val="0"/>
      <w:marTop w:val="0"/>
      <w:marBottom w:val="0"/>
      <w:divBdr>
        <w:top w:val="none" w:sz="0" w:space="0" w:color="auto"/>
        <w:left w:val="none" w:sz="0" w:space="0" w:color="auto"/>
        <w:bottom w:val="none" w:sz="0" w:space="0" w:color="auto"/>
        <w:right w:val="none" w:sz="0" w:space="0" w:color="auto"/>
      </w:divBdr>
    </w:div>
    <w:div w:id="812721100">
      <w:bodyDiv w:val="1"/>
      <w:marLeft w:val="0"/>
      <w:marRight w:val="0"/>
      <w:marTop w:val="0"/>
      <w:marBottom w:val="0"/>
      <w:divBdr>
        <w:top w:val="none" w:sz="0" w:space="0" w:color="auto"/>
        <w:left w:val="none" w:sz="0" w:space="0" w:color="auto"/>
        <w:bottom w:val="none" w:sz="0" w:space="0" w:color="auto"/>
        <w:right w:val="none" w:sz="0" w:space="0" w:color="auto"/>
      </w:divBdr>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1034502703">
      <w:bodyDiv w:val="1"/>
      <w:marLeft w:val="0"/>
      <w:marRight w:val="0"/>
      <w:marTop w:val="0"/>
      <w:marBottom w:val="0"/>
      <w:divBdr>
        <w:top w:val="none" w:sz="0" w:space="0" w:color="auto"/>
        <w:left w:val="none" w:sz="0" w:space="0" w:color="auto"/>
        <w:bottom w:val="none" w:sz="0" w:space="0" w:color="auto"/>
        <w:right w:val="none" w:sz="0" w:space="0" w:color="auto"/>
      </w:divBdr>
    </w:div>
    <w:div w:id="1046611855">
      <w:bodyDiv w:val="1"/>
      <w:marLeft w:val="0"/>
      <w:marRight w:val="0"/>
      <w:marTop w:val="0"/>
      <w:marBottom w:val="0"/>
      <w:divBdr>
        <w:top w:val="none" w:sz="0" w:space="0" w:color="auto"/>
        <w:left w:val="none" w:sz="0" w:space="0" w:color="auto"/>
        <w:bottom w:val="none" w:sz="0" w:space="0" w:color="auto"/>
        <w:right w:val="none" w:sz="0" w:space="0" w:color="auto"/>
      </w:divBdr>
    </w:div>
    <w:div w:id="1129008843">
      <w:bodyDiv w:val="1"/>
      <w:marLeft w:val="0"/>
      <w:marRight w:val="0"/>
      <w:marTop w:val="0"/>
      <w:marBottom w:val="0"/>
      <w:divBdr>
        <w:top w:val="none" w:sz="0" w:space="0" w:color="auto"/>
        <w:left w:val="none" w:sz="0" w:space="0" w:color="auto"/>
        <w:bottom w:val="none" w:sz="0" w:space="0" w:color="auto"/>
        <w:right w:val="none" w:sz="0" w:space="0" w:color="auto"/>
      </w:divBdr>
    </w:div>
    <w:div w:id="1140801979">
      <w:bodyDiv w:val="1"/>
      <w:marLeft w:val="0"/>
      <w:marRight w:val="0"/>
      <w:marTop w:val="0"/>
      <w:marBottom w:val="0"/>
      <w:divBdr>
        <w:top w:val="none" w:sz="0" w:space="0" w:color="auto"/>
        <w:left w:val="none" w:sz="0" w:space="0" w:color="auto"/>
        <w:bottom w:val="none" w:sz="0" w:space="0" w:color="auto"/>
        <w:right w:val="none" w:sz="0" w:space="0" w:color="auto"/>
      </w:divBdr>
    </w:div>
    <w:div w:id="1156920605">
      <w:bodyDiv w:val="1"/>
      <w:marLeft w:val="0"/>
      <w:marRight w:val="0"/>
      <w:marTop w:val="0"/>
      <w:marBottom w:val="0"/>
      <w:divBdr>
        <w:top w:val="none" w:sz="0" w:space="0" w:color="auto"/>
        <w:left w:val="none" w:sz="0" w:space="0" w:color="auto"/>
        <w:bottom w:val="none" w:sz="0" w:space="0" w:color="auto"/>
        <w:right w:val="none" w:sz="0" w:space="0" w:color="auto"/>
      </w:divBdr>
    </w:div>
    <w:div w:id="1227450231">
      <w:bodyDiv w:val="1"/>
      <w:marLeft w:val="0"/>
      <w:marRight w:val="0"/>
      <w:marTop w:val="0"/>
      <w:marBottom w:val="0"/>
      <w:divBdr>
        <w:top w:val="none" w:sz="0" w:space="0" w:color="auto"/>
        <w:left w:val="none" w:sz="0" w:space="0" w:color="auto"/>
        <w:bottom w:val="none" w:sz="0" w:space="0" w:color="auto"/>
        <w:right w:val="none" w:sz="0" w:space="0" w:color="auto"/>
      </w:divBdr>
    </w:div>
    <w:div w:id="1264605697">
      <w:bodyDiv w:val="1"/>
      <w:marLeft w:val="0"/>
      <w:marRight w:val="0"/>
      <w:marTop w:val="0"/>
      <w:marBottom w:val="0"/>
      <w:divBdr>
        <w:top w:val="none" w:sz="0" w:space="0" w:color="auto"/>
        <w:left w:val="none" w:sz="0" w:space="0" w:color="auto"/>
        <w:bottom w:val="none" w:sz="0" w:space="0" w:color="auto"/>
        <w:right w:val="none" w:sz="0" w:space="0" w:color="auto"/>
      </w:divBdr>
    </w:div>
    <w:div w:id="1277517284">
      <w:bodyDiv w:val="1"/>
      <w:marLeft w:val="0"/>
      <w:marRight w:val="0"/>
      <w:marTop w:val="0"/>
      <w:marBottom w:val="0"/>
      <w:divBdr>
        <w:top w:val="none" w:sz="0" w:space="0" w:color="auto"/>
        <w:left w:val="none" w:sz="0" w:space="0" w:color="auto"/>
        <w:bottom w:val="none" w:sz="0" w:space="0" w:color="auto"/>
        <w:right w:val="none" w:sz="0" w:space="0" w:color="auto"/>
      </w:divBdr>
    </w:div>
    <w:div w:id="1278949513">
      <w:bodyDiv w:val="1"/>
      <w:marLeft w:val="0"/>
      <w:marRight w:val="0"/>
      <w:marTop w:val="0"/>
      <w:marBottom w:val="0"/>
      <w:divBdr>
        <w:top w:val="none" w:sz="0" w:space="0" w:color="auto"/>
        <w:left w:val="none" w:sz="0" w:space="0" w:color="auto"/>
        <w:bottom w:val="none" w:sz="0" w:space="0" w:color="auto"/>
        <w:right w:val="none" w:sz="0" w:space="0" w:color="auto"/>
      </w:divBdr>
    </w:div>
    <w:div w:id="1289047666">
      <w:bodyDiv w:val="1"/>
      <w:marLeft w:val="0"/>
      <w:marRight w:val="0"/>
      <w:marTop w:val="0"/>
      <w:marBottom w:val="0"/>
      <w:divBdr>
        <w:top w:val="none" w:sz="0" w:space="0" w:color="auto"/>
        <w:left w:val="none" w:sz="0" w:space="0" w:color="auto"/>
        <w:bottom w:val="none" w:sz="0" w:space="0" w:color="auto"/>
        <w:right w:val="none" w:sz="0" w:space="0" w:color="auto"/>
      </w:divBdr>
    </w:div>
    <w:div w:id="1342781832">
      <w:bodyDiv w:val="1"/>
      <w:marLeft w:val="0"/>
      <w:marRight w:val="0"/>
      <w:marTop w:val="0"/>
      <w:marBottom w:val="0"/>
      <w:divBdr>
        <w:top w:val="none" w:sz="0" w:space="0" w:color="auto"/>
        <w:left w:val="none" w:sz="0" w:space="0" w:color="auto"/>
        <w:bottom w:val="none" w:sz="0" w:space="0" w:color="auto"/>
        <w:right w:val="none" w:sz="0" w:space="0" w:color="auto"/>
      </w:divBdr>
    </w:div>
    <w:div w:id="1393700467">
      <w:bodyDiv w:val="1"/>
      <w:marLeft w:val="0"/>
      <w:marRight w:val="0"/>
      <w:marTop w:val="0"/>
      <w:marBottom w:val="0"/>
      <w:divBdr>
        <w:top w:val="none" w:sz="0" w:space="0" w:color="auto"/>
        <w:left w:val="none" w:sz="0" w:space="0" w:color="auto"/>
        <w:bottom w:val="none" w:sz="0" w:space="0" w:color="auto"/>
        <w:right w:val="none" w:sz="0" w:space="0" w:color="auto"/>
      </w:divBdr>
    </w:div>
    <w:div w:id="1493521545">
      <w:bodyDiv w:val="1"/>
      <w:marLeft w:val="0"/>
      <w:marRight w:val="0"/>
      <w:marTop w:val="0"/>
      <w:marBottom w:val="0"/>
      <w:divBdr>
        <w:top w:val="none" w:sz="0" w:space="0" w:color="auto"/>
        <w:left w:val="none" w:sz="0" w:space="0" w:color="auto"/>
        <w:bottom w:val="none" w:sz="0" w:space="0" w:color="auto"/>
        <w:right w:val="none" w:sz="0" w:space="0" w:color="auto"/>
      </w:divBdr>
    </w:div>
    <w:div w:id="1514109116">
      <w:bodyDiv w:val="1"/>
      <w:marLeft w:val="0"/>
      <w:marRight w:val="0"/>
      <w:marTop w:val="0"/>
      <w:marBottom w:val="0"/>
      <w:divBdr>
        <w:top w:val="none" w:sz="0" w:space="0" w:color="auto"/>
        <w:left w:val="none" w:sz="0" w:space="0" w:color="auto"/>
        <w:bottom w:val="none" w:sz="0" w:space="0" w:color="auto"/>
        <w:right w:val="none" w:sz="0" w:space="0" w:color="auto"/>
      </w:divBdr>
    </w:div>
    <w:div w:id="1544094743">
      <w:bodyDiv w:val="1"/>
      <w:marLeft w:val="0"/>
      <w:marRight w:val="0"/>
      <w:marTop w:val="0"/>
      <w:marBottom w:val="0"/>
      <w:divBdr>
        <w:top w:val="none" w:sz="0" w:space="0" w:color="auto"/>
        <w:left w:val="none" w:sz="0" w:space="0" w:color="auto"/>
        <w:bottom w:val="none" w:sz="0" w:space="0" w:color="auto"/>
        <w:right w:val="none" w:sz="0" w:space="0" w:color="auto"/>
      </w:divBdr>
    </w:div>
    <w:div w:id="1565414277">
      <w:bodyDiv w:val="1"/>
      <w:marLeft w:val="0"/>
      <w:marRight w:val="0"/>
      <w:marTop w:val="0"/>
      <w:marBottom w:val="0"/>
      <w:divBdr>
        <w:top w:val="none" w:sz="0" w:space="0" w:color="auto"/>
        <w:left w:val="none" w:sz="0" w:space="0" w:color="auto"/>
        <w:bottom w:val="none" w:sz="0" w:space="0" w:color="auto"/>
        <w:right w:val="none" w:sz="0" w:space="0" w:color="auto"/>
      </w:divBdr>
    </w:div>
    <w:div w:id="1606382420">
      <w:bodyDiv w:val="1"/>
      <w:marLeft w:val="0"/>
      <w:marRight w:val="0"/>
      <w:marTop w:val="0"/>
      <w:marBottom w:val="0"/>
      <w:divBdr>
        <w:top w:val="none" w:sz="0" w:space="0" w:color="auto"/>
        <w:left w:val="none" w:sz="0" w:space="0" w:color="auto"/>
        <w:bottom w:val="none" w:sz="0" w:space="0" w:color="auto"/>
        <w:right w:val="none" w:sz="0" w:space="0" w:color="auto"/>
      </w:divBdr>
    </w:div>
    <w:div w:id="1622686571">
      <w:bodyDiv w:val="1"/>
      <w:marLeft w:val="0"/>
      <w:marRight w:val="0"/>
      <w:marTop w:val="0"/>
      <w:marBottom w:val="0"/>
      <w:divBdr>
        <w:top w:val="none" w:sz="0" w:space="0" w:color="auto"/>
        <w:left w:val="none" w:sz="0" w:space="0" w:color="auto"/>
        <w:bottom w:val="none" w:sz="0" w:space="0" w:color="auto"/>
        <w:right w:val="none" w:sz="0" w:space="0" w:color="auto"/>
      </w:divBdr>
    </w:div>
    <w:div w:id="1636834262">
      <w:bodyDiv w:val="1"/>
      <w:marLeft w:val="0"/>
      <w:marRight w:val="0"/>
      <w:marTop w:val="0"/>
      <w:marBottom w:val="0"/>
      <w:divBdr>
        <w:top w:val="none" w:sz="0" w:space="0" w:color="auto"/>
        <w:left w:val="none" w:sz="0" w:space="0" w:color="auto"/>
        <w:bottom w:val="none" w:sz="0" w:space="0" w:color="auto"/>
        <w:right w:val="none" w:sz="0" w:space="0" w:color="auto"/>
      </w:divBdr>
    </w:div>
    <w:div w:id="1641496536">
      <w:bodyDiv w:val="1"/>
      <w:marLeft w:val="0"/>
      <w:marRight w:val="0"/>
      <w:marTop w:val="0"/>
      <w:marBottom w:val="0"/>
      <w:divBdr>
        <w:top w:val="none" w:sz="0" w:space="0" w:color="auto"/>
        <w:left w:val="none" w:sz="0" w:space="0" w:color="auto"/>
        <w:bottom w:val="none" w:sz="0" w:space="0" w:color="auto"/>
        <w:right w:val="none" w:sz="0" w:space="0" w:color="auto"/>
      </w:divBdr>
    </w:div>
    <w:div w:id="1681199841">
      <w:bodyDiv w:val="1"/>
      <w:marLeft w:val="0"/>
      <w:marRight w:val="0"/>
      <w:marTop w:val="0"/>
      <w:marBottom w:val="0"/>
      <w:divBdr>
        <w:top w:val="none" w:sz="0" w:space="0" w:color="auto"/>
        <w:left w:val="none" w:sz="0" w:space="0" w:color="auto"/>
        <w:bottom w:val="none" w:sz="0" w:space="0" w:color="auto"/>
        <w:right w:val="none" w:sz="0" w:space="0" w:color="auto"/>
      </w:divBdr>
    </w:div>
    <w:div w:id="1755976652">
      <w:bodyDiv w:val="1"/>
      <w:marLeft w:val="0"/>
      <w:marRight w:val="0"/>
      <w:marTop w:val="0"/>
      <w:marBottom w:val="0"/>
      <w:divBdr>
        <w:top w:val="none" w:sz="0" w:space="0" w:color="auto"/>
        <w:left w:val="none" w:sz="0" w:space="0" w:color="auto"/>
        <w:bottom w:val="none" w:sz="0" w:space="0" w:color="auto"/>
        <w:right w:val="none" w:sz="0" w:space="0" w:color="auto"/>
      </w:divBdr>
      <w:divsChild>
        <w:div w:id="791747689">
          <w:marLeft w:val="0"/>
          <w:marRight w:val="0"/>
          <w:marTop w:val="0"/>
          <w:marBottom w:val="0"/>
          <w:divBdr>
            <w:top w:val="none" w:sz="0" w:space="0" w:color="auto"/>
            <w:left w:val="none" w:sz="0" w:space="0" w:color="auto"/>
            <w:bottom w:val="none" w:sz="0" w:space="0" w:color="auto"/>
            <w:right w:val="none" w:sz="0" w:space="0" w:color="auto"/>
          </w:divBdr>
          <w:divsChild>
            <w:div w:id="40255453">
              <w:marLeft w:val="0"/>
              <w:marRight w:val="0"/>
              <w:marTop w:val="0"/>
              <w:marBottom w:val="0"/>
              <w:divBdr>
                <w:top w:val="none" w:sz="0" w:space="0" w:color="auto"/>
                <w:left w:val="none" w:sz="0" w:space="0" w:color="auto"/>
                <w:bottom w:val="none" w:sz="0" w:space="0" w:color="auto"/>
                <w:right w:val="none" w:sz="0" w:space="0" w:color="auto"/>
              </w:divBdr>
              <w:divsChild>
                <w:div w:id="14013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874344161">
      <w:bodyDiv w:val="1"/>
      <w:marLeft w:val="0"/>
      <w:marRight w:val="0"/>
      <w:marTop w:val="0"/>
      <w:marBottom w:val="0"/>
      <w:divBdr>
        <w:top w:val="none" w:sz="0" w:space="0" w:color="auto"/>
        <w:left w:val="none" w:sz="0" w:space="0" w:color="auto"/>
        <w:bottom w:val="none" w:sz="0" w:space="0" w:color="auto"/>
        <w:right w:val="none" w:sz="0" w:space="0" w:color="auto"/>
      </w:divBdr>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1955553398">
      <w:bodyDiv w:val="1"/>
      <w:marLeft w:val="0"/>
      <w:marRight w:val="0"/>
      <w:marTop w:val="0"/>
      <w:marBottom w:val="0"/>
      <w:divBdr>
        <w:top w:val="none" w:sz="0" w:space="0" w:color="auto"/>
        <w:left w:val="none" w:sz="0" w:space="0" w:color="auto"/>
        <w:bottom w:val="none" w:sz="0" w:space="0" w:color="auto"/>
        <w:right w:val="none" w:sz="0" w:space="0" w:color="auto"/>
      </w:divBdr>
    </w:div>
    <w:div w:id="1968702770">
      <w:bodyDiv w:val="1"/>
      <w:marLeft w:val="0"/>
      <w:marRight w:val="0"/>
      <w:marTop w:val="0"/>
      <w:marBottom w:val="0"/>
      <w:divBdr>
        <w:top w:val="none" w:sz="0" w:space="0" w:color="auto"/>
        <w:left w:val="none" w:sz="0" w:space="0" w:color="auto"/>
        <w:bottom w:val="none" w:sz="0" w:space="0" w:color="auto"/>
        <w:right w:val="none" w:sz="0" w:space="0" w:color="auto"/>
      </w:divBdr>
      <w:divsChild>
        <w:div w:id="1653024430">
          <w:marLeft w:val="0"/>
          <w:marRight w:val="0"/>
          <w:marTop w:val="0"/>
          <w:marBottom w:val="0"/>
          <w:divBdr>
            <w:top w:val="none" w:sz="0" w:space="0" w:color="auto"/>
            <w:left w:val="none" w:sz="0" w:space="0" w:color="auto"/>
            <w:bottom w:val="none" w:sz="0" w:space="0" w:color="auto"/>
            <w:right w:val="none" w:sz="0" w:space="0" w:color="auto"/>
          </w:divBdr>
          <w:divsChild>
            <w:div w:id="770128445">
              <w:marLeft w:val="0"/>
              <w:marRight w:val="0"/>
              <w:marTop w:val="0"/>
              <w:marBottom w:val="0"/>
              <w:divBdr>
                <w:top w:val="none" w:sz="0" w:space="0" w:color="auto"/>
                <w:left w:val="none" w:sz="0" w:space="0" w:color="auto"/>
                <w:bottom w:val="none" w:sz="0" w:space="0" w:color="auto"/>
                <w:right w:val="none" w:sz="0" w:space="0" w:color="auto"/>
              </w:divBdr>
              <w:divsChild>
                <w:div w:id="1864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4186">
      <w:bodyDiv w:val="1"/>
      <w:marLeft w:val="0"/>
      <w:marRight w:val="0"/>
      <w:marTop w:val="0"/>
      <w:marBottom w:val="0"/>
      <w:divBdr>
        <w:top w:val="none" w:sz="0" w:space="0" w:color="auto"/>
        <w:left w:val="none" w:sz="0" w:space="0" w:color="auto"/>
        <w:bottom w:val="none" w:sz="0" w:space="0" w:color="auto"/>
        <w:right w:val="none" w:sz="0" w:space="0" w:color="auto"/>
      </w:divBdr>
    </w:div>
    <w:div w:id="2010403338">
      <w:bodyDiv w:val="1"/>
      <w:marLeft w:val="0"/>
      <w:marRight w:val="0"/>
      <w:marTop w:val="0"/>
      <w:marBottom w:val="0"/>
      <w:divBdr>
        <w:top w:val="none" w:sz="0" w:space="0" w:color="auto"/>
        <w:left w:val="none" w:sz="0" w:space="0" w:color="auto"/>
        <w:bottom w:val="none" w:sz="0" w:space="0" w:color="auto"/>
        <w:right w:val="none" w:sz="0" w:space="0" w:color="auto"/>
      </w:divBdr>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 w:id="2048530824">
      <w:bodyDiv w:val="1"/>
      <w:marLeft w:val="0"/>
      <w:marRight w:val="0"/>
      <w:marTop w:val="0"/>
      <w:marBottom w:val="0"/>
      <w:divBdr>
        <w:top w:val="none" w:sz="0" w:space="0" w:color="auto"/>
        <w:left w:val="none" w:sz="0" w:space="0" w:color="auto"/>
        <w:bottom w:val="none" w:sz="0" w:space="0" w:color="auto"/>
        <w:right w:val="none" w:sz="0" w:space="0" w:color="auto"/>
      </w:divBdr>
    </w:div>
    <w:div w:id="2109422857">
      <w:bodyDiv w:val="1"/>
      <w:marLeft w:val="0"/>
      <w:marRight w:val="0"/>
      <w:marTop w:val="0"/>
      <w:marBottom w:val="0"/>
      <w:divBdr>
        <w:top w:val="none" w:sz="0" w:space="0" w:color="auto"/>
        <w:left w:val="none" w:sz="0" w:space="0" w:color="auto"/>
        <w:bottom w:val="none" w:sz="0" w:space="0" w:color="auto"/>
        <w:right w:val="none" w:sz="0" w:space="0" w:color="auto"/>
      </w:divBdr>
    </w:div>
    <w:div w:id="214361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ke.depauw@helpag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res\Downloads\Word%20briefing%20template%20(2).dotx" TargetMode="External"/></Relationships>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CDDC-20C7-426C-9615-8177874B2191}"/>
</file>

<file path=customXml/itemProps2.xml><?xml version="1.0" encoding="utf-8"?>
<ds:datastoreItem xmlns:ds="http://schemas.openxmlformats.org/officeDocument/2006/customXml" ds:itemID="{21DE8E4F-1E73-4223-8C89-5B2BAAB322D1}">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ee356a3-afd3-471b-abaf-7e7875244ced"/>
    <ds:schemaRef ds:uri="774cacb5-6931-4d42-ac15-8acc6185797d"/>
    <ds:schemaRef ds:uri="http://www.w3.org/XML/1998/namespace"/>
    <ds:schemaRef ds:uri="http://purl.org/dc/dcmitype/"/>
  </ds:schemaRefs>
</ds:datastoreItem>
</file>

<file path=customXml/itemProps3.xml><?xml version="1.0" encoding="utf-8"?>
<ds:datastoreItem xmlns:ds="http://schemas.openxmlformats.org/officeDocument/2006/customXml" ds:itemID="{42864312-17A8-4ADB-94DF-A9C5ED3542A6}">
  <ds:schemaRefs>
    <ds:schemaRef ds:uri="http://schemas.microsoft.com/sharepoint/v3/contenttype/forms"/>
  </ds:schemaRefs>
</ds:datastoreItem>
</file>

<file path=customXml/itemProps4.xml><?xml version="1.0" encoding="utf-8"?>
<ds:datastoreItem xmlns:ds="http://schemas.openxmlformats.org/officeDocument/2006/customXml" ds:itemID="{C05A21DB-F6CD-4FEE-9A9B-CBD0BE32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briefing template (2).dotx</Template>
  <TotalTime>0</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TRUE</Company>
  <LinksUpToDate>false</LinksUpToDate>
  <CharactersWithSpaces>15650</CharactersWithSpaces>
  <SharedDoc>false</SharedDoc>
  <HLinks>
    <vt:vector size="24" baseType="variant">
      <vt:variant>
        <vt:i4>3473507</vt:i4>
      </vt:variant>
      <vt:variant>
        <vt:i4>15</vt:i4>
      </vt:variant>
      <vt:variant>
        <vt:i4>0</vt:i4>
      </vt:variant>
      <vt:variant>
        <vt:i4>5</vt:i4>
      </vt:variant>
      <vt:variant>
        <vt:lpwstr>https://creativecommons.org/licenses/by-nc/4.0</vt:lpwstr>
      </vt:variant>
      <vt:variant>
        <vt:lpwstr/>
      </vt:variant>
      <vt:variant>
        <vt:i4>3342351</vt:i4>
      </vt:variant>
      <vt:variant>
        <vt:i4>12</vt:i4>
      </vt:variant>
      <vt:variant>
        <vt:i4>0</vt:i4>
      </vt:variant>
      <vt:variant>
        <vt:i4>5</vt:i4>
      </vt:variant>
      <vt:variant>
        <vt:lpwstr>http://www.gcflearnfree.org/word2013/charts</vt:lpwstr>
      </vt:variant>
      <vt:variant>
        <vt:lpwstr/>
      </vt:variant>
      <vt:variant>
        <vt:i4>3145848</vt:i4>
      </vt:variant>
      <vt:variant>
        <vt:i4>0</vt:i4>
      </vt:variant>
      <vt:variant>
        <vt:i4>0</vt:i4>
      </vt:variant>
      <vt:variant>
        <vt:i4>5</vt:i4>
      </vt:variant>
      <vt:variant>
        <vt:lpwstr>http://wordribbon.tips.net/T008095_Displaying_the_Styles_You_Want_Displayed.html</vt:lpwstr>
      </vt:variant>
      <vt:variant>
        <vt:lpwstr/>
      </vt:variant>
      <vt:variant>
        <vt:i4>4456525</vt:i4>
      </vt:variant>
      <vt:variant>
        <vt:i4>0</vt:i4>
      </vt:variant>
      <vt:variant>
        <vt:i4>0</vt:i4>
      </vt:variant>
      <vt:variant>
        <vt:i4>5</vt:i4>
      </vt:variant>
      <vt:variant>
        <vt:lpwstr>http://www.helpage.org/brand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Pares</dc:creator>
  <cp:keywords/>
  <dc:description/>
  <cp:lastModifiedBy>OHCHR - ESCR</cp:lastModifiedBy>
  <cp:revision>2</cp:revision>
  <cp:lastPrinted>2021-11-30T18:48:00Z</cp:lastPrinted>
  <dcterms:created xsi:type="dcterms:W3CDTF">2021-12-09T13:09:00Z</dcterms:created>
  <dcterms:modified xsi:type="dcterms:W3CDTF">2021-12-09T13:09:00Z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