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2B10A" w14:textId="77777777" w:rsidR="005C10D9" w:rsidRPr="006E64DD" w:rsidRDefault="005C10D9" w:rsidP="005C10D9">
      <w:pPr>
        <w:widowControl w:val="0"/>
        <w:autoSpaceDE w:val="0"/>
        <w:autoSpaceDN w:val="0"/>
        <w:adjustRightInd w:val="0"/>
        <w:spacing w:after="0" w:line="240" w:lineRule="auto"/>
        <w:rPr>
          <w:rFonts w:cs="Calibri"/>
          <w:b/>
          <w:sz w:val="28"/>
          <w:szCs w:val="28"/>
          <w:lang w:val="en-GB"/>
        </w:rPr>
      </w:pPr>
      <w:bookmarkStart w:id="0" w:name="_GoBack"/>
      <w:bookmarkEnd w:id="0"/>
      <w:r w:rsidRPr="006E64DD">
        <w:rPr>
          <w:rFonts w:cs="Calibri"/>
          <w:b/>
          <w:sz w:val="28"/>
          <w:szCs w:val="28"/>
          <w:lang w:val="en-GB"/>
        </w:rPr>
        <w:t>Filling gaps in existing human rights instruments regarding older persons:</w:t>
      </w:r>
    </w:p>
    <w:p w14:paraId="1EAE6EBA" w14:textId="77777777" w:rsidR="005C10D9" w:rsidRPr="006E64DD" w:rsidRDefault="00F8370B" w:rsidP="005C10D9">
      <w:pPr>
        <w:widowControl w:val="0"/>
        <w:autoSpaceDE w:val="0"/>
        <w:autoSpaceDN w:val="0"/>
        <w:adjustRightInd w:val="0"/>
        <w:spacing w:after="0" w:line="240" w:lineRule="auto"/>
        <w:rPr>
          <w:rFonts w:cs="Calibri"/>
          <w:b/>
          <w:sz w:val="28"/>
          <w:szCs w:val="28"/>
          <w:lang w:val="en-GB"/>
        </w:rPr>
      </w:pPr>
      <w:r w:rsidRPr="006E64DD">
        <w:rPr>
          <w:rFonts w:cs="Calibri"/>
          <w:b/>
          <w:sz w:val="28"/>
          <w:szCs w:val="28"/>
          <w:lang w:val="en-GB"/>
        </w:rPr>
        <w:t xml:space="preserve">Specifying </w:t>
      </w:r>
      <w:r w:rsidR="005C10D9" w:rsidRPr="006E64DD">
        <w:rPr>
          <w:rFonts w:cs="Calibri"/>
          <w:b/>
          <w:sz w:val="28"/>
          <w:szCs w:val="28"/>
          <w:lang w:val="en-GB"/>
        </w:rPr>
        <w:t>the right to social security</w:t>
      </w:r>
    </w:p>
    <w:p w14:paraId="24DAA1D9" w14:textId="77777777" w:rsidR="005C10D9" w:rsidRDefault="005C10D9" w:rsidP="005C10D9">
      <w:pPr>
        <w:widowControl w:val="0"/>
        <w:autoSpaceDE w:val="0"/>
        <w:autoSpaceDN w:val="0"/>
        <w:adjustRightInd w:val="0"/>
        <w:spacing w:after="0" w:line="240" w:lineRule="auto"/>
        <w:rPr>
          <w:rFonts w:cs="Calibri"/>
          <w:b/>
          <w:sz w:val="24"/>
          <w:szCs w:val="24"/>
          <w:lang w:val="en-GB"/>
        </w:rPr>
      </w:pPr>
    </w:p>
    <w:p w14:paraId="727FD839" w14:textId="77777777" w:rsidR="00001E80" w:rsidRDefault="00001E80" w:rsidP="005C10D9">
      <w:pPr>
        <w:widowControl w:val="0"/>
        <w:autoSpaceDE w:val="0"/>
        <w:autoSpaceDN w:val="0"/>
        <w:adjustRightInd w:val="0"/>
        <w:spacing w:after="0" w:line="240" w:lineRule="auto"/>
        <w:rPr>
          <w:rFonts w:cs="Calibri"/>
          <w:b/>
          <w:sz w:val="24"/>
          <w:szCs w:val="24"/>
          <w:lang w:val="en-GB"/>
        </w:rPr>
      </w:pPr>
      <w:r w:rsidRPr="003932FB">
        <w:rPr>
          <w:rFonts w:cs="Calibri"/>
          <w:sz w:val="24"/>
          <w:szCs w:val="24"/>
          <w:lang w:val="en-US"/>
        </w:rPr>
        <w:t xml:space="preserve">Resolution 65/182 </w:t>
      </w:r>
      <w:r>
        <w:rPr>
          <w:rFonts w:cs="Calibri"/>
          <w:sz w:val="24"/>
          <w:szCs w:val="24"/>
          <w:lang w:val="en-US"/>
        </w:rPr>
        <w:t xml:space="preserve">of the </w:t>
      </w:r>
      <w:r w:rsidRPr="003932FB">
        <w:rPr>
          <w:rFonts w:cs="Calibri"/>
          <w:sz w:val="24"/>
          <w:szCs w:val="24"/>
          <w:lang w:val="en-US"/>
        </w:rPr>
        <w:t>UN-</w:t>
      </w:r>
      <w:r>
        <w:rPr>
          <w:rFonts w:cs="Calibri"/>
          <w:sz w:val="24"/>
          <w:szCs w:val="24"/>
          <w:lang w:val="en-US"/>
        </w:rPr>
        <w:t>General Assembly of</w:t>
      </w:r>
      <w:r w:rsidRPr="003932FB">
        <w:rPr>
          <w:rFonts w:cs="Calibri"/>
          <w:sz w:val="24"/>
          <w:szCs w:val="24"/>
          <w:lang w:val="en-US"/>
        </w:rPr>
        <w:t xml:space="preserve"> 21</w:t>
      </w:r>
      <w:r>
        <w:rPr>
          <w:rFonts w:cs="Calibri"/>
          <w:sz w:val="24"/>
          <w:szCs w:val="24"/>
          <w:lang w:val="en-US"/>
        </w:rPr>
        <w:t xml:space="preserve"> Dec </w:t>
      </w:r>
      <w:r w:rsidRPr="003932FB">
        <w:rPr>
          <w:rFonts w:cs="Calibri"/>
          <w:sz w:val="24"/>
          <w:szCs w:val="24"/>
          <w:lang w:val="en-US"/>
        </w:rPr>
        <w:t>2010</w:t>
      </w:r>
      <w:r>
        <w:rPr>
          <w:rFonts w:cs="Calibri"/>
          <w:sz w:val="24"/>
          <w:szCs w:val="24"/>
          <w:lang w:val="en-US"/>
        </w:rPr>
        <w:t xml:space="preserve">, </w:t>
      </w:r>
      <w:r w:rsidRPr="003932FB">
        <w:rPr>
          <w:rFonts w:cs="Calibri"/>
          <w:sz w:val="24"/>
          <w:szCs w:val="24"/>
          <w:lang w:val="en-US"/>
        </w:rPr>
        <w:t>follow</w:t>
      </w:r>
      <w:r w:rsidR="00E30C65">
        <w:rPr>
          <w:rFonts w:cs="Calibri"/>
          <w:sz w:val="24"/>
          <w:szCs w:val="24"/>
          <w:lang w:val="en-US"/>
        </w:rPr>
        <w:t xml:space="preserve">ing </w:t>
      </w:r>
      <w:r w:rsidRPr="003932FB">
        <w:rPr>
          <w:rFonts w:cs="Calibri"/>
          <w:sz w:val="24"/>
          <w:szCs w:val="24"/>
          <w:lang w:val="en-US"/>
        </w:rPr>
        <w:t>up to the Second World Assembly on Ageing</w:t>
      </w:r>
      <w:r w:rsidR="00E30C65">
        <w:rPr>
          <w:rFonts w:cs="Calibri"/>
          <w:sz w:val="24"/>
          <w:szCs w:val="24"/>
          <w:lang w:val="en-US"/>
        </w:rPr>
        <w:t>,</w:t>
      </w:r>
      <w:r>
        <w:rPr>
          <w:rFonts w:cs="Calibri"/>
          <w:sz w:val="24"/>
          <w:szCs w:val="24"/>
          <w:lang w:val="en-US"/>
        </w:rPr>
        <w:t xml:space="preserve"> required UN member states</w:t>
      </w:r>
      <w:r w:rsidRPr="003932FB">
        <w:rPr>
          <w:rFonts w:cs="Calibri"/>
          <w:sz w:val="24"/>
          <w:szCs w:val="24"/>
          <w:lang w:val="en-US"/>
        </w:rPr>
        <w:t xml:space="preserve"> </w:t>
      </w:r>
      <w:r w:rsidR="00E30C65">
        <w:rPr>
          <w:rFonts w:cs="Calibri"/>
          <w:sz w:val="24"/>
          <w:szCs w:val="24"/>
          <w:lang w:val="en-US"/>
        </w:rPr>
        <w:t>“</w:t>
      </w:r>
      <w:r w:rsidRPr="003932FB">
        <w:rPr>
          <w:rFonts w:cs="Calibri"/>
          <w:sz w:val="24"/>
          <w:szCs w:val="24"/>
          <w:lang w:val="en-US"/>
        </w:rPr>
        <w:t>to establish an open-ended working group, open to all States Members of the United Nations, for the purpose of strengthening the protection of the human rights of older persons by considering the existing international framework of the human rights of older persons and identifying possible gaps and how best to address them, including by considering, as appropriate, the feasibility of further instruments and measures</w:t>
      </w:r>
      <w:r w:rsidR="00E30C65">
        <w:rPr>
          <w:rFonts w:cs="Calibri"/>
          <w:sz w:val="24"/>
          <w:szCs w:val="24"/>
          <w:lang w:val="en-US"/>
        </w:rPr>
        <w:t>”</w:t>
      </w:r>
      <w:r>
        <w:rPr>
          <w:rFonts w:cs="Calibri"/>
          <w:sz w:val="24"/>
          <w:szCs w:val="24"/>
          <w:lang w:val="en-US"/>
        </w:rPr>
        <w:t>.</w:t>
      </w:r>
    </w:p>
    <w:p w14:paraId="2D96ED1B" w14:textId="77777777" w:rsidR="00001E80" w:rsidRDefault="00001E80" w:rsidP="005C10D9">
      <w:pPr>
        <w:widowControl w:val="0"/>
        <w:autoSpaceDE w:val="0"/>
        <w:autoSpaceDN w:val="0"/>
        <w:adjustRightInd w:val="0"/>
        <w:spacing w:after="0" w:line="240" w:lineRule="auto"/>
        <w:rPr>
          <w:rFonts w:cs="Calibri"/>
          <w:b/>
          <w:sz w:val="24"/>
          <w:szCs w:val="24"/>
          <w:lang w:val="en-GB"/>
        </w:rPr>
      </w:pPr>
    </w:p>
    <w:p w14:paraId="1212FBF4" w14:textId="77777777" w:rsidR="005C10D9" w:rsidRDefault="00001E80" w:rsidP="005C10D9">
      <w:pPr>
        <w:widowControl w:val="0"/>
        <w:autoSpaceDE w:val="0"/>
        <w:autoSpaceDN w:val="0"/>
        <w:adjustRightInd w:val="0"/>
        <w:spacing w:after="0" w:line="240" w:lineRule="auto"/>
        <w:rPr>
          <w:rFonts w:cs="Calibri"/>
          <w:sz w:val="24"/>
          <w:szCs w:val="24"/>
          <w:lang w:val="en-GB"/>
        </w:rPr>
      </w:pPr>
      <w:r w:rsidRPr="00E30C65">
        <w:rPr>
          <w:rFonts w:cs="Calibri"/>
          <w:sz w:val="24"/>
          <w:szCs w:val="24"/>
          <w:lang w:val="en-GB"/>
        </w:rPr>
        <w:t>In this statement,</w:t>
      </w:r>
      <w:r w:rsidR="00B41F7A">
        <w:rPr>
          <w:rFonts w:cs="Calibri"/>
          <w:sz w:val="24"/>
          <w:szCs w:val="24"/>
          <w:lang w:val="en-GB"/>
        </w:rPr>
        <w:t xml:space="preserve"> HelpAge Deutschland</w:t>
      </w:r>
      <w:r w:rsidRPr="00E30C65">
        <w:rPr>
          <w:rFonts w:cs="Calibri"/>
          <w:sz w:val="24"/>
          <w:szCs w:val="24"/>
          <w:lang w:val="en-GB"/>
        </w:rPr>
        <w:t xml:space="preserve"> draw</w:t>
      </w:r>
      <w:r w:rsidR="00B41F7A">
        <w:rPr>
          <w:rFonts w:cs="Calibri"/>
          <w:sz w:val="24"/>
          <w:szCs w:val="24"/>
          <w:lang w:val="en-GB"/>
        </w:rPr>
        <w:t>s</w:t>
      </w:r>
      <w:r w:rsidRPr="00E30C65">
        <w:rPr>
          <w:rFonts w:cs="Calibri"/>
          <w:sz w:val="24"/>
          <w:szCs w:val="24"/>
          <w:lang w:val="en-GB"/>
        </w:rPr>
        <w:t xml:space="preserve"> attention to a major gap in </w:t>
      </w:r>
      <w:r w:rsidRPr="00E30C65">
        <w:rPr>
          <w:rFonts w:cs="Calibri"/>
          <w:sz w:val="24"/>
          <w:szCs w:val="24"/>
          <w:lang w:val="en-US"/>
        </w:rPr>
        <w:t>the existing international framework of the human rights of older persons, namely</w:t>
      </w:r>
      <w:r w:rsidR="00E30C65">
        <w:rPr>
          <w:rFonts w:cs="Calibri"/>
          <w:sz w:val="24"/>
          <w:szCs w:val="24"/>
          <w:lang w:val="en-US"/>
        </w:rPr>
        <w:t xml:space="preserve"> in the field of</w:t>
      </w:r>
      <w:r w:rsidR="005C10D9" w:rsidRPr="00E30C65">
        <w:rPr>
          <w:rFonts w:cs="Calibri"/>
          <w:sz w:val="24"/>
          <w:szCs w:val="24"/>
          <w:lang w:val="en-GB"/>
        </w:rPr>
        <w:t xml:space="preserve"> social security</w:t>
      </w:r>
      <w:r w:rsidR="00151CCB" w:rsidRPr="00E30C65">
        <w:rPr>
          <w:rFonts w:cs="Calibri"/>
          <w:sz w:val="24"/>
          <w:szCs w:val="24"/>
          <w:lang w:val="en-GB"/>
        </w:rPr>
        <w:t xml:space="preserve">. The </w:t>
      </w:r>
      <w:r w:rsidR="00151CCB" w:rsidRPr="00731988">
        <w:rPr>
          <w:rFonts w:cs="Calibri"/>
          <w:b/>
          <w:sz w:val="24"/>
          <w:szCs w:val="24"/>
          <w:lang w:val="en-GB"/>
        </w:rPr>
        <w:t xml:space="preserve">right to social security </w:t>
      </w:r>
      <w:r w:rsidR="00151CCB" w:rsidRPr="00E30C65">
        <w:rPr>
          <w:rFonts w:cs="Calibri"/>
          <w:sz w:val="24"/>
          <w:szCs w:val="24"/>
          <w:lang w:val="en-GB"/>
        </w:rPr>
        <w:t xml:space="preserve">is laid down in </w:t>
      </w:r>
      <w:r w:rsidR="00DD4EC3">
        <w:rPr>
          <w:rFonts w:cs="Calibri"/>
          <w:sz w:val="24"/>
          <w:szCs w:val="24"/>
          <w:lang w:val="en-GB"/>
        </w:rPr>
        <w:t xml:space="preserve">Articles 22 and 25 of the </w:t>
      </w:r>
      <w:r w:rsidR="00DD4EC3" w:rsidRPr="008F0328">
        <w:rPr>
          <w:rFonts w:cs="Calibri"/>
          <w:sz w:val="24"/>
          <w:szCs w:val="24"/>
          <w:lang w:val="en-GB"/>
        </w:rPr>
        <w:t>U</w:t>
      </w:r>
      <w:r w:rsidR="00DD4EC3">
        <w:rPr>
          <w:rFonts w:cs="Calibri"/>
          <w:sz w:val="24"/>
          <w:szCs w:val="24"/>
          <w:lang w:val="en-GB"/>
        </w:rPr>
        <w:t>niversal Declaration of Human Rights</w:t>
      </w:r>
      <w:r w:rsidR="00DD4EC3" w:rsidRPr="008F0328">
        <w:rPr>
          <w:rFonts w:cs="Calibri"/>
          <w:sz w:val="24"/>
          <w:szCs w:val="24"/>
          <w:lang w:val="en-GB"/>
        </w:rPr>
        <w:t xml:space="preserve"> </w:t>
      </w:r>
      <w:r w:rsidR="00DD4EC3">
        <w:rPr>
          <w:rFonts w:cs="Calibri"/>
          <w:sz w:val="24"/>
          <w:szCs w:val="24"/>
          <w:lang w:val="en-GB"/>
        </w:rPr>
        <w:t xml:space="preserve">(UDHR) and in </w:t>
      </w:r>
      <w:r w:rsidR="005C10D9" w:rsidRPr="00E30C65">
        <w:rPr>
          <w:rFonts w:cs="Calibri"/>
          <w:sz w:val="24"/>
          <w:szCs w:val="24"/>
          <w:lang w:val="en-GB"/>
        </w:rPr>
        <w:t>Article 9 of the International Covenant</w:t>
      </w:r>
      <w:r w:rsidR="005C10D9">
        <w:rPr>
          <w:rFonts w:cs="Calibri"/>
          <w:sz w:val="24"/>
          <w:szCs w:val="24"/>
          <w:lang w:val="en-GB"/>
        </w:rPr>
        <w:t xml:space="preserve"> on Economic, Social and Cultural Rights </w:t>
      </w:r>
      <w:r w:rsidR="00151CCB">
        <w:rPr>
          <w:rFonts w:cs="Calibri"/>
          <w:sz w:val="24"/>
          <w:szCs w:val="24"/>
          <w:lang w:val="en-GB"/>
        </w:rPr>
        <w:t>(ICESCR). However, Article 9 is the shortest article in the C</w:t>
      </w:r>
      <w:r w:rsidR="005C10D9">
        <w:rPr>
          <w:rFonts w:cs="Calibri"/>
          <w:sz w:val="24"/>
          <w:szCs w:val="24"/>
          <w:lang w:val="en-GB"/>
        </w:rPr>
        <w:t xml:space="preserve">ovenant, and it names </w:t>
      </w:r>
      <w:r w:rsidR="00B41F7A">
        <w:rPr>
          <w:rFonts w:cs="Calibri"/>
          <w:sz w:val="24"/>
          <w:szCs w:val="24"/>
          <w:lang w:val="en-GB"/>
        </w:rPr>
        <w:t xml:space="preserve">no standards, </w:t>
      </w:r>
      <w:r w:rsidR="005C10D9">
        <w:rPr>
          <w:rFonts w:cs="Calibri"/>
          <w:sz w:val="24"/>
          <w:szCs w:val="24"/>
          <w:lang w:val="en-GB"/>
        </w:rPr>
        <w:t xml:space="preserve">no instruments (except social insurance), and no agency in charge. </w:t>
      </w:r>
      <w:r w:rsidR="00C15EC9" w:rsidRPr="008F0328">
        <w:rPr>
          <w:rFonts w:cs="Calibri"/>
          <w:sz w:val="24"/>
          <w:szCs w:val="24"/>
          <w:lang w:val="en-GB"/>
        </w:rPr>
        <w:t>Article 1</w:t>
      </w:r>
      <w:r w:rsidR="00731988">
        <w:rPr>
          <w:rFonts w:cs="Calibri"/>
          <w:sz w:val="24"/>
          <w:szCs w:val="24"/>
          <w:lang w:val="en-GB"/>
        </w:rPr>
        <w:t>2</w:t>
      </w:r>
      <w:r w:rsidR="00C15EC9">
        <w:rPr>
          <w:rFonts w:cs="Calibri"/>
          <w:sz w:val="24"/>
          <w:szCs w:val="24"/>
          <w:lang w:val="en-GB"/>
        </w:rPr>
        <w:t xml:space="preserve"> </w:t>
      </w:r>
      <w:r w:rsidR="00C15EC9" w:rsidRPr="008F0328">
        <w:rPr>
          <w:rFonts w:cs="Calibri"/>
          <w:sz w:val="24"/>
          <w:szCs w:val="24"/>
          <w:lang w:val="en-GB"/>
        </w:rPr>
        <w:t xml:space="preserve">on </w:t>
      </w:r>
      <w:r w:rsidR="00C15EC9">
        <w:rPr>
          <w:rFonts w:cs="Calibri"/>
          <w:sz w:val="24"/>
          <w:szCs w:val="24"/>
          <w:lang w:val="en-GB"/>
        </w:rPr>
        <w:t xml:space="preserve">the right to </w:t>
      </w:r>
      <w:r w:rsidR="00C15EC9" w:rsidRPr="008F0328">
        <w:rPr>
          <w:rFonts w:cs="Calibri"/>
          <w:sz w:val="24"/>
          <w:szCs w:val="24"/>
          <w:lang w:val="en-GB"/>
        </w:rPr>
        <w:t>health</w:t>
      </w:r>
      <w:r w:rsidR="00C15EC9">
        <w:rPr>
          <w:rFonts w:cs="Calibri"/>
          <w:sz w:val="24"/>
          <w:szCs w:val="24"/>
          <w:lang w:val="en-GB"/>
        </w:rPr>
        <w:t xml:space="preserve">, e.g., is much more specified. </w:t>
      </w:r>
      <w:r w:rsidR="00E30C65">
        <w:rPr>
          <w:rFonts w:cs="Calibri"/>
          <w:sz w:val="24"/>
          <w:szCs w:val="24"/>
          <w:lang w:val="en-GB"/>
        </w:rPr>
        <w:t>Th</w:t>
      </w:r>
      <w:r w:rsidR="00C15EC9">
        <w:rPr>
          <w:rFonts w:cs="Calibri"/>
          <w:sz w:val="24"/>
          <w:szCs w:val="24"/>
          <w:lang w:val="en-GB"/>
        </w:rPr>
        <w:t>e</w:t>
      </w:r>
      <w:r w:rsidR="00151CCB">
        <w:rPr>
          <w:rFonts w:cs="Calibri"/>
          <w:sz w:val="24"/>
          <w:szCs w:val="24"/>
          <w:lang w:val="en-GB"/>
        </w:rPr>
        <w:t xml:space="preserve"> insufficient specification of the right to social securit</w:t>
      </w:r>
      <w:r w:rsidR="00E30C65">
        <w:rPr>
          <w:rFonts w:cs="Calibri"/>
          <w:sz w:val="24"/>
          <w:szCs w:val="24"/>
          <w:lang w:val="en-GB"/>
        </w:rPr>
        <w:t>y constitutes a major legal gap, not only in view of older persons. While t</w:t>
      </w:r>
      <w:r w:rsidR="00E30C65" w:rsidRPr="00E30C65">
        <w:rPr>
          <w:rFonts w:cs="Calibri"/>
          <w:sz w:val="24"/>
          <w:szCs w:val="24"/>
          <w:lang w:val="en-GB"/>
        </w:rPr>
        <w:t xml:space="preserve">he right to social security pertains to all persons, </w:t>
      </w:r>
      <w:r w:rsidR="00E30C65">
        <w:rPr>
          <w:rFonts w:cs="Calibri"/>
          <w:sz w:val="24"/>
          <w:szCs w:val="24"/>
          <w:lang w:val="en-GB"/>
        </w:rPr>
        <w:t xml:space="preserve">the right </w:t>
      </w:r>
      <w:r w:rsidR="00E30C65" w:rsidRPr="00E30C65">
        <w:rPr>
          <w:rFonts w:cs="Calibri"/>
          <w:sz w:val="24"/>
          <w:szCs w:val="24"/>
          <w:lang w:val="en-GB"/>
        </w:rPr>
        <w:t>is particularly relevant to older persons since older persons often have fewer means to secure a living on their own.</w:t>
      </w:r>
    </w:p>
    <w:p w14:paraId="7D587CA1" w14:textId="77777777" w:rsidR="00B41F7A" w:rsidRDefault="00B41F7A" w:rsidP="005C10D9">
      <w:pPr>
        <w:widowControl w:val="0"/>
        <w:autoSpaceDE w:val="0"/>
        <w:autoSpaceDN w:val="0"/>
        <w:adjustRightInd w:val="0"/>
        <w:spacing w:after="0" w:line="240" w:lineRule="auto"/>
        <w:rPr>
          <w:rFonts w:cs="Calibri"/>
          <w:sz w:val="24"/>
          <w:szCs w:val="24"/>
          <w:lang w:val="en-GB"/>
        </w:rPr>
      </w:pPr>
    </w:p>
    <w:p w14:paraId="46B22725" w14:textId="77777777" w:rsidR="00B41F7A" w:rsidRPr="008F0328" w:rsidRDefault="005F6BF6" w:rsidP="00B41F7A">
      <w:pPr>
        <w:widowControl w:val="0"/>
        <w:autoSpaceDE w:val="0"/>
        <w:autoSpaceDN w:val="0"/>
        <w:adjustRightInd w:val="0"/>
        <w:spacing w:after="0" w:line="240" w:lineRule="auto"/>
        <w:rPr>
          <w:rFonts w:cs="Calibri"/>
          <w:sz w:val="24"/>
          <w:szCs w:val="24"/>
          <w:lang w:val="en-GB"/>
        </w:rPr>
      </w:pPr>
      <w:r>
        <w:rPr>
          <w:rFonts w:cs="Calibri"/>
          <w:sz w:val="24"/>
          <w:szCs w:val="24"/>
          <w:lang w:val="en-GB"/>
        </w:rPr>
        <w:t xml:space="preserve">The </w:t>
      </w:r>
      <w:r w:rsidRPr="00E30C65">
        <w:rPr>
          <w:rFonts w:cs="Calibri"/>
          <w:sz w:val="24"/>
          <w:szCs w:val="24"/>
          <w:lang w:val="en-GB"/>
        </w:rPr>
        <w:t>right to social security</w:t>
      </w:r>
      <w:r w:rsidRPr="008F0328">
        <w:rPr>
          <w:rFonts w:cs="Calibri"/>
          <w:sz w:val="24"/>
          <w:szCs w:val="24"/>
          <w:lang w:val="en-GB"/>
        </w:rPr>
        <w:t xml:space="preserve"> </w:t>
      </w:r>
      <w:r w:rsidR="00B41F7A" w:rsidRPr="008F0328">
        <w:rPr>
          <w:rFonts w:cs="Calibri"/>
          <w:sz w:val="24"/>
          <w:szCs w:val="24"/>
          <w:lang w:val="en-GB"/>
        </w:rPr>
        <w:t>is</w:t>
      </w:r>
      <w:r>
        <w:rPr>
          <w:rFonts w:cs="Calibri"/>
          <w:sz w:val="24"/>
          <w:szCs w:val="24"/>
          <w:lang w:val="en-GB"/>
        </w:rPr>
        <w:t xml:space="preserve"> under-specified because</w:t>
      </w:r>
      <w:r w:rsidR="00B41F7A" w:rsidRPr="008F0328">
        <w:rPr>
          <w:rFonts w:cs="Calibri"/>
          <w:sz w:val="24"/>
          <w:szCs w:val="24"/>
          <w:lang w:val="en-GB"/>
        </w:rPr>
        <w:t xml:space="preserve"> </w:t>
      </w:r>
      <w:r w:rsidR="00731988">
        <w:rPr>
          <w:rFonts w:cs="Calibri"/>
          <w:sz w:val="24"/>
          <w:szCs w:val="24"/>
          <w:lang w:val="en-GB"/>
        </w:rPr>
        <w:t xml:space="preserve">since </w:t>
      </w:r>
      <w:r w:rsidR="00B41F7A" w:rsidRPr="008F0328">
        <w:rPr>
          <w:rFonts w:cs="Calibri"/>
          <w:sz w:val="24"/>
          <w:szCs w:val="24"/>
          <w:lang w:val="en-GB"/>
        </w:rPr>
        <w:t xml:space="preserve">the negotiations for the </w:t>
      </w:r>
      <w:r w:rsidR="00DD4EC3">
        <w:rPr>
          <w:rFonts w:cs="Calibri"/>
          <w:sz w:val="24"/>
          <w:szCs w:val="24"/>
          <w:lang w:val="en-GB"/>
        </w:rPr>
        <w:t>UDHR</w:t>
      </w:r>
      <w:r w:rsidR="009D5E36">
        <w:rPr>
          <w:rFonts w:cs="Calibri"/>
          <w:sz w:val="24"/>
          <w:szCs w:val="24"/>
          <w:lang w:val="en-GB"/>
        </w:rPr>
        <w:t xml:space="preserve"> </w:t>
      </w:r>
      <w:r w:rsidR="00B41F7A" w:rsidRPr="008F0328">
        <w:rPr>
          <w:rFonts w:cs="Calibri"/>
          <w:sz w:val="24"/>
          <w:szCs w:val="24"/>
          <w:lang w:val="en-GB"/>
        </w:rPr>
        <w:t>in 194</w:t>
      </w:r>
      <w:r w:rsidR="00B41F7A">
        <w:rPr>
          <w:rFonts w:cs="Calibri"/>
          <w:sz w:val="24"/>
          <w:szCs w:val="24"/>
          <w:lang w:val="en-GB"/>
        </w:rPr>
        <w:t>6-</w:t>
      </w:r>
      <w:r w:rsidR="00B41F7A" w:rsidRPr="008F0328">
        <w:rPr>
          <w:rFonts w:cs="Calibri"/>
          <w:sz w:val="24"/>
          <w:szCs w:val="24"/>
          <w:lang w:val="en-GB"/>
        </w:rPr>
        <w:t xml:space="preserve">1948, </w:t>
      </w:r>
      <w:r>
        <w:rPr>
          <w:rFonts w:cs="Calibri"/>
          <w:sz w:val="24"/>
          <w:szCs w:val="24"/>
          <w:lang w:val="en-GB"/>
        </w:rPr>
        <w:t xml:space="preserve">the specification of the right to </w:t>
      </w:r>
      <w:r w:rsidR="00B41F7A" w:rsidRPr="008F0328">
        <w:rPr>
          <w:rFonts w:cs="Calibri"/>
          <w:sz w:val="24"/>
          <w:szCs w:val="24"/>
          <w:lang w:val="en-GB"/>
        </w:rPr>
        <w:t>social security</w:t>
      </w:r>
      <w:r>
        <w:rPr>
          <w:rFonts w:cs="Calibri"/>
          <w:sz w:val="24"/>
          <w:szCs w:val="24"/>
          <w:lang w:val="en-GB"/>
        </w:rPr>
        <w:t xml:space="preserve"> had been</w:t>
      </w:r>
      <w:r w:rsidR="00B41F7A" w:rsidRPr="008F0328">
        <w:rPr>
          <w:rFonts w:cs="Calibri"/>
          <w:sz w:val="24"/>
          <w:szCs w:val="24"/>
          <w:lang w:val="en-GB"/>
        </w:rPr>
        <w:t xml:space="preserve"> left to the Internati</w:t>
      </w:r>
      <w:r w:rsidR="00731988">
        <w:rPr>
          <w:rFonts w:cs="Calibri"/>
          <w:sz w:val="24"/>
          <w:szCs w:val="24"/>
          <w:lang w:val="en-GB"/>
        </w:rPr>
        <w:t>onal Labour Organization (ILO).</w:t>
      </w:r>
      <w:r w:rsidR="00731988">
        <w:rPr>
          <w:rStyle w:val="FootnoteReference"/>
          <w:rFonts w:cs="Calibri"/>
          <w:sz w:val="24"/>
          <w:szCs w:val="24"/>
          <w:lang w:val="en-GB"/>
        </w:rPr>
        <w:footnoteReference w:id="1"/>
      </w:r>
      <w:r w:rsidR="00731988">
        <w:rPr>
          <w:rFonts w:cs="Calibri"/>
          <w:sz w:val="24"/>
          <w:szCs w:val="24"/>
          <w:lang w:val="en-GB"/>
        </w:rPr>
        <w:t xml:space="preserve"> S</w:t>
      </w:r>
      <w:r w:rsidR="00B41F7A" w:rsidRPr="008F0328">
        <w:rPr>
          <w:rFonts w:cs="Calibri"/>
          <w:sz w:val="24"/>
          <w:szCs w:val="24"/>
          <w:lang w:val="en-GB"/>
        </w:rPr>
        <w:t xml:space="preserve">ocial security </w:t>
      </w:r>
      <w:r w:rsidR="00B41F7A">
        <w:rPr>
          <w:rFonts w:cs="Calibri"/>
          <w:sz w:val="24"/>
          <w:szCs w:val="24"/>
          <w:lang w:val="en-GB"/>
        </w:rPr>
        <w:t>was considered</w:t>
      </w:r>
      <w:r w:rsidR="00B41F7A" w:rsidRPr="008F0328">
        <w:rPr>
          <w:rFonts w:cs="Calibri"/>
          <w:sz w:val="24"/>
          <w:szCs w:val="24"/>
          <w:lang w:val="en-GB"/>
        </w:rPr>
        <w:t xml:space="preserve"> the remit of the ILO. </w:t>
      </w:r>
      <w:r w:rsidR="00C15EC9">
        <w:rPr>
          <w:rFonts w:cs="Calibri"/>
          <w:sz w:val="24"/>
          <w:szCs w:val="24"/>
          <w:lang w:val="en-GB"/>
        </w:rPr>
        <w:t xml:space="preserve">Moreover, </w:t>
      </w:r>
      <w:r w:rsidR="00C15EC9" w:rsidRPr="008F0328">
        <w:rPr>
          <w:rFonts w:cs="Calibri"/>
          <w:sz w:val="24"/>
          <w:szCs w:val="24"/>
          <w:lang w:val="en-GB"/>
        </w:rPr>
        <w:t>social security move</w:t>
      </w:r>
      <w:r w:rsidR="00C15EC9">
        <w:rPr>
          <w:rFonts w:cs="Calibri"/>
          <w:sz w:val="24"/>
          <w:szCs w:val="24"/>
          <w:lang w:val="en-GB"/>
        </w:rPr>
        <w:t>d</w:t>
      </w:r>
      <w:r w:rsidR="00C15EC9" w:rsidRPr="008F0328">
        <w:rPr>
          <w:rFonts w:cs="Calibri"/>
          <w:sz w:val="24"/>
          <w:szCs w:val="24"/>
          <w:lang w:val="en-GB"/>
        </w:rPr>
        <w:t xml:space="preserve"> to centre stage of </w:t>
      </w:r>
      <w:r w:rsidR="00A411D8">
        <w:rPr>
          <w:rFonts w:cs="Calibri"/>
          <w:sz w:val="24"/>
          <w:szCs w:val="24"/>
          <w:lang w:val="en-GB"/>
        </w:rPr>
        <w:t>politics and society o</w:t>
      </w:r>
      <w:r w:rsidR="00A411D8" w:rsidRPr="008F0328">
        <w:rPr>
          <w:rFonts w:cs="Calibri"/>
          <w:sz w:val="24"/>
          <w:szCs w:val="24"/>
          <w:lang w:val="en-GB"/>
        </w:rPr>
        <w:t xml:space="preserve">nly after </w:t>
      </w:r>
      <w:r w:rsidR="00A411D8">
        <w:rPr>
          <w:rFonts w:cs="Calibri"/>
          <w:sz w:val="24"/>
          <w:szCs w:val="24"/>
          <w:lang w:val="en-GB"/>
        </w:rPr>
        <w:t>the UDHR, as part of</w:t>
      </w:r>
      <w:r w:rsidR="00A411D8" w:rsidRPr="008F0328">
        <w:rPr>
          <w:rFonts w:cs="Calibri"/>
          <w:sz w:val="24"/>
          <w:szCs w:val="24"/>
          <w:lang w:val="en-GB"/>
        </w:rPr>
        <w:t xml:space="preserve"> </w:t>
      </w:r>
      <w:r w:rsidR="00C15EC9" w:rsidRPr="008F0328">
        <w:rPr>
          <w:rFonts w:cs="Calibri"/>
          <w:sz w:val="24"/>
          <w:szCs w:val="24"/>
          <w:lang w:val="en-GB"/>
        </w:rPr>
        <w:t>the emerg</w:t>
      </w:r>
      <w:r w:rsidR="00A411D8">
        <w:rPr>
          <w:rFonts w:cs="Calibri"/>
          <w:sz w:val="24"/>
          <w:szCs w:val="24"/>
          <w:lang w:val="en-GB"/>
        </w:rPr>
        <w:t>ence of</w:t>
      </w:r>
      <w:r w:rsidR="00C15EC9" w:rsidRPr="008F0328">
        <w:rPr>
          <w:rFonts w:cs="Calibri"/>
          <w:sz w:val="24"/>
          <w:szCs w:val="24"/>
          <w:lang w:val="en-GB"/>
        </w:rPr>
        <w:t xml:space="preserve"> "welfare states".</w:t>
      </w:r>
      <w:r w:rsidR="00731988">
        <w:rPr>
          <w:rFonts w:cs="Calibri"/>
          <w:sz w:val="24"/>
          <w:szCs w:val="24"/>
          <w:lang w:val="en-GB"/>
        </w:rPr>
        <w:t xml:space="preserve"> </w:t>
      </w:r>
      <w:r w:rsidR="00731988" w:rsidRPr="008F0328">
        <w:rPr>
          <w:rFonts w:cs="Calibri"/>
          <w:sz w:val="24"/>
          <w:szCs w:val="24"/>
          <w:lang w:val="en-GB"/>
        </w:rPr>
        <w:t xml:space="preserve">Before, issues of labour rights and working conditions </w:t>
      </w:r>
      <w:r w:rsidR="00DD4EC3">
        <w:rPr>
          <w:rFonts w:cs="Calibri"/>
          <w:sz w:val="24"/>
          <w:szCs w:val="24"/>
          <w:lang w:val="en-GB"/>
        </w:rPr>
        <w:t xml:space="preserve">had been </w:t>
      </w:r>
      <w:r w:rsidR="00731988" w:rsidRPr="008F0328">
        <w:rPr>
          <w:rFonts w:cs="Calibri"/>
          <w:sz w:val="24"/>
          <w:szCs w:val="24"/>
          <w:lang w:val="en-GB"/>
        </w:rPr>
        <w:t xml:space="preserve">at the centre of national social policies in the </w:t>
      </w:r>
      <w:r w:rsidR="00DD4EC3">
        <w:rPr>
          <w:rFonts w:cs="Calibri"/>
          <w:sz w:val="24"/>
          <w:szCs w:val="24"/>
          <w:lang w:val="en-GB"/>
        </w:rPr>
        <w:t xml:space="preserve">global </w:t>
      </w:r>
      <w:r w:rsidR="00731988" w:rsidRPr="008F0328">
        <w:rPr>
          <w:rFonts w:cs="Calibri"/>
          <w:sz w:val="24"/>
          <w:szCs w:val="24"/>
          <w:lang w:val="en-GB"/>
        </w:rPr>
        <w:t>North.</w:t>
      </w:r>
    </w:p>
    <w:p w14:paraId="3B949D9E" w14:textId="77777777" w:rsidR="00B41F7A" w:rsidRPr="008F0328" w:rsidRDefault="00B41F7A" w:rsidP="00B41F7A">
      <w:pPr>
        <w:widowControl w:val="0"/>
        <w:autoSpaceDE w:val="0"/>
        <w:autoSpaceDN w:val="0"/>
        <w:adjustRightInd w:val="0"/>
        <w:spacing w:after="0" w:line="240" w:lineRule="auto"/>
        <w:rPr>
          <w:rFonts w:cs="Calibri"/>
          <w:sz w:val="24"/>
          <w:szCs w:val="24"/>
          <w:lang w:val="en-GB"/>
        </w:rPr>
      </w:pPr>
    </w:p>
    <w:p w14:paraId="4F6F94CF" w14:textId="77777777" w:rsidR="00B41F7A" w:rsidRDefault="005F6BF6" w:rsidP="00B41F7A">
      <w:pPr>
        <w:widowControl w:val="0"/>
        <w:autoSpaceDE w:val="0"/>
        <w:autoSpaceDN w:val="0"/>
        <w:adjustRightInd w:val="0"/>
        <w:spacing w:after="0" w:line="240" w:lineRule="auto"/>
        <w:rPr>
          <w:rFonts w:cs="Calibri"/>
          <w:sz w:val="24"/>
          <w:szCs w:val="24"/>
          <w:lang w:val="en-GB"/>
        </w:rPr>
      </w:pPr>
      <w:r>
        <w:rPr>
          <w:rFonts w:cs="Calibri"/>
          <w:sz w:val="24"/>
          <w:szCs w:val="24"/>
          <w:lang w:val="en-GB"/>
        </w:rPr>
        <w:t>A</w:t>
      </w:r>
      <w:r w:rsidR="00B41F7A" w:rsidRPr="008F0328">
        <w:rPr>
          <w:rFonts w:cs="Calibri"/>
          <w:sz w:val="24"/>
          <w:szCs w:val="24"/>
          <w:lang w:val="en-GB"/>
        </w:rPr>
        <w:t>rticle 11</w:t>
      </w:r>
      <w:r w:rsidR="00A411D8">
        <w:rPr>
          <w:rFonts w:cs="Calibri"/>
          <w:sz w:val="24"/>
          <w:szCs w:val="24"/>
          <w:lang w:val="en-GB"/>
        </w:rPr>
        <w:t xml:space="preserve"> ICESCR</w:t>
      </w:r>
      <w:r w:rsidR="00B41F7A" w:rsidRPr="008F0328">
        <w:rPr>
          <w:rFonts w:cs="Calibri"/>
          <w:sz w:val="24"/>
          <w:szCs w:val="24"/>
          <w:lang w:val="en-GB"/>
        </w:rPr>
        <w:t xml:space="preserve"> on living standards is</w:t>
      </w:r>
      <w:r w:rsidR="00A411D8">
        <w:rPr>
          <w:rFonts w:cs="Calibri"/>
          <w:sz w:val="24"/>
          <w:szCs w:val="24"/>
          <w:lang w:val="en-GB"/>
        </w:rPr>
        <w:t xml:space="preserve"> also</w:t>
      </w:r>
      <w:r w:rsidR="00B41F7A" w:rsidRPr="008F0328">
        <w:rPr>
          <w:rFonts w:cs="Calibri"/>
          <w:sz w:val="24"/>
          <w:szCs w:val="24"/>
          <w:lang w:val="en-GB"/>
        </w:rPr>
        <w:t xml:space="preserve"> vague, positing only "adequate" standards. The reason is that during </w:t>
      </w:r>
      <w:r w:rsidR="00B41F7A">
        <w:rPr>
          <w:rFonts w:cs="Calibri"/>
          <w:sz w:val="24"/>
          <w:szCs w:val="24"/>
          <w:lang w:val="en-GB"/>
        </w:rPr>
        <w:t>the negotiations in 1946-</w:t>
      </w:r>
      <w:r w:rsidR="00B41F7A" w:rsidRPr="008F0328">
        <w:rPr>
          <w:rFonts w:cs="Calibri"/>
          <w:sz w:val="24"/>
          <w:szCs w:val="24"/>
          <w:lang w:val="en-GB"/>
        </w:rPr>
        <w:t>1948, a consensus on standards could not be reached, not even a consensus on securing a minimum.</w:t>
      </w:r>
      <w:r w:rsidR="000E230B">
        <w:rPr>
          <w:rStyle w:val="FootnoteReference"/>
          <w:rFonts w:cs="Calibri"/>
          <w:sz w:val="24"/>
          <w:szCs w:val="24"/>
          <w:lang w:val="en-GB"/>
        </w:rPr>
        <w:footnoteReference w:id="2"/>
      </w:r>
      <w:r w:rsidR="00B41F7A" w:rsidRPr="008F0328">
        <w:rPr>
          <w:rFonts w:cs="Calibri"/>
          <w:sz w:val="24"/>
          <w:szCs w:val="24"/>
          <w:lang w:val="en-GB"/>
        </w:rPr>
        <w:t xml:space="preserve"> In fact, </w:t>
      </w:r>
      <w:r w:rsidR="00B41F7A">
        <w:rPr>
          <w:rFonts w:cs="Calibri"/>
          <w:sz w:val="24"/>
          <w:szCs w:val="24"/>
          <w:lang w:val="en-GB"/>
        </w:rPr>
        <w:t xml:space="preserve">present-day </w:t>
      </w:r>
      <w:r w:rsidR="00B41F7A" w:rsidRPr="008F0328">
        <w:rPr>
          <w:rFonts w:cs="Calibri"/>
          <w:sz w:val="24"/>
          <w:szCs w:val="24"/>
          <w:lang w:val="en-GB"/>
        </w:rPr>
        <w:t>documents by major international organisations tend to focus on extending coverage, while largely remaining vague or silent on the level of benefits, let alone defining benefit standard</w:t>
      </w:r>
      <w:r>
        <w:rPr>
          <w:rFonts w:cs="Calibri"/>
          <w:sz w:val="24"/>
          <w:szCs w:val="24"/>
          <w:lang w:val="en-GB"/>
        </w:rPr>
        <w:t>s</w:t>
      </w:r>
      <w:r w:rsidR="00B41F7A" w:rsidRPr="008F0328">
        <w:rPr>
          <w:rFonts w:cs="Calibri"/>
          <w:sz w:val="24"/>
          <w:szCs w:val="24"/>
          <w:lang w:val="en-GB"/>
        </w:rPr>
        <w:t>.</w:t>
      </w:r>
    </w:p>
    <w:p w14:paraId="06AC9DF2" w14:textId="77777777" w:rsidR="005C10D9" w:rsidRDefault="005C10D9" w:rsidP="005C10D9">
      <w:pPr>
        <w:widowControl w:val="0"/>
        <w:autoSpaceDE w:val="0"/>
        <w:autoSpaceDN w:val="0"/>
        <w:adjustRightInd w:val="0"/>
        <w:spacing w:after="0" w:line="240" w:lineRule="auto"/>
        <w:rPr>
          <w:rFonts w:cs="Calibri"/>
          <w:sz w:val="24"/>
          <w:szCs w:val="24"/>
          <w:lang w:val="en-GB"/>
        </w:rPr>
      </w:pPr>
    </w:p>
    <w:p w14:paraId="2734111A" w14:textId="77777777" w:rsidR="00151CCB" w:rsidRDefault="00151CCB" w:rsidP="005C10D9">
      <w:pPr>
        <w:widowControl w:val="0"/>
        <w:autoSpaceDE w:val="0"/>
        <w:autoSpaceDN w:val="0"/>
        <w:adjustRightInd w:val="0"/>
        <w:spacing w:after="0" w:line="240" w:lineRule="auto"/>
        <w:rPr>
          <w:rFonts w:cs="Calibri"/>
          <w:sz w:val="24"/>
          <w:szCs w:val="24"/>
          <w:lang w:val="en-GB"/>
        </w:rPr>
      </w:pPr>
      <w:r>
        <w:rPr>
          <w:rFonts w:cs="Calibri"/>
          <w:sz w:val="24"/>
          <w:szCs w:val="24"/>
          <w:lang w:val="en-GB"/>
        </w:rPr>
        <w:t>We argue that</w:t>
      </w:r>
      <w:r w:rsidR="005C10D9">
        <w:rPr>
          <w:rFonts w:cs="Calibri"/>
          <w:sz w:val="24"/>
          <w:szCs w:val="24"/>
          <w:lang w:val="en-GB"/>
        </w:rPr>
        <w:t xml:space="preserve"> the right to social security need</w:t>
      </w:r>
      <w:r w:rsidR="00B41F7A">
        <w:rPr>
          <w:rFonts w:cs="Calibri"/>
          <w:sz w:val="24"/>
          <w:szCs w:val="24"/>
          <w:lang w:val="en-GB"/>
        </w:rPr>
        <w:t>s</w:t>
      </w:r>
      <w:r w:rsidR="005C10D9">
        <w:rPr>
          <w:rFonts w:cs="Calibri"/>
          <w:sz w:val="24"/>
          <w:szCs w:val="24"/>
          <w:lang w:val="en-GB"/>
        </w:rPr>
        <w:t xml:space="preserve"> to be specified </w:t>
      </w:r>
      <w:r w:rsidR="00E30C65">
        <w:rPr>
          <w:rFonts w:cs="Calibri"/>
          <w:sz w:val="24"/>
          <w:szCs w:val="24"/>
          <w:lang w:val="en-GB"/>
        </w:rPr>
        <w:t xml:space="preserve">in a new human rights instrument </w:t>
      </w:r>
      <w:r w:rsidR="005C10D9">
        <w:rPr>
          <w:rFonts w:cs="Calibri"/>
          <w:sz w:val="24"/>
          <w:szCs w:val="24"/>
          <w:lang w:val="en-GB"/>
        </w:rPr>
        <w:t xml:space="preserve">in view of </w:t>
      </w:r>
      <w:r>
        <w:rPr>
          <w:rFonts w:cs="Calibri"/>
          <w:sz w:val="24"/>
          <w:szCs w:val="24"/>
          <w:lang w:val="en-GB"/>
        </w:rPr>
        <w:t xml:space="preserve">strengthening </w:t>
      </w:r>
      <w:r w:rsidRPr="003932FB">
        <w:rPr>
          <w:rFonts w:cs="Calibri"/>
          <w:sz w:val="24"/>
          <w:szCs w:val="24"/>
          <w:lang w:val="en-US"/>
        </w:rPr>
        <w:t>the protection of the human rights of older persons</w:t>
      </w:r>
      <w:r w:rsidR="005C10D9">
        <w:rPr>
          <w:rFonts w:cs="Calibri"/>
          <w:sz w:val="24"/>
          <w:szCs w:val="24"/>
          <w:lang w:val="en-GB"/>
        </w:rPr>
        <w:t>:</w:t>
      </w:r>
    </w:p>
    <w:p w14:paraId="1380D12A" w14:textId="77777777" w:rsidR="005C10D9" w:rsidRDefault="005C10D9" w:rsidP="005C10D9">
      <w:pPr>
        <w:widowControl w:val="0"/>
        <w:autoSpaceDE w:val="0"/>
        <w:autoSpaceDN w:val="0"/>
        <w:adjustRightInd w:val="0"/>
        <w:spacing w:after="0" w:line="240" w:lineRule="auto"/>
        <w:rPr>
          <w:rFonts w:cs="Calibri"/>
          <w:sz w:val="24"/>
          <w:szCs w:val="24"/>
          <w:lang w:val="en-GB"/>
        </w:rPr>
      </w:pPr>
      <w:r>
        <w:rPr>
          <w:rFonts w:cs="Calibri"/>
          <w:sz w:val="24"/>
          <w:szCs w:val="24"/>
          <w:lang w:val="en-GB"/>
        </w:rPr>
        <w:lastRenderedPageBreak/>
        <w:t xml:space="preserve"> </w:t>
      </w:r>
    </w:p>
    <w:p w14:paraId="4FE4ED02" w14:textId="77777777" w:rsidR="005C10D9" w:rsidRDefault="00F8370B" w:rsidP="00F8370B">
      <w:pPr>
        <w:widowControl w:val="0"/>
        <w:autoSpaceDE w:val="0"/>
        <w:autoSpaceDN w:val="0"/>
        <w:adjustRightInd w:val="0"/>
        <w:spacing w:after="0" w:line="240" w:lineRule="auto"/>
        <w:rPr>
          <w:rFonts w:cs="Calibri"/>
          <w:sz w:val="24"/>
          <w:szCs w:val="24"/>
          <w:lang w:val="en-GB"/>
        </w:rPr>
      </w:pPr>
      <w:r>
        <w:rPr>
          <w:rFonts w:cs="Calibri"/>
          <w:b/>
          <w:sz w:val="24"/>
          <w:szCs w:val="24"/>
          <w:lang w:val="en-GB"/>
        </w:rPr>
        <w:t>1. Set standards for an</w:t>
      </w:r>
      <w:r w:rsidR="005C10D9">
        <w:rPr>
          <w:rFonts w:cs="Calibri"/>
          <w:b/>
          <w:sz w:val="24"/>
          <w:szCs w:val="24"/>
          <w:lang w:val="en-GB"/>
        </w:rPr>
        <w:t xml:space="preserve"> adequate age of retirement</w:t>
      </w:r>
      <w:r w:rsidR="005C10D9">
        <w:rPr>
          <w:rFonts w:cs="Calibri"/>
          <w:sz w:val="24"/>
          <w:szCs w:val="24"/>
          <w:lang w:val="en-GB"/>
        </w:rPr>
        <w:t xml:space="preserve"> (age threshold that qualifies for receiving a pension). In some countries of the global South, the qualifying age of social pensions is so high that most older persons have died before reaching that age. This nullifies the right to a pension.</w:t>
      </w:r>
    </w:p>
    <w:p w14:paraId="1C653AC6" w14:textId="77777777" w:rsidR="00F8370B" w:rsidRDefault="00F8370B" w:rsidP="00F8370B">
      <w:pPr>
        <w:widowControl w:val="0"/>
        <w:autoSpaceDE w:val="0"/>
        <w:autoSpaceDN w:val="0"/>
        <w:adjustRightInd w:val="0"/>
        <w:spacing w:after="0" w:line="240" w:lineRule="auto"/>
        <w:rPr>
          <w:rFonts w:cs="Calibri"/>
          <w:b/>
          <w:sz w:val="24"/>
          <w:szCs w:val="24"/>
          <w:lang w:val="en-GB"/>
        </w:rPr>
      </w:pPr>
    </w:p>
    <w:p w14:paraId="728C779F" w14:textId="372BCAE3" w:rsidR="005C10D9" w:rsidRDefault="00F8370B" w:rsidP="00F8370B">
      <w:pPr>
        <w:widowControl w:val="0"/>
        <w:autoSpaceDE w:val="0"/>
        <w:autoSpaceDN w:val="0"/>
        <w:adjustRightInd w:val="0"/>
        <w:spacing w:after="0" w:line="240" w:lineRule="auto"/>
        <w:rPr>
          <w:rFonts w:cs="Calibri"/>
          <w:sz w:val="24"/>
          <w:szCs w:val="24"/>
          <w:lang w:val="en-GB"/>
        </w:rPr>
      </w:pPr>
      <w:r>
        <w:rPr>
          <w:rFonts w:cs="Calibri"/>
          <w:b/>
          <w:sz w:val="24"/>
          <w:szCs w:val="24"/>
          <w:lang w:val="en-GB"/>
        </w:rPr>
        <w:t xml:space="preserve">2. Set standards for </w:t>
      </w:r>
      <w:r w:rsidR="005C10D9">
        <w:rPr>
          <w:rFonts w:cs="Calibri"/>
          <w:b/>
          <w:sz w:val="24"/>
          <w:szCs w:val="24"/>
          <w:lang w:val="en-GB"/>
        </w:rPr>
        <w:t>a socio-cultural minimum.</w:t>
      </w:r>
      <w:r w:rsidR="005C10D9">
        <w:rPr>
          <w:rFonts w:cs="Calibri"/>
          <w:sz w:val="24"/>
          <w:szCs w:val="24"/>
          <w:lang w:val="en-GB"/>
        </w:rPr>
        <w:t xml:space="preserve"> Older person</w:t>
      </w:r>
      <w:r w:rsidR="00E6590A">
        <w:rPr>
          <w:rFonts w:cs="Calibri"/>
          <w:sz w:val="24"/>
          <w:szCs w:val="24"/>
          <w:lang w:val="en-GB"/>
        </w:rPr>
        <w:t>s</w:t>
      </w:r>
      <w:r w:rsidR="005C10D9">
        <w:rPr>
          <w:rFonts w:cs="Calibri"/>
          <w:sz w:val="24"/>
          <w:szCs w:val="24"/>
          <w:lang w:val="en-GB"/>
        </w:rPr>
        <w:t xml:space="preserve"> have the right to a pension that secures a socio-cultural minimum and enables participation in society. When it comes to standards of living and welfare benefits, human rights documents often use vague terms like “adequa</w:t>
      </w:r>
      <w:r>
        <w:rPr>
          <w:rFonts w:cs="Calibri"/>
          <w:sz w:val="24"/>
          <w:szCs w:val="24"/>
          <w:lang w:val="en-GB"/>
        </w:rPr>
        <w:t>cy</w:t>
      </w:r>
      <w:r w:rsidR="005C10D9">
        <w:rPr>
          <w:rFonts w:cs="Calibri"/>
          <w:sz w:val="24"/>
          <w:szCs w:val="24"/>
          <w:lang w:val="en-GB"/>
        </w:rPr>
        <w:t>”. This should be specified to a socio-cultural minimum.</w:t>
      </w:r>
      <w:r w:rsidR="005C10D9">
        <w:rPr>
          <w:rStyle w:val="FootnoteReference"/>
          <w:rFonts w:cs="Calibri"/>
          <w:sz w:val="24"/>
          <w:szCs w:val="24"/>
          <w:lang w:val="en-GB"/>
        </w:rPr>
        <w:footnoteReference w:id="3"/>
      </w:r>
    </w:p>
    <w:p w14:paraId="11D609B9" w14:textId="77777777" w:rsidR="00F8370B" w:rsidRDefault="00F8370B" w:rsidP="00F8370B">
      <w:pPr>
        <w:widowControl w:val="0"/>
        <w:autoSpaceDE w:val="0"/>
        <w:autoSpaceDN w:val="0"/>
        <w:adjustRightInd w:val="0"/>
        <w:spacing w:after="0" w:line="240" w:lineRule="auto"/>
        <w:rPr>
          <w:rFonts w:cs="Calibri"/>
          <w:b/>
          <w:sz w:val="24"/>
          <w:szCs w:val="24"/>
          <w:lang w:val="en-GB"/>
        </w:rPr>
      </w:pPr>
    </w:p>
    <w:p w14:paraId="5B3FB487" w14:textId="77777777" w:rsidR="005C10D9" w:rsidRDefault="00F8370B" w:rsidP="00F8370B">
      <w:pPr>
        <w:widowControl w:val="0"/>
        <w:autoSpaceDE w:val="0"/>
        <w:autoSpaceDN w:val="0"/>
        <w:adjustRightInd w:val="0"/>
        <w:spacing w:after="0" w:line="240" w:lineRule="auto"/>
        <w:rPr>
          <w:rFonts w:cs="Calibri"/>
          <w:sz w:val="24"/>
          <w:szCs w:val="24"/>
          <w:lang w:val="en-GB"/>
        </w:rPr>
      </w:pPr>
      <w:r>
        <w:rPr>
          <w:rFonts w:cs="Calibri"/>
          <w:b/>
          <w:sz w:val="24"/>
          <w:szCs w:val="24"/>
          <w:lang w:val="en-GB"/>
        </w:rPr>
        <w:t xml:space="preserve">3. </w:t>
      </w:r>
      <w:r w:rsidR="005C10D9">
        <w:rPr>
          <w:rFonts w:cs="Calibri"/>
          <w:b/>
          <w:sz w:val="24"/>
          <w:szCs w:val="24"/>
          <w:lang w:val="en-GB"/>
        </w:rPr>
        <w:t xml:space="preserve">Secure a legal base </w:t>
      </w:r>
      <w:r>
        <w:rPr>
          <w:rFonts w:cs="Calibri"/>
          <w:b/>
          <w:sz w:val="24"/>
          <w:szCs w:val="24"/>
          <w:lang w:val="en-GB"/>
        </w:rPr>
        <w:t>for</w:t>
      </w:r>
      <w:r w:rsidR="005C10D9">
        <w:rPr>
          <w:rFonts w:cs="Calibri"/>
          <w:b/>
          <w:sz w:val="24"/>
          <w:szCs w:val="24"/>
          <w:lang w:val="en-GB"/>
        </w:rPr>
        <w:t xml:space="preserve"> old-age pensions.</w:t>
      </w:r>
      <w:r>
        <w:rPr>
          <w:rFonts w:cs="Calibri"/>
          <w:sz w:val="24"/>
          <w:szCs w:val="24"/>
          <w:lang w:val="en-GB"/>
        </w:rPr>
        <w:t xml:space="preserve"> The r</w:t>
      </w:r>
      <w:r w:rsidR="005C10D9">
        <w:rPr>
          <w:rFonts w:cs="Calibri"/>
          <w:sz w:val="24"/>
          <w:szCs w:val="24"/>
          <w:lang w:val="en-GB"/>
        </w:rPr>
        <w:t>ights to</w:t>
      </w:r>
      <w:r>
        <w:rPr>
          <w:rFonts w:cs="Calibri"/>
          <w:sz w:val="24"/>
          <w:szCs w:val="24"/>
          <w:lang w:val="en-GB"/>
        </w:rPr>
        <w:t xml:space="preserve"> an old-age</w:t>
      </w:r>
      <w:r w:rsidR="005C10D9">
        <w:rPr>
          <w:rFonts w:cs="Calibri"/>
          <w:sz w:val="24"/>
          <w:szCs w:val="24"/>
          <w:lang w:val="en-GB"/>
        </w:rPr>
        <w:t xml:space="preserve"> pension ought to be laid down in statute</w:t>
      </w:r>
      <w:r w:rsidR="005C10D9">
        <w:rPr>
          <w:rStyle w:val="FootnoteReference"/>
          <w:rFonts w:cs="Calibri"/>
          <w:sz w:val="24"/>
          <w:szCs w:val="24"/>
          <w:lang w:val="en-GB"/>
        </w:rPr>
        <w:footnoteReference w:id="4"/>
      </w:r>
      <w:r w:rsidR="005C10D9">
        <w:rPr>
          <w:rFonts w:cs="Calibri"/>
          <w:sz w:val="24"/>
          <w:szCs w:val="24"/>
          <w:lang w:val="en-GB"/>
        </w:rPr>
        <w:t xml:space="preserve"> or even be constitutionalised. Nationally defined "guarantees", as called for in the ILO Social Protection Floors, are not enough. A study of social pensions in the global South found that 40% of social </w:t>
      </w:r>
      <w:r w:rsidR="00A411D8">
        <w:rPr>
          <w:rFonts w:cs="Calibri"/>
          <w:sz w:val="24"/>
          <w:szCs w:val="24"/>
          <w:lang w:val="en-GB"/>
        </w:rPr>
        <w:t>pensions have a weak legal base,</w:t>
      </w:r>
      <w:r>
        <w:rPr>
          <w:rStyle w:val="FootnoteReference"/>
          <w:rFonts w:cs="Calibri"/>
          <w:sz w:val="24"/>
          <w:szCs w:val="24"/>
          <w:lang w:val="en-GB"/>
        </w:rPr>
        <w:footnoteReference w:id="5"/>
      </w:r>
      <w:r w:rsidR="00A411D8">
        <w:rPr>
          <w:rFonts w:cs="Calibri"/>
          <w:sz w:val="24"/>
          <w:szCs w:val="24"/>
          <w:lang w:val="en-GB"/>
        </w:rPr>
        <w:t xml:space="preserve"> and this impairs the right to a pension.</w:t>
      </w:r>
    </w:p>
    <w:p w14:paraId="35FD9355" w14:textId="77777777" w:rsidR="00F8370B" w:rsidRDefault="00F8370B" w:rsidP="00F8370B">
      <w:pPr>
        <w:widowControl w:val="0"/>
        <w:autoSpaceDE w:val="0"/>
        <w:autoSpaceDN w:val="0"/>
        <w:adjustRightInd w:val="0"/>
        <w:spacing w:after="0" w:line="240" w:lineRule="auto"/>
        <w:rPr>
          <w:rFonts w:cs="Calibri"/>
          <w:b/>
          <w:sz w:val="24"/>
          <w:szCs w:val="24"/>
          <w:lang w:val="en-GB"/>
        </w:rPr>
      </w:pPr>
    </w:p>
    <w:p w14:paraId="5C09FA1F" w14:textId="77777777" w:rsidR="009D5E36" w:rsidRDefault="009D5E36" w:rsidP="009D5E36">
      <w:pPr>
        <w:widowControl w:val="0"/>
        <w:autoSpaceDE w:val="0"/>
        <w:autoSpaceDN w:val="0"/>
        <w:adjustRightInd w:val="0"/>
        <w:spacing w:after="0" w:line="240" w:lineRule="auto"/>
        <w:rPr>
          <w:rFonts w:cs="Calibri"/>
          <w:sz w:val="24"/>
          <w:szCs w:val="24"/>
          <w:lang w:val="en-GB"/>
        </w:rPr>
      </w:pPr>
      <w:r>
        <w:rPr>
          <w:rFonts w:cs="Calibri"/>
          <w:b/>
          <w:sz w:val="24"/>
          <w:szCs w:val="24"/>
          <w:lang w:val="en-GB"/>
        </w:rPr>
        <w:t>4.</w:t>
      </w:r>
      <w:r w:rsidR="00A411D8">
        <w:rPr>
          <w:rFonts w:cs="Calibri"/>
          <w:b/>
          <w:sz w:val="24"/>
          <w:szCs w:val="24"/>
          <w:lang w:val="en-GB"/>
        </w:rPr>
        <w:t xml:space="preserve"> UN human rights law should t</w:t>
      </w:r>
      <w:r w:rsidR="005C10D9">
        <w:rPr>
          <w:rFonts w:cs="Calibri"/>
          <w:b/>
          <w:sz w:val="24"/>
          <w:szCs w:val="24"/>
          <w:lang w:val="en-GB"/>
        </w:rPr>
        <w:t xml:space="preserve">ake account of </w:t>
      </w:r>
      <w:r w:rsidR="00731988">
        <w:rPr>
          <w:rFonts w:cs="Calibri"/>
          <w:b/>
          <w:sz w:val="24"/>
          <w:szCs w:val="24"/>
          <w:lang w:val="en-GB"/>
        </w:rPr>
        <w:t xml:space="preserve">new forms of </w:t>
      </w:r>
      <w:r w:rsidR="005C10D9">
        <w:rPr>
          <w:rFonts w:cs="Calibri"/>
          <w:b/>
          <w:sz w:val="24"/>
          <w:szCs w:val="24"/>
          <w:lang w:val="en-GB"/>
        </w:rPr>
        <w:t>old-age security</w:t>
      </w:r>
      <w:r w:rsidR="00731988">
        <w:rPr>
          <w:rFonts w:cs="Calibri"/>
          <w:b/>
          <w:sz w:val="24"/>
          <w:szCs w:val="24"/>
          <w:lang w:val="en-GB"/>
        </w:rPr>
        <w:t xml:space="preserve"> </w:t>
      </w:r>
      <w:r w:rsidR="00731988" w:rsidRPr="00731988">
        <w:rPr>
          <w:rFonts w:cs="Calibri"/>
          <w:sz w:val="24"/>
          <w:szCs w:val="24"/>
          <w:lang w:val="en-GB"/>
        </w:rPr>
        <w:t>that have spread</w:t>
      </w:r>
      <w:r w:rsidR="005C10D9">
        <w:rPr>
          <w:rFonts w:cs="Calibri"/>
          <w:b/>
          <w:sz w:val="24"/>
          <w:szCs w:val="24"/>
          <w:lang w:val="en-GB"/>
        </w:rPr>
        <w:t xml:space="preserve"> </w:t>
      </w:r>
      <w:r w:rsidR="005C10D9">
        <w:rPr>
          <w:rFonts w:cs="Calibri"/>
          <w:sz w:val="24"/>
          <w:szCs w:val="24"/>
          <w:lang w:val="en-GB"/>
        </w:rPr>
        <w:t xml:space="preserve">after 1948, 1966, and 2002, that is, after the UDHR, the ICESCR, and the Madrid International Plan of Action on Ageing (MIPAA) respectively. </w:t>
      </w:r>
      <w:r w:rsidR="00731988">
        <w:rPr>
          <w:rFonts w:cs="Calibri"/>
          <w:sz w:val="24"/>
          <w:szCs w:val="24"/>
          <w:lang w:val="en-GB"/>
        </w:rPr>
        <w:t>Two major changes are not accounted for in either of these three documents</w:t>
      </w:r>
      <w:r w:rsidR="00DD4EC3">
        <w:rPr>
          <w:rFonts w:cs="Calibri"/>
          <w:sz w:val="24"/>
          <w:szCs w:val="24"/>
          <w:lang w:val="en-GB"/>
        </w:rPr>
        <w:t>:</w:t>
      </w:r>
    </w:p>
    <w:p w14:paraId="05CD53BA" w14:textId="77777777" w:rsidR="009D5E36" w:rsidRDefault="009D5E36" w:rsidP="009D5E36">
      <w:pPr>
        <w:widowControl w:val="0"/>
        <w:autoSpaceDE w:val="0"/>
        <w:autoSpaceDN w:val="0"/>
        <w:adjustRightInd w:val="0"/>
        <w:spacing w:after="0" w:line="240" w:lineRule="auto"/>
        <w:rPr>
          <w:rFonts w:cs="Calibri"/>
          <w:sz w:val="24"/>
          <w:szCs w:val="24"/>
          <w:lang w:val="en-GB"/>
        </w:rPr>
      </w:pPr>
    </w:p>
    <w:p w14:paraId="3111BF98" w14:textId="77777777" w:rsidR="00A411D8" w:rsidRDefault="009D5E36" w:rsidP="009D5E36">
      <w:pPr>
        <w:widowControl w:val="0"/>
        <w:autoSpaceDE w:val="0"/>
        <w:autoSpaceDN w:val="0"/>
        <w:adjustRightInd w:val="0"/>
        <w:spacing w:after="0" w:line="240" w:lineRule="auto"/>
        <w:rPr>
          <w:rFonts w:cs="Calibri"/>
          <w:sz w:val="24"/>
          <w:szCs w:val="24"/>
          <w:lang w:val="en-GB"/>
        </w:rPr>
      </w:pPr>
      <w:r>
        <w:rPr>
          <w:rFonts w:cs="Calibri"/>
          <w:sz w:val="24"/>
          <w:szCs w:val="24"/>
          <w:lang w:val="en-GB"/>
        </w:rPr>
        <w:t xml:space="preserve">4.1 </w:t>
      </w:r>
      <w:r w:rsidR="00A411D8">
        <w:rPr>
          <w:rFonts w:cs="Calibri"/>
          <w:sz w:val="24"/>
          <w:szCs w:val="24"/>
          <w:lang w:val="en-GB"/>
        </w:rPr>
        <w:t xml:space="preserve">The rise of </w:t>
      </w:r>
      <w:r w:rsidR="00A411D8">
        <w:rPr>
          <w:rFonts w:cs="Calibri"/>
          <w:b/>
          <w:sz w:val="24"/>
          <w:szCs w:val="24"/>
          <w:lang w:val="en-GB"/>
        </w:rPr>
        <w:t xml:space="preserve">social </w:t>
      </w:r>
      <w:r w:rsidR="000E230B">
        <w:rPr>
          <w:rFonts w:cs="Calibri"/>
          <w:sz w:val="24"/>
          <w:szCs w:val="24"/>
          <w:lang w:val="en-GB"/>
        </w:rPr>
        <w:t xml:space="preserve">(i.e. non-contributory) </w:t>
      </w:r>
      <w:r w:rsidR="00A411D8">
        <w:rPr>
          <w:rFonts w:cs="Calibri"/>
          <w:b/>
          <w:sz w:val="24"/>
          <w:szCs w:val="24"/>
          <w:lang w:val="en-GB"/>
        </w:rPr>
        <w:t>pensions</w:t>
      </w:r>
      <w:r w:rsidR="00A411D8">
        <w:rPr>
          <w:rFonts w:cs="Calibri"/>
          <w:sz w:val="24"/>
          <w:szCs w:val="24"/>
          <w:lang w:val="en-GB"/>
        </w:rPr>
        <w:t xml:space="preserve"> for older persons</w:t>
      </w:r>
    </w:p>
    <w:p w14:paraId="10EFE677" w14:textId="77777777" w:rsidR="00A411D8" w:rsidRDefault="00A411D8" w:rsidP="009D5E36">
      <w:pPr>
        <w:widowControl w:val="0"/>
        <w:autoSpaceDE w:val="0"/>
        <w:autoSpaceDN w:val="0"/>
        <w:adjustRightInd w:val="0"/>
        <w:spacing w:after="0" w:line="240" w:lineRule="auto"/>
        <w:rPr>
          <w:rFonts w:cs="Calibri"/>
          <w:sz w:val="24"/>
          <w:szCs w:val="24"/>
          <w:lang w:val="en-GB"/>
        </w:rPr>
      </w:pPr>
    </w:p>
    <w:p w14:paraId="5E691834" w14:textId="77777777" w:rsidR="00DD4EC3" w:rsidRDefault="005C10D9" w:rsidP="009D5E36">
      <w:pPr>
        <w:widowControl w:val="0"/>
        <w:autoSpaceDE w:val="0"/>
        <w:autoSpaceDN w:val="0"/>
        <w:adjustRightInd w:val="0"/>
        <w:spacing w:after="0" w:line="240" w:lineRule="auto"/>
        <w:rPr>
          <w:rFonts w:cs="Calibri"/>
          <w:sz w:val="24"/>
          <w:szCs w:val="24"/>
          <w:lang w:val="en-GB"/>
        </w:rPr>
      </w:pPr>
      <w:r>
        <w:rPr>
          <w:rFonts w:cs="Calibri"/>
          <w:sz w:val="24"/>
          <w:szCs w:val="24"/>
          <w:lang w:val="en-GB"/>
        </w:rPr>
        <w:t>One major change not accounted for in</w:t>
      </w:r>
      <w:r w:rsidR="00731988">
        <w:rPr>
          <w:rFonts w:cs="Calibri"/>
          <w:sz w:val="24"/>
          <w:szCs w:val="24"/>
          <w:lang w:val="en-GB"/>
        </w:rPr>
        <w:t xml:space="preserve"> the</w:t>
      </w:r>
      <w:r>
        <w:rPr>
          <w:rFonts w:cs="Calibri"/>
          <w:sz w:val="24"/>
          <w:szCs w:val="24"/>
          <w:lang w:val="en-GB"/>
        </w:rPr>
        <w:t xml:space="preserve"> three documents is the massive spread of non-contributory social cash transfers for the poor in the global South since the late 1990s, which include </w:t>
      </w:r>
      <w:r w:rsidRPr="00A411D8">
        <w:rPr>
          <w:rFonts w:cs="Calibri"/>
          <w:sz w:val="24"/>
          <w:szCs w:val="24"/>
          <w:lang w:val="en-GB"/>
        </w:rPr>
        <w:t xml:space="preserve">social </w:t>
      </w:r>
      <w:r w:rsidR="000E230B">
        <w:rPr>
          <w:rFonts w:cs="Calibri"/>
          <w:sz w:val="24"/>
          <w:szCs w:val="24"/>
          <w:lang w:val="en-GB"/>
        </w:rPr>
        <w:t xml:space="preserve">(non-contributory) </w:t>
      </w:r>
      <w:r w:rsidRPr="00A411D8">
        <w:rPr>
          <w:rFonts w:cs="Calibri"/>
          <w:sz w:val="24"/>
          <w:szCs w:val="24"/>
          <w:lang w:val="en-GB"/>
        </w:rPr>
        <w:t>pensions</w:t>
      </w:r>
      <w:r>
        <w:rPr>
          <w:rFonts w:cs="Calibri"/>
          <w:sz w:val="24"/>
          <w:szCs w:val="24"/>
          <w:lang w:val="en-GB"/>
        </w:rPr>
        <w:t xml:space="preserve"> for older persons. </w:t>
      </w:r>
      <w:r w:rsidR="00DD4EC3">
        <w:rPr>
          <w:rFonts w:cs="Calibri"/>
          <w:sz w:val="24"/>
          <w:szCs w:val="24"/>
          <w:lang w:val="en-GB"/>
        </w:rPr>
        <w:t>The rise of social cash transfers for the poor</w:t>
      </w:r>
      <w:r w:rsidR="00DD4EC3" w:rsidRPr="008F0328">
        <w:rPr>
          <w:rFonts w:cs="Calibri"/>
          <w:sz w:val="24"/>
          <w:szCs w:val="24"/>
          <w:lang w:val="en-GB"/>
        </w:rPr>
        <w:t xml:space="preserve"> </w:t>
      </w:r>
      <w:r w:rsidR="00DD4EC3">
        <w:rPr>
          <w:rFonts w:cs="Calibri"/>
          <w:sz w:val="24"/>
          <w:szCs w:val="24"/>
          <w:lang w:val="en-GB"/>
        </w:rPr>
        <w:t xml:space="preserve">constituted </w:t>
      </w:r>
      <w:r w:rsidR="009D5E36" w:rsidRPr="008F0328">
        <w:rPr>
          <w:rFonts w:cs="Calibri"/>
          <w:sz w:val="24"/>
          <w:szCs w:val="24"/>
          <w:lang w:val="en-GB"/>
        </w:rPr>
        <w:t>a "development revolution from the global South"</w:t>
      </w:r>
      <w:r w:rsidR="00DD4EC3">
        <w:rPr>
          <w:rStyle w:val="FootnoteReference"/>
          <w:rFonts w:cs="Calibri"/>
          <w:sz w:val="24"/>
          <w:szCs w:val="24"/>
          <w:lang w:val="en-GB"/>
        </w:rPr>
        <w:footnoteReference w:id="6"/>
      </w:r>
      <w:r w:rsidR="009D5E36" w:rsidRPr="008F0328">
        <w:rPr>
          <w:rFonts w:cs="Calibri"/>
          <w:sz w:val="24"/>
          <w:szCs w:val="24"/>
          <w:lang w:val="en-GB"/>
        </w:rPr>
        <w:t>, which for the first time bestowed social rights on millions of poor persons</w:t>
      </w:r>
      <w:r w:rsidR="009D5E36">
        <w:rPr>
          <w:rFonts w:cs="Calibri"/>
          <w:sz w:val="24"/>
          <w:szCs w:val="24"/>
          <w:lang w:val="en-GB"/>
        </w:rPr>
        <w:t>, including older persons</w:t>
      </w:r>
      <w:r w:rsidR="009D5E36" w:rsidRPr="008F0328">
        <w:rPr>
          <w:rFonts w:cs="Calibri"/>
          <w:sz w:val="24"/>
          <w:szCs w:val="24"/>
          <w:lang w:val="en-GB"/>
        </w:rPr>
        <w:t>. The idea of "just giving money to the poor"</w:t>
      </w:r>
      <w:r w:rsidR="00DD4EC3">
        <w:rPr>
          <w:rStyle w:val="FootnoteReference"/>
          <w:rFonts w:cs="Calibri"/>
          <w:sz w:val="24"/>
          <w:szCs w:val="24"/>
          <w:lang w:val="en-GB"/>
        </w:rPr>
        <w:footnoteReference w:id="7"/>
      </w:r>
      <w:r w:rsidR="009D5E36" w:rsidRPr="008F0328">
        <w:rPr>
          <w:rFonts w:cs="Calibri"/>
          <w:sz w:val="24"/>
          <w:szCs w:val="24"/>
          <w:lang w:val="en-GB"/>
        </w:rPr>
        <w:t xml:space="preserve"> was remote in 1948 </w:t>
      </w:r>
      <w:r w:rsidR="009D5E36">
        <w:rPr>
          <w:rFonts w:cs="Calibri"/>
          <w:sz w:val="24"/>
          <w:szCs w:val="24"/>
          <w:lang w:val="en-GB"/>
        </w:rPr>
        <w:t xml:space="preserve">and </w:t>
      </w:r>
      <w:r w:rsidR="009D5E36" w:rsidRPr="008F0328">
        <w:rPr>
          <w:rFonts w:cs="Calibri"/>
          <w:sz w:val="24"/>
          <w:szCs w:val="24"/>
          <w:lang w:val="en-GB"/>
        </w:rPr>
        <w:t>1966 (even though the ILO had always mentioned social assistance besides social insurance, most explicitly in Recommendation 67 of 1944, the Income Security Recommendation).</w:t>
      </w:r>
      <w:r w:rsidR="009D5E36">
        <w:rPr>
          <w:rFonts w:cs="Calibri"/>
          <w:sz w:val="24"/>
          <w:szCs w:val="24"/>
          <w:lang w:val="en-GB"/>
        </w:rPr>
        <w:t xml:space="preserve"> </w:t>
      </w:r>
    </w:p>
    <w:p w14:paraId="00D26CD8" w14:textId="77777777" w:rsidR="00DD4EC3" w:rsidRDefault="00DD4EC3" w:rsidP="009D5E36">
      <w:pPr>
        <w:widowControl w:val="0"/>
        <w:autoSpaceDE w:val="0"/>
        <w:autoSpaceDN w:val="0"/>
        <w:adjustRightInd w:val="0"/>
        <w:spacing w:after="0" w:line="240" w:lineRule="auto"/>
        <w:rPr>
          <w:rFonts w:cs="Calibri"/>
          <w:sz w:val="24"/>
          <w:szCs w:val="24"/>
          <w:lang w:val="en-GB"/>
        </w:rPr>
      </w:pPr>
    </w:p>
    <w:p w14:paraId="23A647CD" w14:textId="77777777" w:rsidR="009D5E36" w:rsidRDefault="009D5E36" w:rsidP="009D5E36">
      <w:pPr>
        <w:widowControl w:val="0"/>
        <w:autoSpaceDE w:val="0"/>
        <w:autoSpaceDN w:val="0"/>
        <w:adjustRightInd w:val="0"/>
        <w:spacing w:after="0" w:line="240" w:lineRule="auto"/>
        <w:rPr>
          <w:rFonts w:cs="Calibri"/>
          <w:sz w:val="24"/>
          <w:szCs w:val="24"/>
          <w:lang w:val="en-GB"/>
        </w:rPr>
      </w:pPr>
      <w:r>
        <w:rPr>
          <w:rFonts w:cs="Calibri"/>
          <w:sz w:val="24"/>
          <w:szCs w:val="24"/>
          <w:lang w:val="en-GB"/>
        </w:rPr>
        <w:lastRenderedPageBreak/>
        <w:t>The rise of social cash transfers</w:t>
      </w:r>
      <w:r w:rsidR="00AC1380">
        <w:rPr>
          <w:rFonts w:cs="Calibri"/>
          <w:sz w:val="24"/>
          <w:szCs w:val="24"/>
          <w:lang w:val="en-GB"/>
        </w:rPr>
        <w:t xml:space="preserve"> was</w:t>
      </w:r>
      <w:r>
        <w:rPr>
          <w:rFonts w:cs="Calibri"/>
          <w:sz w:val="24"/>
          <w:szCs w:val="24"/>
          <w:lang w:val="en-GB"/>
        </w:rPr>
        <w:t xml:space="preserve"> reflected in the UN human rights systems as late as 2008, when the General Comment no. 19 on Article 9 ICESCR</w:t>
      </w:r>
      <w:r>
        <w:rPr>
          <w:rStyle w:val="FootnoteReference"/>
          <w:rFonts w:cs="Calibri"/>
          <w:sz w:val="24"/>
          <w:szCs w:val="24"/>
          <w:lang w:val="en-GB"/>
        </w:rPr>
        <w:footnoteReference w:id="8"/>
      </w:r>
      <w:r w:rsidR="00C15EC9">
        <w:rPr>
          <w:rFonts w:cs="Calibri"/>
          <w:sz w:val="24"/>
          <w:szCs w:val="24"/>
          <w:lang w:val="en-GB"/>
        </w:rPr>
        <w:t xml:space="preserve"> required </w:t>
      </w:r>
      <w:r w:rsidR="005C10D9">
        <w:rPr>
          <w:rFonts w:cs="Calibri"/>
          <w:sz w:val="24"/>
          <w:szCs w:val="24"/>
          <w:lang w:val="en-GB"/>
        </w:rPr>
        <w:t>“Non-contributory schemes … or targeted social assistance schemes”, including for older persons</w:t>
      </w:r>
      <w:r w:rsidR="005C10D9">
        <w:rPr>
          <w:rStyle w:val="FootnoteReference"/>
          <w:rFonts w:cs="Calibri"/>
          <w:sz w:val="24"/>
          <w:szCs w:val="24"/>
          <w:lang w:val="en-GB"/>
        </w:rPr>
        <w:footnoteReference w:id="9"/>
      </w:r>
      <w:r w:rsidR="00C15EC9">
        <w:rPr>
          <w:rFonts w:cs="Calibri"/>
          <w:sz w:val="24"/>
          <w:szCs w:val="24"/>
          <w:lang w:val="en-GB"/>
        </w:rPr>
        <w:t xml:space="preserve">. </w:t>
      </w:r>
      <w:r w:rsidR="00AC1380">
        <w:rPr>
          <w:rFonts w:cs="Calibri"/>
          <w:sz w:val="24"/>
          <w:szCs w:val="24"/>
          <w:lang w:val="en-GB"/>
        </w:rPr>
        <w:t>But n</w:t>
      </w:r>
      <w:r w:rsidR="00C15EC9">
        <w:rPr>
          <w:rFonts w:cs="Calibri"/>
          <w:sz w:val="24"/>
          <w:szCs w:val="24"/>
          <w:lang w:val="en-GB"/>
        </w:rPr>
        <w:t>on-contributory (“social”) pensions</w:t>
      </w:r>
      <w:r w:rsidR="005C10D9">
        <w:rPr>
          <w:rFonts w:cs="Calibri"/>
          <w:sz w:val="24"/>
          <w:szCs w:val="24"/>
          <w:lang w:val="en-GB"/>
        </w:rPr>
        <w:t xml:space="preserve"> need to be spelt out and regulated in a human rights convention</w:t>
      </w:r>
      <w:r w:rsidR="00AC1380">
        <w:rPr>
          <w:rFonts w:cs="Calibri"/>
          <w:sz w:val="24"/>
          <w:szCs w:val="24"/>
          <w:lang w:val="en-GB"/>
        </w:rPr>
        <w:t xml:space="preserve"> beyond the General Comment</w:t>
      </w:r>
      <w:r w:rsidR="005C10D9">
        <w:rPr>
          <w:rFonts w:cs="Calibri"/>
          <w:sz w:val="24"/>
          <w:szCs w:val="24"/>
          <w:lang w:val="en-GB"/>
        </w:rPr>
        <w:t xml:space="preserve">, since </w:t>
      </w:r>
      <w:r w:rsidR="00AC1380">
        <w:rPr>
          <w:rFonts w:cs="Calibri"/>
          <w:sz w:val="24"/>
          <w:szCs w:val="24"/>
          <w:lang w:val="en-GB"/>
        </w:rPr>
        <w:t xml:space="preserve">social pensions </w:t>
      </w:r>
      <w:r w:rsidR="005C10D9">
        <w:rPr>
          <w:rFonts w:cs="Calibri"/>
          <w:sz w:val="24"/>
          <w:szCs w:val="24"/>
          <w:lang w:val="en-GB"/>
        </w:rPr>
        <w:t>have become the mainstay of social security for many of the poor in the global South and only 50% of the Southern countries have set up a social pension.</w:t>
      </w:r>
      <w:r w:rsidR="00AC1380">
        <w:rPr>
          <w:rStyle w:val="FootnoteReference"/>
          <w:rFonts w:cs="Calibri"/>
          <w:sz w:val="24"/>
          <w:szCs w:val="24"/>
          <w:lang w:val="en-GB"/>
        </w:rPr>
        <w:footnoteReference w:id="10"/>
      </w:r>
    </w:p>
    <w:p w14:paraId="3D1D5931" w14:textId="77777777" w:rsidR="009D5E36" w:rsidRDefault="009D5E36" w:rsidP="009D5E36">
      <w:pPr>
        <w:widowControl w:val="0"/>
        <w:autoSpaceDE w:val="0"/>
        <w:autoSpaceDN w:val="0"/>
        <w:adjustRightInd w:val="0"/>
        <w:spacing w:after="0" w:line="240" w:lineRule="auto"/>
        <w:rPr>
          <w:rFonts w:cs="Calibri"/>
          <w:sz w:val="24"/>
          <w:szCs w:val="24"/>
          <w:lang w:val="en-GB"/>
        </w:rPr>
      </w:pPr>
    </w:p>
    <w:p w14:paraId="29F38A5A" w14:textId="77777777" w:rsidR="00A411D8" w:rsidRPr="00A411D8" w:rsidRDefault="00C15EC9" w:rsidP="009D5E36">
      <w:pPr>
        <w:widowControl w:val="0"/>
        <w:autoSpaceDE w:val="0"/>
        <w:autoSpaceDN w:val="0"/>
        <w:adjustRightInd w:val="0"/>
        <w:spacing w:after="0" w:line="240" w:lineRule="auto"/>
        <w:rPr>
          <w:rFonts w:cs="Calibri"/>
          <w:b/>
          <w:sz w:val="24"/>
          <w:szCs w:val="24"/>
          <w:lang w:val="en-GB"/>
        </w:rPr>
      </w:pPr>
      <w:r>
        <w:rPr>
          <w:rFonts w:cs="Calibri"/>
          <w:sz w:val="24"/>
          <w:szCs w:val="24"/>
          <w:lang w:val="en-GB"/>
        </w:rPr>
        <w:t xml:space="preserve">4.2 </w:t>
      </w:r>
      <w:r w:rsidR="00A411D8">
        <w:rPr>
          <w:rFonts w:cs="Calibri"/>
          <w:sz w:val="24"/>
          <w:szCs w:val="24"/>
          <w:lang w:val="en-GB"/>
        </w:rPr>
        <w:t xml:space="preserve">The rise of </w:t>
      </w:r>
      <w:r w:rsidR="00A411D8" w:rsidRPr="00A411D8">
        <w:rPr>
          <w:rFonts w:cs="Calibri"/>
          <w:b/>
          <w:sz w:val="24"/>
          <w:szCs w:val="24"/>
          <w:lang w:val="en-GB"/>
        </w:rPr>
        <w:t>occupational and private pensions</w:t>
      </w:r>
    </w:p>
    <w:p w14:paraId="7F0F5CE2" w14:textId="77777777" w:rsidR="00A411D8" w:rsidRDefault="00A411D8" w:rsidP="009D5E36">
      <w:pPr>
        <w:widowControl w:val="0"/>
        <w:autoSpaceDE w:val="0"/>
        <w:autoSpaceDN w:val="0"/>
        <w:adjustRightInd w:val="0"/>
        <w:spacing w:after="0" w:line="240" w:lineRule="auto"/>
        <w:rPr>
          <w:rFonts w:cs="Calibri"/>
          <w:sz w:val="24"/>
          <w:szCs w:val="24"/>
          <w:lang w:val="en-GB"/>
        </w:rPr>
      </w:pPr>
    </w:p>
    <w:p w14:paraId="0B6B412B" w14:textId="77777777" w:rsidR="00A411D8" w:rsidRDefault="005C10D9" w:rsidP="009D5E36">
      <w:pPr>
        <w:widowControl w:val="0"/>
        <w:autoSpaceDE w:val="0"/>
        <w:autoSpaceDN w:val="0"/>
        <w:adjustRightInd w:val="0"/>
        <w:spacing w:after="0" w:line="240" w:lineRule="auto"/>
        <w:rPr>
          <w:rFonts w:cs="Calibri"/>
          <w:sz w:val="24"/>
          <w:szCs w:val="24"/>
          <w:lang w:val="en-GB"/>
        </w:rPr>
      </w:pPr>
      <w:r>
        <w:rPr>
          <w:rFonts w:cs="Calibri"/>
          <w:sz w:val="24"/>
          <w:szCs w:val="24"/>
          <w:lang w:val="en-GB"/>
        </w:rPr>
        <w:t xml:space="preserve">Another major change not accounted for in either of the three documents has been the rise of the middle classes in Southern countries and the attendant spread of occupational and private provisions. </w:t>
      </w:r>
      <w:r w:rsidR="009D5E36" w:rsidRPr="008F0328">
        <w:rPr>
          <w:rFonts w:cs="Calibri"/>
          <w:sz w:val="24"/>
          <w:szCs w:val="24"/>
          <w:lang w:val="en-GB"/>
        </w:rPr>
        <w:t>Push factors included the global campaign by the World Bank to spread private pensions</w:t>
      </w:r>
      <w:r w:rsidR="009D5E36">
        <w:rPr>
          <w:rFonts w:cs="Calibri"/>
          <w:sz w:val="24"/>
          <w:szCs w:val="24"/>
          <w:lang w:val="en-GB"/>
        </w:rPr>
        <w:t>,</w:t>
      </w:r>
      <w:r w:rsidR="009D5E36" w:rsidRPr="008F0328">
        <w:rPr>
          <w:rFonts w:cs="Calibri"/>
          <w:sz w:val="24"/>
          <w:szCs w:val="24"/>
          <w:lang w:val="en-GB"/>
        </w:rPr>
        <w:t xml:space="preserve"> in conjunction with the globalization of financial markets ("financialization").</w:t>
      </w:r>
      <w:r w:rsidR="009D5E36">
        <w:rPr>
          <w:rFonts w:cs="Calibri"/>
          <w:sz w:val="24"/>
          <w:szCs w:val="24"/>
          <w:lang w:val="en-GB"/>
        </w:rPr>
        <w:t xml:space="preserve"> Occupational and private welfare are often forgotten in development and human rights debates.</w:t>
      </w:r>
      <w:r w:rsidR="00A411D8">
        <w:rPr>
          <w:rFonts w:cs="Calibri"/>
          <w:sz w:val="24"/>
          <w:szCs w:val="24"/>
          <w:lang w:val="en-GB"/>
        </w:rPr>
        <w:t xml:space="preserve"> </w:t>
      </w:r>
      <w:r w:rsidR="00AC1380">
        <w:rPr>
          <w:rFonts w:cs="Calibri"/>
          <w:sz w:val="24"/>
          <w:szCs w:val="24"/>
          <w:lang w:val="en-GB"/>
        </w:rPr>
        <w:t>But h</w:t>
      </w:r>
      <w:r w:rsidR="00A411D8" w:rsidRPr="00A411D8">
        <w:rPr>
          <w:rFonts w:cs="Calibri"/>
          <w:sz w:val="24"/>
          <w:szCs w:val="24"/>
          <w:lang w:val="en-GB"/>
        </w:rPr>
        <w:t>uman rights are not only geared to the poor, the middle classes also have a right to social security, and this may include private schemes. Moreover, there is social mobility. Some of the poor may move up on the social ladder and also seek private provision to complement public provisions for old age.</w:t>
      </w:r>
    </w:p>
    <w:p w14:paraId="2CAFB3DD" w14:textId="77777777" w:rsidR="00A411D8" w:rsidRDefault="00A411D8" w:rsidP="009D5E36">
      <w:pPr>
        <w:widowControl w:val="0"/>
        <w:autoSpaceDE w:val="0"/>
        <w:autoSpaceDN w:val="0"/>
        <w:adjustRightInd w:val="0"/>
        <w:spacing w:after="0" w:line="240" w:lineRule="auto"/>
        <w:rPr>
          <w:rFonts w:cs="Calibri"/>
          <w:sz w:val="24"/>
          <w:szCs w:val="24"/>
          <w:lang w:val="en-GB"/>
        </w:rPr>
      </w:pPr>
    </w:p>
    <w:p w14:paraId="6B93E353" w14:textId="77777777" w:rsidR="005C10D9" w:rsidRDefault="005C10D9" w:rsidP="009D5E36">
      <w:pPr>
        <w:widowControl w:val="0"/>
        <w:autoSpaceDE w:val="0"/>
        <w:autoSpaceDN w:val="0"/>
        <w:adjustRightInd w:val="0"/>
        <w:spacing w:after="0" w:line="240" w:lineRule="auto"/>
        <w:rPr>
          <w:rFonts w:cs="Calibri"/>
          <w:b/>
          <w:sz w:val="24"/>
          <w:szCs w:val="24"/>
          <w:lang w:val="en-GB"/>
        </w:rPr>
      </w:pPr>
      <w:r>
        <w:rPr>
          <w:rFonts w:cs="Calibri"/>
          <w:sz w:val="24"/>
          <w:szCs w:val="24"/>
          <w:lang w:val="en-GB"/>
        </w:rPr>
        <w:t xml:space="preserve">Occupational and private welfare largely depend on how they are regulated by the state. </w:t>
      </w:r>
      <w:r>
        <w:rPr>
          <w:rFonts w:cs="Calibri"/>
          <w:b/>
          <w:sz w:val="24"/>
          <w:szCs w:val="24"/>
          <w:lang w:val="en-GB"/>
        </w:rPr>
        <w:t>Regulating private welfare</w:t>
      </w:r>
      <w:r>
        <w:rPr>
          <w:rFonts w:cs="Calibri"/>
          <w:sz w:val="24"/>
          <w:szCs w:val="24"/>
          <w:lang w:val="en-GB"/>
        </w:rPr>
        <w:t>, therefore, is part and parcel of social protection policies and should also enter human rights</w:t>
      </w:r>
      <w:r w:rsidR="009D5E36">
        <w:rPr>
          <w:rFonts w:cs="Calibri"/>
          <w:sz w:val="24"/>
          <w:szCs w:val="24"/>
          <w:lang w:val="en-GB"/>
        </w:rPr>
        <w:t xml:space="preserve"> law</w:t>
      </w:r>
      <w:r>
        <w:rPr>
          <w:rFonts w:cs="Calibri"/>
          <w:sz w:val="24"/>
          <w:szCs w:val="24"/>
          <w:lang w:val="en-GB"/>
        </w:rPr>
        <w:t>. The rights of workers to join an occupational pension plan need to be secured, against widespread discriminatory practices. The state may also impose rules on the management of the assets of funded private and occupational schemes and on the adequacy and equity of programme design, such as unisex tariffs or subsidies for families and the low paid.</w:t>
      </w:r>
    </w:p>
    <w:p w14:paraId="2384D047" w14:textId="77777777" w:rsidR="00C368AD" w:rsidRDefault="00C368AD">
      <w:pPr>
        <w:rPr>
          <w:lang w:val="en-GB"/>
        </w:rPr>
      </w:pPr>
    </w:p>
    <w:p w14:paraId="393707A3" w14:textId="77777777" w:rsidR="005C10D9" w:rsidRDefault="005C10D9">
      <w:pPr>
        <w:rPr>
          <w:lang w:val="en-GB"/>
        </w:rPr>
      </w:pPr>
    </w:p>
    <w:sectPr w:rsidR="005C10D9" w:rsidSect="00D5245F">
      <w:headerReference w:type="default" r:id="rId11"/>
      <w:footerReference w:type="default" r:id="rId12"/>
      <w:headerReference w:type="first" r:id="rId13"/>
      <w:footerReference w:type="first" r:id="rId14"/>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DA378" w14:textId="77777777" w:rsidR="00822D42" w:rsidRDefault="00822D42" w:rsidP="005C10D9">
      <w:pPr>
        <w:spacing w:after="0" w:line="240" w:lineRule="auto"/>
      </w:pPr>
      <w:r>
        <w:separator/>
      </w:r>
    </w:p>
  </w:endnote>
  <w:endnote w:type="continuationSeparator" w:id="0">
    <w:p w14:paraId="56C33FD8" w14:textId="77777777" w:rsidR="00822D42" w:rsidRDefault="00822D42" w:rsidP="005C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017619"/>
      <w:docPartObj>
        <w:docPartGallery w:val="Page Numbers (Bottom of Page)"/>
        <w:docPartUnique/>
      </w:docPartObj>
    </w:sdtPr>
    <w:sdtEndPr/>
    <w:sdtContent>
      <w:p w14:paraId="196B2DF4" w14:textId="63EE2612" w:rsidR="00D5245F" w:rsidRDefault="00D5245F">
        <w:pPr>
          <w:pStyle w:val="Footer"/>
          <w:jc w:val="right"/>
        </w:pPr>
        <w:r>
          <w:fldChar w:fldCharType="begin"/>
        </w:r>
        <w:r>
          <w:instrText>PAGE   \* MERGEFORMAT</w:instrText>
        </w:r>
        <w:r>
          <w:fldChar w:fldCharType="separate"/>
        </w:r>
        <w:r w:rsidR="005870CD">
          <w:rPr>
            <w:noProof/>
          </w:rPr>
          <w:t>2</w:t>
        </w:r>
        <w:r>
          <w:fldChar w:fldCharType="end"/>
        </w:r>
      </w:p>
    </w:sdtContent>
  </w:sdt>
  <w:p w14:paraId="75762C51" w14:textId="77777777" w:rsidR="00E25EC5" w:rsidRDefault="00E25EC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40165"/>
      <w:docPartObj>
        <w:docPartGallery w:val="Page Numbers (Bottom of Page)"/>
        <w:docPartUnique/>
      </w:docPartObj>
    </w:sdtPr>
    <w:sdtEndPr/>
    <w:sdtContent>
      <w:p w14:paraId="7C12D357" w14:textId="2E11D004" w:rsidR="00E25EC5" w:rsidRDefault="00E25EC5">
        <w:pPr>
          <w:pStyle w:val="Footer"/>
          <w:jc w:val="right"/>
        </w:pPr>
        <w:r>
          <w:fldChar w:fldCharType="begin"/>
        </w:r>
        <w:r>
          <w:instrText>PAGE   \* MERGEFORMAT</w:instrText>
        </w:r>
        <w:r>
          <w:fldChar w:fldCharType="separate"/>
        </w:r>
        <w:r w:rsidR="005870CD">
          <w:rPr>
            <w:noProof/>
          </w:rPr>
          <w:t>1</w:t>
        </w:r>
        <w:r>
          <w:fldChar w:fldCharType="end"/>
        </w:r>
      </w:p>
    </w:sdtContent>
  </w:sdt>
  <w:p w14:paraId="474E09EF" w14:textId="77777777" w:rsidR="006E64DD" w:rsidRDefault="006E64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CDBDF" w14:textId="77777777" w:rsidR="00822D42" w:rsidRDefault="00822D42" w:rsidP="005C10D9">
      <w:pPr>
        <w:spacing w:after="0" w:line="240" w:lineRule="auto"/>
      </w:pPr>
      <w:r>
        <w:separator/>
      </w:r>
    </w:p>
  </w:footnote>
  <w:footnote w:type="continuationSeparator" w:id="0">
    <w:p w14:paraId="4393FF8B" w14:textId="77777777" w:rsidR="00822D42" w:rsidRDefault="00822D42" w:rsidP="005C10D9">
      <w:pPr>
        <w:spacing w:after="0" w:line="240" w:lineRule="auto"/>
      </w:pPr>
      <w:r>
        <w:continuationSeparator/>
      </w:r>
    </w:p>
  </w:footnote>
  <w:footnote w:id="1">
    <w:p w14:paraId="2BFEEFDB" w14:textId="77777777" w:rsidR="00731988" w:rsidRPr="00F8370B" w:rsidRDefault="00731988" w:rsidP="00731988">
      <w:pPr>
        <w:pStyle w:val="FootnoteText"/>
        <w:rPr>
          <w:lang w:val="en-US"/>
        </w:rPr>
      </w:pPr>
      <w:r>
        <w:rPr>
          <w:rStyle w:val="FootnoteReference"/>
        </w:rPr>
        <w:footnoteRef/>
      </w:r>
      <w:r w:rsidRPr="00F8370B">
        <w:rPr>
          <w:lang w:val="en-US"/>
        </w:rPr>
        <w:t xml:space="preserve"> Davy, Ulrike (2014) ‘How Human Rights Shape Social Citizenship: On Citizenship and the Understanding of Economic and Social Rights’, Washington University Global Studies Law Review, 13, 201–363.</w:t>
      </w:r>
    </w:p>
  </w:footnote>
  <w:footnote w:id="2">
    <w:p w14:paraId="6E446D3D" w14:textId="77777777" w:rsidR="000E230B" w:rsidRPr="000E230B" w:rsidRDefault="000E230B">
      <w:pPr>
        <w:pStyle w:val="FootnoteText"/>
      </w:pPr>
      <w:r>
        <w:rPr>
          <w:rStyle w:val="FootnoteReference"/>
        </w:rPr>
        <w:footnoteRef/>
      </w:r>
      <w:r w:rsidRPr="000E230B">
        <w:t xml:space="preserve"> Davy, Ulrike (2015) ‘Der “Universalismus” der Allgemeinen Erklärung der Menschenrechte: Die Arbeit am Konsens, 1946–1948’, in Bettina Heintz and Britta Leisering, eds., Menschenrechte in der Weltgesellschaft. Deutungswandel und Wirkungsweise eines globalen Leitwerts, Frankfurt and New York: Campus Verlag, 198–235.</w:t>
      </w:r>
    </w:p>
  </w:footnote>
  <w:footnote w:id="3">
    <w:p w14:paraId="521F9E57" w14:textId="77777777" w:rsidR="005C10D9" w:rsidRPr="005C10D9" w:rsidRDefault="005C10D9" w:rsidP="005C10D9">
      <w:pPr>
        <w:pStyle w:val="FootnoteText"/>
        <w:spacing w:after="0"/>
        <w:rPr>
          <w:lang w:val="en-US"/>
        </w:rPr>
      </w:pPr>
      <w:r>
        <w:rPr>
          <w:rStyle w:val="FootnoteReference"/>
        </w:rPr>
        <w:footnoteRef/>
      </w:r>
      <w:r>
        <w:rPr>
          <w:lang w:val="en-US"/>
        </w:rPr>
        <w:t xml:space="preserve"> See Social Code Book (Sozialgesetzbuch), part XII (Germany). For (lower, less distinctive) standards of „adequacy“ see </w:t>
      </w:r>
      <w:r>
        <w:rPr>
          <w:rFonts w:cs="Calibri"/>
          <w:lang w:val="en-US"/>
        </w:rPr>
        <w:t>ICESCR Art.9, 11; CRPD, Art. 28; MIPAA, par. 50, 52. But see ILO Convention No. 102</w:t>
      </w:r>
      <w:r>
        <w:rPr>
          <w:lang w:val="en-US"/>
        </w:rPr>
        <w:t>, Art. 67. For a minimum with qualifications see</w:t>
      </w:r>
      <w:r>
        <w:rPr>
          <w:rFonts w:cs="Calibri"/>
          <w:lang w:val="en-US"/>
        </w:rPr>
        <w:t xml:space="preserve"> ICESCR General Comment No.19, 2008, par. 59. For “basic social protection” and a “sufficient minimum” (relating to income protection) see MIPAA, par. 52, 53.</w:t>
      </w:r>
    </w:p>
  </w:footnote>
  <w:footnote w:id="4">
    <w:p w14:paraId="220A6013" w14:textId="77777777" w:rsidR="005C10D9" w:rsidRPr="005C10D9" w:rsidRDefault="005C10D9" w:rsidP="005C10D9">
      <w:pPr>
        <w:pStyle w:val="FootnoteText"/>
        <w:spacing w:after="0"/>
        <w:rPr>
          <w:lang w:val="en-US"/>
        </w:rPr>
      </w:pPr>
      <w:r>
        <w:rPr>
          <w:rStyle w:val="FootnoteReference"/>
        </w:rPr>
        <w:footnoteRef/>
      </w:r>
      <w:r>
        <w:rPr>
          <w:lang w:val="en-US"/>
        </w:rPr>
        <w:t xml:space="preserve"> </w:t>
      </w:r>
      <w:r>
        <w:rPr>
          <w:rFonts w:cs="Calibri"/>
          <w:lang w:val="en-US"/>
        </w:rPr>
        <w:t>See ICESCR General Comment No.19, 2008, par. 11.</w:t>
      </w:r>
    </w:p>
  </w:footnote>
  <w:footnote w:id="5">
    <w:p w14:paraId="03148509" w14:textId="77777777" w:rsidR="00F8370B" w:rsidRPr="00F8370B" w:rsidRDefault="00F8370B" w:rsidP="00F8370B">
      <w:pPr>
        <w:pStyle w:val="FootnoteText"/>
        <w:rPr>
          <w:lang w:val="en-US"/>
        </w:rPr>
      </w:pPr>
      <w:r>
        <w:rPr>
          <w:rStyle w:val="FootnoteReference"/>
        </w:rPr>
        <w:footnoteRef/>
      </w:r>
      <w:r w:rsidRPr="00F8370B">
        <w:rPr>
          <w:lang w:val="en-US"/>
        </w:rPr>
        <w:t xml:space="preserve"> </w:t>
      </w:r>
      <w:r>
        <w:rPr>
          <w:lang w:val="en-US"/>
        </w:rPr>
        <w:t>Leisering, Lutz (</w:t>
      </w:r>
      <w:r w:rsidRPr="00F8370B">
        <w:rPr>
          <w:lang w:val="en-US"/>
        </w:rPr>
        <w:t>2019</w:t>
      </w:r>
      <w:r>
        <w:rPr>
          <w:lang w:val="en-US"/>
        </w:rPr>
        <w:t xml:space="preserve">) </w:t>
      </w:r>
      <w:r w:rsidRPr="00F8370B">
        <w:rPr>
          <w:lang w:val="en-US"/>
        </w:rPr>
        <w:t>The Global Rise of Social Cash Transfers. How States and International Organizations Constructed a New Instrument for Combating Poverty. O</w:t>
      </w:r>
      <w:r>
        <w:rPr>
          <w:lang w:val="en-US"/>
        </w:rPr>
        <w:t>xford: Oxford University Press.</w:t>
      </w:r>
    </w:p>
  </w:footnote>
  <w:footnote w:id="6">
    <w:p w14:paraId="45404C5D" w14:textId="77777777" w:rsidR="00DD4EC3" w:rsidRPr="00DD4EC3" w:rsidRDefault="00DD4EC3">
      <w:pPr>
        <w:pStyle w:val="FootnoteText"/>
        <w:rPr>
          <w:lang w:val="en-US"/>
        </w:rPr>
      </w:pPr>
      <w:r>
        <w:rPr>
          <w:rStyle w:val="FootnoteReference"/>
        </w:rPr>
        <w:footnoteRef/>
      </w:r>
      <w:r w:rsidRPr="00DD4EC3">
        <w:rPr>
          <w:lang w:val="en-US"/>
        </w:rPr>
        <w:t xml:space="preserve"> Hanlon, Joseph, Armando Barrientos, and David Hulme (2010) Just Give Money to the Poor: The Development Revolution from the Global South, Sterling: Kumarian Press.</w:t>
      </w:r>
    </w:p>
  </w:footnote>
  <w:footnote w:id="7">
    <w:p w14:paraId="4EBE5810" w14:textId="77777777" w:rsidR="00DD4EC3" w:rsidRPr="00DD4EC3" w:rsidRDefault="00DD4EC3">
      <w:pPr>
        <w:pStyle w:val="FootnoteText"/>
        <w:rPr>
          <w:lang w:val="en-US"/>
        </w:rPr>
      </w:pPr>
      <w:r>
        <w:rPr>
          <w:rStyle w:val="FootnoteReference"/>
        </w:rPr>
        <w:footnoteRef/>
      </w:r>
      <w:r w:rsidRPr="00DD4EC3">
        <w:rPr>
          <w:lang w:val="en-US"/>
        </w:rPr>
        <w:t xml:space="preserve"> Hanlon, Joseph, Armando Barrientos, and David Hulme (2010) Just Give Money to the Poor: The Development Revolution from the Global South, Sterling: Kumarian Press.</w:t>
      </w:r>
    </w:p>
  </w:footnote>
  <w:footnote w:id="8">
    <w:p w14:paraId="77454B34" w14:textId="77777777" w:rsidR="009D5E36" w:rsidRPr="005C10D9" w:rsidRDefault="009D5E36" w:rsidP="009D5E36">
      <w:pPr>
        <w:pStyle w:val="FootnoteText"/>
        <w:spacing w:after="0"/>
        <w:rPr>
          <w:lang w:val="en-US"/>
        </w:rPr>
      </w:pPr>
      <w:r>
        <w:rPr>
          <w:rStyle w:val="FootnoteReference"/>
        </w:rPr>
        <w:footnoteRef/>
      </w:r>
      <w:r>
        <w:rPr>
          <w:lang w:val="en-US"/>
        </w:rPr>
        <w:t xml:space="preserve"> </w:t>
      </w:r>
      <w:r>
        <w:rPr>
          <w:rFonts w:cs="Calibri"/>
          <w:lang w:val="en-US"/>
        </w:rPr>
        <w:t>See ICESCR General Comment No.19, 2008, par. 4, 23.</w:t>
      </w:r>
    </w:p>
  </w:footnote>
  <w:footnote w:id="9">
    <w:p w14:paraId="38631196" w14:textId="77777777" w:rsidR="005C10D9" w:rsidRPr="005C10D9" w:rsidRDefault="005C10D9" w:rsidP="005C10D9">
      <w:pPr>
        <w:pStyle w:val="FootnoteText"/>
        <w:spacing w:after="0"/>
        <w:rPr>
          <w:lang w:val="en-US"/>
        </w:rPr>
      </w:pPr>
      <w:r>
        <w:rPr>
          <w:rStyle w:val="FootnoteReference"/>
        </w:rPr>
        <w:footnoteRef/>
      </w:r>
      <w:r>
        <w:rPr>
          <w:lang w:val="en-US"/>
        </w:rPr>
        <w:t xml:space="preserve"> </w:t>
      </w:r>
      <w:r>
        <w:rPr>
          <w:rFonts w:cs="Calibri"/>
          <w:lang w:val="en-US"/>
        </w:rPr>
        <w:t>See ICESCR General Comment No.19, 2008, par. 15.</w:t>
      </w:r>
    </w:p>
  </w:footnote>
  <w:footnote w:id="10">
    <w:p w14:paraId="4BA67F88" w14:textId="77777777" w:rsidR="00AC1380" w:rsidRPr="00AC1380" w:rsidRDefault="00AC1380">
      <w:pPr>
        <w:pStyle w:val="FootnoteText"/>
        <w:rPr>
          <w:lang w:val="en-US"/>
        </w:rPr>
      </w:pPr>
      <w:r>
        <w:rPr>
          <w:rStyle w:val="FootnoteReference"/>
        </w:rPr>
        <w:footnoteRef/>
      </w:r>
      <w:r w:rsidRPr="00AC1380">
        <w:rPr>
          <w:lang w:val="en-US"/>
        </w:rPr>
        <w:t xml:space="preserve"> </w:t>
      </w:r>
      <w:r>
        <w:rPr>
          <w:lang w:val="en-US"/>
        </w:rPr>
        <w:t>Leisering, Lutz (</w:t>
      </w:r>
      <w:r w:rsidRPr="00F8370B">
        <w:rPr>
          <w:lang w:val="en-US"/>
        </w:rPr>
        <w:t>2019</w:t>
      </w:r>
      <w:r>
        <w:rPr>
          <w:lang w:val="en-US"/>
        </w:rPr>
        <w:t xml:space="preserve">) </w:t>
      </w:r>
      <w:r w:rsidRPr="00F8370B">
        <w:rPr>
          <w:lang w:val="en-US"/>
        </w:rPr>
        <w:t>The Global Rise of Social Cash Transfers. How States and International Organizations Constructed a New Instrument for Combating Poverty. O</w:t>
      </w:r>
      <w:r>
        <w:rPr>
          <w:lang w:val="en-US"/>
        </w:rPr>
        <w:t xml:space="preserve">xford: Oxford University Press. See also HelpAge International, </w:t>
      </w:r>
      <w:r w:rsidRPr="00AC1380">
        <w:rPr>
          <w:lang w:val="en-US"/>
        </w:rPr>
        <w:t>http://www.pension-watch.net/social-pensions-database/social-pensions-database--/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215786"/>
      <w:docPartObj>
        <w:docPartGallery w:val="Page Numbers (Top of Page)"/>
        <w:docPartUnique/>
      </w:docPartObj>
    </w:sdtPr>
    <w:sdtEndPr/>
    <w:sdtContent>
      <w:p w14:paraId="7ADE46BE" w14:textId="13D6AEB8" w:rsidR="00A411D8" w:rsidRDefault="005870CD">
        <w:pPr>
          <w:pStyle w:val="Header"/>
          <w:jc w:val="center"/>
        </w:pPr>
      </w:p>
    </w:sdtContent>
  </w:sdt>
  <w:p w14:paraId="3C4CD7CB" w14:textId="201FA048" w:rsidR="00A411D8" w:rsidRDefault="006E64DD" w:rsidP="006E64DD">
    <w:pPr>
      <w:pStyle w:val="Header"/>
      <w:jc w:val="right"/>
    </w:pPr>
    <w:r>
      <w:rPr>
        <w:noProof/>
        <w:lang w:val="en-GB" w:eastAsia="en-GB"/>
      </w:rPr>
      <w:drawing>
        <wp:inline distT="0" distB="0" distL="0" distR="0" wp14:anchorId="51A67BFC" wp14:editId="5F0A1049">
          <wp:extent cx="902335" cy="6400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64008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9A3C2" w14:textId="7B33E6EC" w:rsidR="006E64DD" w:rsidRDefault="006E64DD" w:rsidP="006E64DD">
    <w:pPr>
      <w:pStyle w:val="Header"/>
      <w:jc w:val="right"/>
    </w:pPr>
    <w:r>
      <w:rPr>
        <w:noProof/>
        <w:lang w:val="en-GB" w:eastAsia="en-GB"/>
      </w:rPr>
      <w:drawing>
        <wp:inline distT="0" distB="0" distL="0" distR="0" wp14:anchorId="112EEA24" wp14:editId="1C9552F4">
          <wp:extent cx="902779" cy="6381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919939" cy="650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D7FAA"/>
    <w:multiLevelType w:val="hybridMultilevel"/>
    <w:tmpl w:val="026672C2"/>
    <w:lvl w:ilvl="0" w:tplc="FFD8AA7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9B4799B"/>
    <w:multiLevelType w:val="hybridMultilevel"/>
    <w:tmpl w:val="2854A8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1899926-EDBE-4E64-BAAE-67E41A1C9733}"/>
    <w:docVar w:name="dgnword-eventsink" w:val="273850032"/>
  </w:docVars>
  <w:rsids>
    <w:rsidRoot w:val="00A41245"/>
    <w:rsid w:val="00001E80"/>
    <w:rsid w:val="00015E58"/>
    <w:rsid w:val="00086D80"/>
    <w:rsid w:val="000E230B"/>
    <w:rsid w:val="00151CCB"/>
    <w:rsid w:val="001A65B3"/>
    <w:rsid w:val="003902F6"/>
    <w:rsid w:val="003D2588"/>
    <w:rsid w:val="003F17EE"/>
    <w:rsid w:val="00405091"/>
    <w:rsid w:val="00475F80"/>
    <w:rsid w:val="00502E13"/>
    <w:rsid w:val="0054379A"/>
    <w:rsid w:val="005870CD"/>
    <w:rsid w:val="005C10D9"/>
    <w:rsid w:val="005F6BF6"/>
    <w:rsid w:val="006E64DD"/>
    <w:rsid w:val="007038B0"/>
    <w:rsid w:val="00731988"/>
    <w:rsid w:val="007648F0"/>
    <w:rsid w:val="007B41E5"/>
    <w:rsid w:val="00822D42"/>
    <w:rsid w:val="00882C04"/>
    <w:rsid w:val="00947891"/>
    <w:rsid w:val="00977017"/>
    <w:rsid w:val="009D5E36"/>
    <w:rsid w:val="00A411D8"/>
    <w:rsid w:val="00A41245"/>
    <w:rsid w:val="00A46C32"/>
    <w:rsid w:val="00AC1380"/>
    <w:rsid w:val="00B41F7A"/>
    <w:rsid w:val="00BE3E5D"/>
    <w:rsid w:val="00C15EC9"/>
    <w:rsid w:val="00C368AD"/>
    <w:rsid w:val="00C51608"/>
    <w:rsid w:val="00C7153F"/>
    <w:rsid w:val="00D5245F"/>
    <w:rsid w:val="00DD4EC3"/>
    <w:rsid w:val="00DE2FF2"/>
    <w:rsid w:val="00E25EC5"/>
    <w:rsid w:val="00E30C65"/>
    <w:rsid w:val="00E6590A"/>
    <w:rsid w:val="00E94ECF"/>
    <w:rsid w:val="00F14209"/>
    <w:rsid w:val="00F8370B"/>
    <w:rsid w:val="00FA52C7"/>
    <w:rsid w:val="00FD79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5FA565"/>
  <w15:chartTrackingRefBased/>
  <w15:docId w15:val="{8FB84ABE-5EA1-416B-800E-DBEB85D9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0D9"/>
    <w:pPr>
      <w:spacing w:line="256" w:lineRule="auto"/>
    </w:pPr>
    <w:rPr>
      <w:rFonts w:ascii="Calibri" w:eastAsia="Times New Roman" w:hAnsi="Calibri" w:cs="Times New Roman"/>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10D9"/>
    <w:rPr>
      <w:sz w:val="20"/>
      <w:szCs w:val="20"/>
    </w:rPr>
  </w:style>
  <w:style w:type="character" w:customStyle="1" w:styleId="FootnoteTextChar">
    <w:name w:val="Footnote Text Char"/>
    <w:basedOn w:val="DefaultParagraphFont"/>
    <w:link w:val="FootnoteText"/>
    <w:uiPriority w:val="99"/>
    <w:rsid w:val="005C10D9"/>
    <w:rPr>
      <w:rFonts w:ascii="Calibri" w:eastAsia="Times New Roman" w:hAnsi="Calibri" w:cs="Times New Roman"/>
      <w:sz w:val="20"/>
      <w:szCs w:val="20"/>
      <w:lang w:eastAsia="de-DE"/>
    </w:rPr>
  </w:style>
  <w:style w:type="character" w:styleId="FootnoteReference">
    <w:name w:val="footnote reference"/>
    <w:basedOn w:val="DefaultParagraphFont"/>
    <w:uiPriority w:val="99"/>
    <w:semiHidden/>
    <w:unhideWhenUsed/>
    <w:rsid w:val="005C10D9"/>
    <w:rPr>
      <w:vertAlign w:val="superscript"/>
    </w:rPr>
  </w:style>
  <w:style w:type="paragraph" w:styleId="EndnoteText">
    <w:name w:val="endnote text"/>
    <w:basedOn w:val="Normal"/>
    <w:link w:val="EndnoteTextChar"/>
    <w:uiPriority w:val="99"/>
    <w:semiHidden/>
    <w:unhideWhenUsed/>
    <w:rsid w:val="00F837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70B"/>
    <w:rPr>
      <w:rFonts w:ascii="Calibri" w:eastAsia="Times New Roman" w:hAnsi="Calibri" w:cs="Times New Roman"/>
      <w:sz w:val="20"/>
      <w:szCs w:val="20"/>
      <w:lang w:eastAsia="de-DE"/>
    </w:rPr>
  </w:style>
  <w:style w:type="character" w:styleId="EndnoteReference">
    <w:name w:val="endnote reference"/>
    <w:basedOn w:val="DefaultParagraphFont"/>
    <w:uiPriority w:val="99"/>
    <w:semiHidden/>
    <w:unhideWhenUsed/>
    <w:rsid w:val="00F8370B"/>
    <w:rPr>
      <w:vertAlign w:val="superscript"/>
    </w:rPr>
  </w:style>
  <w:style w:type="paragraph" w:styleId="Header">
    <w:name w:val="header"/>
    <w:basedOn w:val="Normal"/>
    <w:link w:val="HeaderChar"/>
    <w:uiPriority w:val="99"/>
    <w:unhideWhenUsed/>
    <w:rsid w:val="00A411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11D8"/>
    <w:rPr>
      <w:rFonts w:ascii="Calibri" w:eastAsia="Times New Roman" w:hAnsi="Calibri" w:cs="Times New Roman"/>
      <w:lang w:eastAsia="de-DE"/>
    </w:rPr>
  </w:style>
  <w:style w:type="paragraph" w:styleId="Footer">
    <w:name w:val="footer"/>
    <w:basedOn w:val="Normal"/>
    <w:link w:val="FooterChar"/>
    <w:uiPriority w:val="99"/>
    <w:unhideWhenUsed/>
    <w:rsid w:val="00A411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11D8"/>
    <w:rPr>
      <w:rFonts w:ascii="Calibri" w:eastAsia="Times New Roman" w:hAnsi="Calibri"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59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C29A-24D2-431D-9981-EA8DCDA203AA}"/>
</file>

<file path=customXml/itemProps2.xml><?xml version="1.0" encoding="utf-8"?>
<ds:datastoreItem xmlns:ds="http://schemas.openxmlformats.org/officeDocument/2006/customXml" ds:itemID="{72A41D3B-E763-4398-A917-15B4FDFBFA12}">
  <ds:schemaRefs>
    <ds:schemaRef ds:uri="http://schemas.microsoft.com/sharepoint/v3/contenttype/forms"/>
  </ds:schemaRefs>
</ds:datastoreItem>
</file>

<file path=customXml/itemProps3.xml><?xml version="1.0" encoding="utf-8"?>
<ds:datastoreItem xmlns:ds="http://schemas.openxmlformats.org/officeDocument/2006/customXml" ds:itemID="{6CA7D52D-79A8-4978-A62F-2AE29887C720}">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91754B63-16FC-47E3-B197-A45DD51D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5832</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Leisering</dc:creator>
  <cp:keywords/>
  <dc:description/>
  <cp:lastModifiedBy>OHCHR - ESCR</cp:lastModifiedBy>
  <cp:revision>2</cp:revision>
  <dcterms:created xsi:type="dcterms:W3CDTF">2021-12-09T14:06:00Z</dcterms:created>
  <dcterms:modified xsi:type="dcterms:W3CDTF">2021-12-09T14:06:00Z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