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85" w:rsidRDefault="00F15985" w:rsidP="00F15985">
      <w:pPr>
        <w:jc w:val="center"/>
        <w:rPr>
          <w:rFonts w:eastAsia="Cambria" w:cs="Cambria"/>
          <w:b/>
          <w:sz w:val="56"/>
          <w:szCs w:val="56"/>
          <w:lang w:val="es-ES"/>
        </w:rPr>
      </w:pPr>
      <w:r>
        <w:rPr>
          <w:noProof/>
          <w:lang w:val="en-US"/>
        </w:rPr>
        <w:drawing>
          <wp:inline distT="0" distB="0" distL="0" distR="0">
            <wp:extent cx="2442447" cy="2924175"/>
            <wp:effectExtent l="0" t="0" r="0" b="0"/>
            <wp:docPr id="2" name="Imagen 2" descr="C:\Users\aurbina\AppData\Local\Microsoft\Windows\Temporary Internet Files\Content.Word\marca_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rbina\AppData\Local\Microsoft\Windows\Temporary Internet Files\Content.Word\marca_gobiern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3324" cy="2925225"/>
                    </a:xfrm>
                    <a:prstGeom prst="rect">
                      <a:avLst/>
                    </a:prstGeom>
                    <a:noFill/>
                    <a:ln>
                      <a:noFill/>
                    </a:ln>
                  </pic:spPr>
                </pic:pic>
              </a:graphicData>
            </a:graphic>
          </wp:inline>
        </w:drawing>
      </w:r>
    </w:p>
    <w:p w:rsidR="00F15985" w:rsidRDefault="00F15985" w:rsidP="00F15985">
      <w:pPr>
        <w:rPr>
          <w:rFonts w:eastAsia="Cambria" w:cs="Cambria"/>
          <w:b/>
          <w:sz w:val="56"/>
          <w:szCs w:val="56"/>
          <w:lang w:val="es-ES"/>
        </w:rPr>
      </w:pPr>
    </w:p>
    <w:p w:rsidR="00F15985" w:rsidRPr="0061173B" w:rsidRDefault="00F15985" w:rsidP="00F15985">
      <w:pPr>
        <w:jc w:val="center"/>
        <w:rPr>
          <w:rFonts w:ascii="Bembo Std" w:eastAsia="Cambria" w:hAnsi="Bembo Std" w:cs="Cambria"/>
          <w:b/>
          <w:sz w:val="56"/>
          <w:szCs w:val="56"/>
          <w:lang w:val="es-ES"/>
        </w:rPr>
      </w:pPr>
      <w:r>
        <w:rPr>
          <w:rFonts w:ascii="Bembo Std" w:eastAsia="Cambria" w:hAnsi="Bembo Std" w:cs="Cambria"/>
          <w:b/>
          <w:sz w:val="56"/>
          <w:szCs w:val="56"/>
          <w:lang w:val="es-ES"/>
        </w:rPr>
        <w:t xml:space="preserve">Contribuciones de </w:t>
      </w:r>
      <w:r w:rsidRPr="0061173B">
        <w:rPr>
          <w:rFonts w:ascii="Bembo Std" w:eastAsia="Cambria" w:hAnsi="Bembo Std" w:cs="Cambria"/>
          <w:b/>
          <w:sz w:val="56"/>
          <w:szCs w:val="56"/>
          <w:lang w:val="es-ES"/>
        </w:rPr>
        <w:t>El Salvador</w:t>
      </w:r>
    </w:p>
    <w:p w:rsidR="00F15985" w:rsidRPr="0061173B" w:rsidRDefault="00F15985" w:rsidP="00F15985">
      <w:pPr>
        <w:rPr>
          <w:rFonts w:ascii="Bembo Std" w:hAnsi="Bembo Std"/>
          <w:lang w:val="es-ES_tradnl" w:eastAsia="en-CA"/>
        </w:rPr>
      </w:pPr>
    </w:p>
    <w:p w:rsidR="00F15985" w:rsidRPr="0061173B" w:rsidRDefault="00F15985" w:rsidP="00F15985">
      <w:pPr>
        <w:rPr>
          <w:rFonts w:ascii="Bembo Std" w:hAnsi="Bembo Std"/>
          <w:lang w:val="es-ES_tradnl" w:eastAsia="en-CA"/>
        </w:rPr>
      </w:pPr>
    </w:p>
    <w:p w:rsidR="00F15985" w:rsidRPr="00F15985" w:rsidRDefault="00F15985" w:rsidP="00F15985">
      <w:pPr>
        <w:pStyle w:val="NormalWeb"/>
        <w:spacing w:before="360" w:beforeAutospacing="0" w:after="360" w:afterAutospacing="0"/>
        <w:jc w:val="center"/>
        <w:rPr>
          <w:rFonts w:ascii="Bembo Std" w:eastAsia="Cambria" w:hAnsi="Bembo Std" w:cs="Cambria"/>
          <w:b/>
          <w:sz w:val="40"/>
          <w:szCs w:val="40"/>
          <w:lang w:val="es-ES" w:eastAsia="en-US"/>
        </w:rPr>
      </w:pPr>
      <w:r w:rsidRPr="00F15985">
        <w:rPr>
          <w:rFonts w:ascii="Bembo Std" w:eastAsia="Cambria" w:hAnsi="Bembo Std" w:cs="Cambria"/>
          <w:b/>
          <w:sz w:val="40"/>
          <w:szCs w:val="40"/>
          <w:lang w:val="es-ES" w:eastAsia="en-US"/>
        </w:rPr>
        <w:t>Promoción y la protección de los derechos humanos de las personas de edad, en el marco de la Resolución A/HRC/RES/48/3 “Derechos humanos de las personas de edad.”</w:t>
      </w:r>
    </w:p>
    <w:p w:rsidR="00F15985" w:rsidRPr="00F15985" w:rsidRDefault="00F15985" w:rsidP="00F15985">
      <w:pPr>
        <w:jc w:val="center"/>
        <w:rPr>
          <w:rFonts w:ascii="Bembo Std" w:eastAsia="Cambria" w:hAnsi="Bembo Std" w:cs="Cambria"/>
          <w:b/>
          <w:sz w:val="40"/>
          <w:szCs w:val="40"/>
        </w:rPr>
      </w:pPr>
    </w:p>
    <w:p w:rsidR="00F15985" w:rsidRPr="0061173B" w:rsidRDefault="00F15985" w:rsidP="00F15985">
      <w:pPr>
        <w:jc w:val="center"/>
        <w:rPr>
          <w:rFonts w:ascii="Bembo Std" w:eastAsia="Cambria" w:hAnsi="Bembo Std" w:cs="Cambria"/>
          <w:b/>
          <w:sz w:val="40"/>
          <w:szCs w:val="40"/>
          <w:lang w:val="es-ES"/>
        </w:rPr>
      </w:pPr>
      <w:r>
        <w:rPr>
          <w:rFonts w:ascii="Bembo Std" w:eastAsia="Cambria" w:hAnsi="Bembo Std" w:cs="Cambria"/>
          <w:b/>
          <w:sz w:val="40"/>
          <w:szCs w:val="40"/>
          <w:lang w:val="es-ES"/>
        </w:rPr>
        <w:t>El Salvador, diciembre 2021</w:t>
      </w:r>
    </w:p>
    <w:p w:rsidR="00F44685" w:rsidRDefault="00831E95" w:rsidP="00831E95">
      <w:pPr>
        <w:pStyle w:val="ListParagraph"/>
        <w:numPr>
          <w:ilvl w:val="0"/>
          <w:numId w:val="1"/>
        </w:numPr>
        <w:rPr>
          <w:rFonts w:ascii="Century Gothic" w:eastAsia="Times New Roman" w:hAnsi="Century Gothic" w:cs="Times New Roman"/>
          <w:b/>
          <w:bCs/>
          <w:color w:val="000000"/>
          <w:lang w:eastAsia="es-SV"/>
        </w:rPr>
      </w:pPr>
      <w:r w:rsidRPr="00831E95">
        <w:rPr>
          <w:rFonts w:ascii="Century Gothic" w:eastAsia="Times New Roman" w:hAnsi="Century Gothic" w:cs="Times New Roman"/>
          <w:b/>
          <w:bCs/>
          <w:color w:val="000000"/>
          <w:lang w:eastAsia="es-SV"/>
        </w:rPr>
        <w:lastRenderedPageBreak/>
        <w:t>Disfrute de los derechos civiles, políticos, económicos, sociales y culturales por las personas mayores</w:t>
      </w:r>
    </w:p>
    <w:p w:rsidR="007B29FC" w:rsidRPr="00C45D1E" w:rsidRDefault="007B29FC" w:rsidP="007B29FC">
      <w:pPr>
        <w:pStyle w:val="ListParagraph"/>
        <w:ind w:left="360"/>
        <w:rPr>
          <w:rFonts w:ascii="Century Gothic" w:eastAsia="Times New Roman" w:hAnsi="Century Gothic" w:cs="Times New Roman"/>
          <w:b/>
          <w:bCs/>
          <w:color w:val="000000"/>
          <w:sz w:val="16"/>
          <w:szCs w:val="16"/>
          <w:lang w:eastAsia="es-SV"/>
        </w:rPr>
      </w:pPr>
    </w:p>
    <w:p w:rsidR="009E384A" w:rsidRPr="00AF29F0" w:rsidRDefault="009E384A" w:rsidP="009E384A">
      <w:pPr>
        <w:pStyle w:val="ListParagraph"/>
        <w:numPr>
          <w:ilvl w:val="1"/>
          <w:numId w:val="1"/>
        </w:numPr>
        <w:rPr>
          <w:rFonts w:ascii="Century Gothic" w:eastAsia="Times New Roman" w:hAnsi="Century Gothic" w:cs="Times New Roman"/>
          <w:i/>
          <w:iCs/>
          <w:color w:val="000000"/>
          <w:lang w:eastAsia="es-SV"/>
        </w:rPr>
      </w:pPr>
      <w:r w:rsidRPr="00AF29F0">
        <w:rPr>
          <w:rFonts w:ascii="Century Gothic" w:eastAsia="Times New Roman" w:hAnsi="Century Gothic" w:cs="Times New Roman"/>
          <w:i/>
          <w:iCs/>
          <w:color w:val="000000"/>
          <w:lang w:eastAsia="es-SV"/>
        </w:rPr>
        <w:t>Protección social</w:t>
      </w:r>
    </w:p>
    <w:p w:rsidR="00B9431C" w:rsidRPr="00B9431C" w:rsidRDefault="00B9431C" w:rsidP="00B9431C">
      <w:pPr>
        <w:spacing w:after="0" w:line="240" w:lineRule="auto"/>
        <w:ind w:right="14"/>
        <w:jc w:val="both"/>
        <w:rPr>
          <w:rFonts w:ascii="Century Gothic" w:eastAsia="Times New Roman" w:hAnsi="Century Gothic" w:cs="Times New Roman"/>
          <w:color w:val="000000"/>
          <w:lang w:eastAsia="es-SV"/>
        </w:rPr>
      </w:pPr>
      <w:r w:rsidRPr="00B9431C">
        <w:rPr>
          <w:rFonts w:ascii="Century Gothic" w:eastAsia="Times New Roman" w:hAnsi="Century Gothic" w:cs="Times New Roman"/>
          <w:color w:val="000000"/>
          <w:lang w:eastAsia="es-SV"/>
        </w:rPr>
        <w:t>Por medio del decreto ejecutivo N. 17 emitido el 30 de julio de 2019, se designa a la Presidencia de la República, a través de la Comisionada Presidencial para Operaciones y Gabinete de Gobierno, como la institución pública Coordinadora del Sistema Nacional de Desarrollo, Protección e Inclusión Social, y la institución coordinadora del Subsistema de Protección Social Universal.</w:t>
      </w:r>
    </w:p>
    <w:p w:rsidR="00B9431C" w:rsidRDefault="00B9431C" w:rsidP="00B9431C">
      <w:pPr>
        <w:spacing w:after="0" w:line="240" w:lineRule="auto"/>
        <w:ind w:right="14"/>
        <w:jc w:val="both"/>
        <w:rPr>
          <w:rFonts w:ascii="Century Gothic" w:eastAsia="Times New Roman" w:hAnsi="Century Gothic" w:cs="Times New Roman"/>
          <w:color w:val="000000"/>
          <w:lang w:eastAsia="es-SV"/>
        </w:rPr>
      </w:pPr>
    </w:p>
    <w:p w:rsidR="00B9431C" w:rsidRPr="00B9431C" w:rsidRDefault="00B9431C" w:rsidP="00B9431C">
      <w:pPr>
        <w:spacing w:after="0" w:line="240" w:lineRule="auto"/>
        <w:ind w:right="14"/>
        <w:jc w:val="both"/>
        <w:rPr>
          <w:rFonts w:ascii="Century Gothic" w:eastAsia="Times New Roman" w:hAnsi="Century Gothic" w:cs="Times New Roman"/>
          <w:color w:val="000000"/>
          <w:lang w:eastAsia="es-SV"/>
        </w:rPr>
      </w:pPr>
      <w:r w:rsidRPr="00B9431C">
        <w:rPr>
          <w:rFonts w:ascii="Century Gothic" w:eastAsia="Times New Roman" w:hAnsi="Century Gothic" w:cs="Times New Roman"/>
          <w:color w:val="000000"/>
          <w:lang w:eastAsia="es-SV"/>
        </w:rPr>
        <w:t>De acuerdo a la Ley de Desarrollo, Protección e Inclusión Social vigente en El Salvador, esta instancia de coordinación es la responsable de elaborar la propuesta del Plan de Desarrollo Social, que sirve de marco para los programas sociales que se definan y ejecuten desde el gobierno.</w:t>
      </w:r>
    </w:p>
    <w:p w:rsidR="00B9431C" w:rsidRDefault="00B9431C" w:rsidP="00B9431C">
      <w:pPr>
        <w:spacing w:after="0" w:line="240" w:lineRule="auto"/>
        <w:ind w:right="14"/>
        <w:jc w:val="both"/>
        <w:rPr>
          <w:rFonts w:ascii="Century Gothic" w:eastAsia="Times New Roman" w:hAnsi="Century Gothic" w:cs="Times New Roman"/>
          <w:color w:val="000000"/>
          <w:lang w:eastAsia="es-SV"/>
        </w:rPr>
      </w:pPr>
    </w:p>
    <w:p w:rsidR="00B9431C" w:rsidRDefault="00B9431C" w:rsidP="00B9431C">
      <w:pPr>
        <w:spacing w:after="0" w:line="240" w:lineRule="auto"/>
        <w:ind w:right="14"/>
        <w:jc w:val="both"/>
        <w:rPr>
          <w:rFonts w:ascii="Century Gothic" w:eastAsia="Times New Roman" w:hAnsi="Century Gothic" w:cs="Times New Roman"/>
          <w:color w:val="000000"/>
          <w:lang w:eastAsia="es-SV"/>
        </w:rPr>
      </w:pPr>
      <w:r w:rsidRPr="00B9431C">
        <w:rPr>
          <w:rFonts w:ascii="Century Gothic" w:eastAsia="Times New Roman" w:hAnsi="Century Gothic" w:cs="Times New Roman"/>
          <w:color w:val="000000"/>
          <w:lang w:eastAsia="es-SV"/>
        </w:rPr>
        <w:t>El Plan de Desarrollo Social 2019-2024, retoma dentro de su marco normativo los derechos económicos, sociales y culturales y desde la instancia coordinadora de la política social se define en coordinación con las instituciones gubernamentales que implementan las políticas públicas, programas y proyectos, las metas de reducción de la pobreza por ingresos y multidimensional</w:t>
      </w:r>
      <w:r>
        <w:rPr>
          <w:rFonts w:ascii="Century Gothic" w:eastAsia="Times New Roman" w:hAnsi="Century Gothic" w:cs="Times New Roman"/>
          <w:color w:val="000000"/>
          <w:lang w:eastAsia="es-SV"/>
        </w:rPr>
        <w:t>.</w:t>
      </w:r>
    </w:p>
    <w:p w:rsidR="00B9431C" w:rsidRDefault="00B9431C" w:rsidP="00B9431C">
      <w:pPr>
        <w:spacing w:after="0" w:line="240" w:lineRule="auto"/>
        <w:ind w:right="14"/>
        <w:jc w:val="both"/>
        <w:rPr>
          <w:rFonts w:ascii="Century Gothic" w:eastAsia="Times New Roman" w:hAnsi="Century Gothic" w:cs="Times New Roman"/>
          <w:color w:val="000000"/>
          <w:lang w:eastAsia="es-SV"/>
        </w:rPr>
      </w:pPr>
    </w:p>
    <w:p w:rsidR="00B9431C" w:rsidRDefault="00B9431C" w:rsidP="00B9431C">
      <w:pPr>
        <w:spacing w:after="0" w:line="240" w:lineRule="auto"/>
        <w:ind w:right="14"/>
        <w:jc w:val="both"/>
        <w:rPr>
          <w:rFonts w:ascii="Century Gothic" w:eastAsia="Times New Roman" w:hAnsi="Century Gothic" w:cs="Times New Roman"/>
          <w:color w:val="000000"/>
          <w:lang w:eastAsia="es-SV"/>
        </w:rPr>
      </w:pPr>
      <w:r w:rsidRPr="00B9431C">
        <w:rPr>
          <w:rFonts w:ascii="Century Gothic" w:eastAsia="Times New Roman" w:hAnsi="Century Gothic" w:cs="Times New Roman"/>
          <w:color w:val="000000"/>
          <w:lang w:eastAsia="es-SV"/>
        </w:rPr>
        <w:t xml:space="preserve">Dentro de las intervenciones que contribuyen al logro de este resultado se encuentra la Estrategia de Erradicación de la Pobreza, que comprende programas como la </w:t>
      </w:r>
      <w:r w:rsidRPr="00B9431C">
        <w:rPr>
          <w:rFonts w:ascii="Century Gothic" w:eastAsia="Times New Roman" w:hAnsi="Century Gothic" w:cs="Times New Roman"/>
          <w:b/>
          <w:color w:val="000000"/>
          <w:u w:val="single"/>
          <w:lang w:eastAsia="es-SV"/>
        </w:rPr>
        <w:t xml:space="preserve">pensión </w:t>
      </w:r>
      <w:r>
        <w:rPr>
          <w:rFonts w:ascii="Century Gothic" w:eastAsia="Times New Roman" w:hAnsi="Century Gothic" w:cs="Times New Roman"/>
          <w:b/>
          <w:color w:val="000000"/>
          <w:u w:val="single"/>
          <w:lang w:eastAsia="es-SV"/>
        </w:rPr>
        <w:t xml:space="preserve">básica universal (PBU) </w:t>
      </w:r>
      <w:r w:rsidRPr="00B9431C">
        <w:rPr>
          <w:rFonts w:ascii="Century Gothic" w:eastAsia="Times New Roman" w:hAnsi="Century Gothic" w:cs="Times New Roman"/>
          <w:b/>
          <w:color w:val="000000"/>
          <w:u w:val="single"/>
          <w:lang w:eastAsia="es-SV"/>
        </w:rPr>
        <w:t>para adultos mayores de 70 años</w:t>
      </w:r>
      <w:r w:rsidRPr="00B9431C">
        <w:rPr>
          <w:rFonts w:ascii="Century Gothic" w:eastAsia="Times New Roman" w:hAnsi="Century Gothic" w:cs="Times New Roman"/>
          <w:color w:val="000000"/>
          <w:lang w:eastAsia="es-SV"/>
        </w:rPr>
        <w:t xml:space="preserve"> que no reciben ningún otro tipo de pensión y se encuentran en condición de pobreza, </w:t>
      </w:r>
      <w:r>
        <w:rPr>
          <w:rFonts w:ascii="Century Gothic" w:eastAsia="Times New Roman" w:hAnsi="Century Gothic" w:cs="Times New Roman"/>
          <w:color w:val="000000"/>
          <w:lang w:eastAsia="es-SV"/>
        </w:rPr>
        <w:t>para propiciar el bienestar integral de las personas adultas mayores de forma incluyente y equitativa, propiciando el fortalecimiento de su autonomía</w:t>
      </w:r>
      <w:r>
        <w:rPr>
          <w:rStyle w:val="FootnoteReference"/>
          <w:rFonts w:ascii="Century Gothic" w:eastAsia="Times New Roman" w:hAnsi="Century Gothic" w:cs="Times New Roman"/>
          <w:color w:val="000000"/>
          <w:lang w:eastAsia="es-SV"/>
        </w:rPr>
        <w:footnoteReference w:id="1"/>
      </w:r>
      <w:r>
        <w:rPr>
          <w:rFonts w:ascii="Century Gothic" w:eastAsia="Times New Roman" w:hAnsi="Century Gothic" w:cs="Times New Roman"/>
          <w:color w:val="000000"/>
          <w:lang w:eastAsia="es-SV"/>
        </w:rPr>
        <w:t>.</w:t>
      </w:r>
    </w:p>
    <w:p w:rsidR="00B9431C" w:rsidRDefault="00B9431C" w:rsidP="00B9431C">
      <w:pPr>
        <w:spacing w:after="0" w:line="240" w:lineRule="auto"/>
        <w:ind w:right="14"/>
        <w:jc w:val="both"/>
        <w:rPr>
          <w:rFonts w:ascii="Century Gothic" w:eastAsia="Times New Roman" w:hAnsi="Century Gothic" w:cs="Times New Roman"/>
          <w:color w:val="000000"/>
          <w:lang w:eastAsia="es-SV"/>
        </w:rPr>
      </w:pPr>
    </w:p>
    <w:p w:rsidR="00AF29F0" w:rsidRDefault="006264BB" w:rsidP="00AF29F0">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La</w:t>
      </w:r>
      <w:r w:rsidR="00AF29F0">
        <w:rPr>
          <w:rFonts w:ascii="Century Gothic" w:eastAsia="Times New Roman" w:hAnsi="Century Gothic" w:cs="Times New Roman"/>
          <w:color w:val="000000"/>
          <w:lang w:eastAsia="es-SV"/>
        </w:rPr>
        <w:t xml:space="preserve"> PBU</w:t>
      </w:r>
      <w:r w:rsidR="00F15985">
        <w:rPr>
          <w:rFonts w:ascii="Century Gothic" w:eastAsia="Times New Roman" w:hAnsi="Century Gothic" w:cs="Times New Roman"/>
          <w:color w:val="000000"/>
          <w:lang w:eastAsia="es-SV"/>
        </w:rPr>
        <w:t xml:space="preserve"> </w:t>
      </w:r>
      <w:r>
        <w:rPr>
          <w:rFonts w:ascii="Century Gothic" w:eastAsia="Times New Roman" w:hAnsi="Century Gothic" w:cs="Times New Roman"/>
          <w:color w:val="000000"/>
          <w:lang w:eastAsia="es-SV"/>
        </w:rPr>
        <w:t>inició</w:t>
      </w:r>
      <w:r w:rsidR="00AF29F0">
        <w:rPr>
          <w:rFonts w:ascii="Century Gothic" w:eastAsia="Times New Roman" w:hAnsi="Century Gothic" w:cs="Times New Roman"/>
          <w:color w:val="000000"/>
          <w:lang w:eastAsia="es-SV"/>
        </w:rPr>
        <w:t xml:space="preserve"> su implementación </w:t>
      </w:r>
      <w:r w:rsidR="00AF29F0" w:rsidRPr="00AF29F0">
        <w:rPr>
          <w:rFonts w:ascii="Century Gothic" w:eastAsia="Times New Roman" w:hAnsi="Century Gothic" w:cs="Times New Roman"/>
          <w:color w:val="000000"/>
          <w:lang w:eastAsia="es-SV"/>
        </w:rPr>
        <w:t xml:space="preserve">en 2010 con el propósito de compensar la disminución de las oportunidades y ayudar a los adultos mayores a enfrentar su creciente vulnerabilidad, a través de la cual se entregan 50 dólares mensuales a todas las personas mayores de 70 años que habitan en los municipios más pobres del país. </w:t>
      </w:r>
      <w:r>
        <w:rPr>
          <w:rFonts w:ascii="Century Gothic" w:eastAsia="Times New Roman" w:hAnsi="Century Gothic" w:cs="Times New Roman"/>
          <w:color w:val="000000"/>
          <w:lang w:eastAsia="es-SV"/>
        </w:rPr>
        <w:t>Actualmente se ha cubierto a 12</w:t>
      </w:r>
      <w:r w:rsidR="00DD7107">
        <w:rPr>
          <w:rFonts w:ascii="Century Gothic" w:eastAsia="Times New Roman" w:hAnsi="Century Gothic" w:cs="Times New Roman"/>
          <w:color w:val="000000"/>
          <w:lang w:eastAsia="es-SV"/>
        </w:rPr>
        <w:t>3</w:t>
      </w:r>
      <w:r>
        <w:rPr>
          <w:rFonts w:ascii="Century Gothic" w:eastAsia="Times New Roman" w:hAnsi="Century Gothic" w:cs="Times New Roman"/>
          <w:color w:val="000000"/>
          <w:lang w:eastAsia="es-SV"/>
        </w:rPr>
        <w:t xml:space="preserve"> municipios a nivel nacional, beneficiando a 38,880 personas, de las cuales </w:t>
      </w:r>
      <w:r w:rsidR="002E4F7E">
        <w:rPr>
          <w:rFonts w:ascii="Century Gothic" w:eastAsia="Times New Roman" w:hAnsi="Century Gothic" w:cs="Times New Roman"/>
          <w:color w:val="000000"/>
          <w:lang w:eastAsia="es-SV"/>
        </w:rPr>
        <w:t>51% son mujeres y 49% hombres</w:t>
      </w:r>
      <w:r>
        <w:rPr>
          <w:rFonts w:ascii="Century Gothic" w:eastAsia="Times New Roman" w:hAnsi="Century Gothic" w:cs="Times New Roman"/>
          <w:color w:val="000000"/>
          <w:lang w:eastAsia="es-SV"/>
        </w:rPr>
        <w:t>.</w:t>
      </w:r>
    </w:p>
    <w:p w:rsidR="009E384A" w:rsidRPr="00AF29F0" w:rsidRDefault="009E384A" w:rsidP="009E384A">
      <w:pPr>
        <w:pStyle w:val="ListParagraph"/>
        <w:numPr>
          <w:ilvl w:val="1"/>
          <w:numId w:val="1"/>
        </w:numPr>
        <w:rPr>
          <w:rFonts w:ascii="Century Gothic" w:eastAsia="Times New Roman" w:hAnsi="Century Gothic" w:cs="Times New Roman"/>
          <w:i/>
          <w:iCs/>
          <w:color w:val="000000"/>
          <w:lang w:eastAsia="es-SV"/>
        </w:rPr>
      </w:pPr>
      <w:r w:rsidRPr="00AF29F0">
        <w:rPr>
          <w:rFonts w:ascii="Century Gothic" w:eastAsia="Times New Roman" w:hAnsi="Century Gothic" w:cs="Times New Roman"/>
          <w:i/>
          <w:iCs/>
          <w:color w:val="000000"/>
          <w:lang w:eastAsia="es-SV"/>
        </w:rPr>
        <w:t>Educación y la formación</w:t>
      </w:r>
    </w:p>
    <w:p w:rsidR="009E384A" w:rsidRDefault="00D769EF" w:rsidP="00083902">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 xml:space="preserve">El Salvador cuenta con un </w:t>
      </w:r>
      <w:r w:rsidR="00083902" w:rsidRPr="00083902">
        <w:rPr>
          <w:rFonts w:ascii="Century Gothic" w:eastAsia="Times New Roman" w:hAnsi="Century Gothic" w:cs="Times New Roman"/>
          <w:color w:val="000000"/>
          <w:lang w:eastAsia="es-SV"/>
        </w:rPr>
        <w:t>Programa de Alfabetización impulsado por el Ministerio de Educación, Ciencia y Tecnología</w:t>
      </w:r>
      <w:r>
        <w:rPr>
          <w:rFonts w:ascii="Century Gothic" w:eastAsia="Times New Roman" w:hAnsi="Century Gothic" w:cs="Times New Roman"/>
          <w:color w:val="000000"/>
          <w:lang w:eastAsia="es-SV"/>
        </w:rPr>
        <w:t xml:space="preserve"> (MINEDUCYT)</w:t>
      </w:r>
      <w:r w:rsidR="00083902" w:rsidRPr="00083902">
        <w:rPr>
          <w:rFonts w:ascii="Century Gothic" w:eastAsia="Times New Roman" w:hAnsi="Century Gothic" w:cs="Times New Roman"/>
          <w:color w:val="000000"/>
          <w:lang w:eastAsia="es-SV"/>
        </w:rPr>
        <w:t xml:space="preserve">, por medio de la Dirección de Educación de Jóvenes y Adultos, que atiende a población adulta mayor en condición de analfabetismo, o que no ha concluido su educación básica y media a través del Programa de Modalidades Flexibles. De manera general, se ha ido incrementando la cobertura del programa de alfabetización de 2017 a 2019, </w:t>
      </w:r>
      <w:r w:rsidR="00083902" w:rsidRPr="00083902">
        <w:rPr>
          <w:rFonts w:ascii="Century Gothic" w:eastAsia="Times New Roman" w:hAnsi="Century Gothic" w:cs="Times New Roman"/>
          <w:color w:val="000000"/>
          <w:lang w:eastAsia="es-SV"/>
        </w:rPr>
        <w:lastRenderedPageBreak/>
        <w:t>sin embargo, por el contexto del COVID-19 la participación de beneficiarios se redujo debido a las medidas de distanciamiento físico y de la continuidad de la educación en la virtualidad. De 2017 a la fecha un total de 35,357 personas adultas mayores han sido alfabetizadas y 247 se han registrado en alguna de las modalidades flexibles de educación a fin de cursar alguno de los grados de tercer ciclo (secundaria). Dentro de la población inscrita en los programas de alfabetización las mujeres representan casi dos de cada tres participantes.</w:t>
      </w:r>
    </w:p>
    <w:p w:rsidR="00083902" w:rsidRPr="00D769EF" w:rsidRDefault="009E384A" w:rsidP="009E384A">
      <w:pPr>
        <w:pStyle w:val="ListParagraph"/>
        <w:numPr>
          <w:ilvl w:val="1"/>
          <w:numId w:val="1"/>
        </w:numPr>
        <w:rPr>
          <w:rFonts w:ascii="Century Gothic" w:eastAsia="Times New Roman" w:hAnsi="Century Gothic" w:cs="Times New Roman"/>
          <w:i/>
          <w:iCs/>
          <w:color w:val="000000"/>
          <w:lang w:eastAsia="es-SV"/>
        </w:rPr>
      </w:pPr>
      <w:r w:rsidRPr="00D769EF">
        <w:rPr>
          <w:rFonts w:ascii="Century Gothic" w:eastAsia="Times New Roman" w:hAnsi="Century Gothic" w:cs="Times New Roman"/>
          <w:i/>
          <w:iCs/>
          <w:color w:val="000000"/>
          <w:lang w:eastAsia="es-SV"/>
        </w:rPr>
        <w:t>Servicios de salud</w:t>
      </w:r>
    </w:p>
    <w:p w:rsidR="007D6714" w:rsidRDefault="00232913" w:rsidP="00C906DE">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El país</w:t>
      </w:r>
      <w:r w:rsidR="0059337D">
        <w:rPr>
          <w:rFonts w:ascii="Century Gothic" w:eastAsia="Times New Roman" w:hAnsi="Century Gothic" w:cs="Times New Roman"/>
          <w:color w:val="000000"/>
          <w:lang w:eastAsia="es-SV"/>
        </w:rPr>
        <w:t xml:space="preserve"> cuenta con un</w:t>
      </w:r>
      <w:r w:rsidR="00F15985">
        <w:rPr>
          <w:rFonts w:ascii="Century Gothic" w:eastAsia="Times New Roman" w:hAnsi="Century Gothic" w:cs="Times New Roman"/>
          <w:color w:val="000000"/>
          <w:lang w:eastAsia="es-SV"/>
        </w:rPr>
        <w:t xml:space="preserve"> </w:t>
      </w:r>
      <w:r>
        <w:rPr>
          <w:rFonts w:ascii="Century Gothic" w:eastAsia="Times New Roman" w:hAnsi="Century Gothic" w:cs="Times New Roman"/>
          <w:color w:val="000000"/>
          <w:lang w:eastAsia="es-SV"/>
        </w:rPr>
        <w:t>S</w:t>
      </w:r>
      <w:r w:rsidR="007D6714">
        <w:rPr>
          <w:rFonts w:ascii="Century Gothic" w:eastAsia="Times New Roman" w:hAnsi="Century Gothic" w:cs="Times New Roman"/>
          <w:color w:val="000000"/>
          <w:lang w:eastAsia="es-SV"/>
        </w:rPr>
        <w:t xml:space="preserve">istema de </w:t>
      </w:r>
      <w:r>
        <w:rPr>
          <w:rFonts w:ascii="Century Gothic" w:eastAsia="Times New Roman" w:hAnsi="Century Gothic" w:cs="Times New Roman"/>
          <w:color w:val="000000"/>
          <w:lang w:eastAsia="es-SV"/>
        </w:rPr>
        <w:t>S</w:t>
      </w:r>
      <w:r w:rsidR="007D6714">
        <w:rPr>
          <w:rFonts w:ascii="Century Gothic" w:eastAsia="Times New Roman" w:hAnsi="Century Gothic" w:cs="Times New Roman"/>
          <w:color w:val="000000"/>
          <w:lang w:eastAsia="es-SV"/>
        </w:rPr>
        <w:t xml:space="preserve">alud </w:t>
      </w:r>
      <w:r>
        <w:rPr>
          <w:rFonts w:ascii="Century Gothic" w:eastAsia="Times New Roman" w:hAnsi="Century Gothic" w:cs="Times New Roman"/>
          <w:color w:val="000000"/>
          <w:lang w:eastAsia="es-SV"/>
        </w:rPr>
        <w:t>U</w:t>
      </w:r>
      <w:r w:rsidR="007D6714">
        <w:rPr>
          <w:rFonts w:ascii="Century Gothic" w:eastAsia="Times New Roman" w:hAnsi="Century Gothic" w:cs="Times New Roman"/>
          <w:color w:val="000000"/>
          <w:lang w:eastAsia="es-SV"/>
        </w:rPr>
        <w:t>niversal coordinado por</w:t>
      </w:r>
      <w:r w:rsidR="00C906DE">
        <w:rPr>
          <w:rFonts w:ascii="Century Gothic" w:eastAsia="Times New Roman" w:hAnsi="Century Gothic" w:cs="Times New Roman"/>
          <w:color w:val="000000"/>
          <w:lang w:eastAsia="es-SV"/>
        </w:rPr>
        <w:t xml:space="preserve"> el Ministerio de Salud Pública</w:t>
      </w:r>
      <w:r w:rsidR="004369D4">
        <w:rPr>
          <w:rFonts w:ascii="Century Gothic" w:eastAsia="Times New Roman" w:hAnsi="Century Gothic" w:cs="Times New Roman"/>
          <w:color w:val="000000"/>
          <w:lang w:eastAsia="es-SV"/>
        </w:rPr>
        <w:t xml:space="preserve"> </w:t>
      </w:r>
      <w:r w:rsidR="00C906DE">
        <w:rPr>
          <w:rFonts w:ascii="Century Gothic" w:eastAsia="Times New Roman" w:hAnsi="Century Gothic" w:cs="Times New Roman"/>
          <w:color w:val="000000"/>
          <w:lang w:eastAsia="es-SV"/>
        </w:rPr>
        <w:t>(</w:t>
      </w:r>
      <w:r w:rsidR="007D6714">
        <w:rPr>
          <w:rFonts w:ascii="Century Gothic" w:eastAsia="Times New Roman" w:hAnsi="Century Gothic" w:cs="Times New Roman"/>
          <w:color w:val="000000"/>
          <w:lang w:eastAsia="es-SV"/>
        </w:rPr>
        <w:t>MINSAL</w:t>
      </w:r>
      <w:r w:rsidR="00C906DE">
        <w:rPr>
          <w:rFonts w:ascii="Century Gothic" w:eastAsia="Times New Roman" w:hAnsi="Century Gothic" w:cs="Times New Roman"/>
          <w:color w:val="000000"/>
          <w:lang w:eastAsia="es-SV"/>
        </w:rPr>
        <w:t>) dirigido a población en general</w:t>
      </w:r>
      <w:r w:rsidR="0059337D">
        <w:rPr>
          <w:rFonts w:ascii="Century Gothic" w:eastAsia="Times New Roman" w:hAnsi="Century Gothic" w:cs="Times New Roman"/>
          <w:color w:val="000000"/>
          <w:lang w:eastAsia="es-SV"/>
        </w:rPr>
        <w:t xml:space="preserve">, </w:t>
      </w:r>
      <w:r w:rsidR="00C45D1E">
        <w:rPr>
          <w:rFonts w:ascii="Century Gothic" w:eastAsia="Times New Roman" w:hAnsi="Century Gothic" w:cs="Times New Roman"/>
          <w:color w:val="000000"/>
          <w:lang w:eastAsia="es-SV"/>
        </w:rPr>
        <w:t xml:space="preserve">uno </w:t>
      </w:r>
      <w:r w:rsidR="00C906DE">
        <w:rPr>
          <w:rFonts w:ascii="Century Gothic" w:eastAsia="Times New Roman" w:hAnsi="Century Gothic" w:cs="Times New Roman"/>
          <w:color w:val="000000"/>
          <w:lang w:eastAsia="es-SV"/>
        </w:rPr>
        <w:t>proporcionado por el</w:t>
      </w:r>
      <w:r w:rsidR="00F15985">
        <w:rPr>
          <w:rFonts w:ascii="Century Gothic" w:eastAsia="Times New Roman" w:hAnsi="Century Gothic" w:cs="Times New Roman"/>
          <w:color w:val="000000"/>
          <w:lang w:eastAsia="es-SV"/>
        </w:rPr>
        <w:t xml:space="preserve"> </w:t>
      </w:r>
      <w:r w:rsidR="00C906DE">
        <w:rPr>
          <w:rFonts w:ascii="Century Gothic" w:eastAsia="Times New Roman" w:hAnsi="Century Gothic" w:cs="Times New Roman"/>
          <w:color w:val="000000"/>
          <w:lang w:eastAsia="es-SV"/>
        </w:rPr>
        <w:t>Instituto Salvadoreño de Seguridad Social (</w:t>
      </w:r>
      <w:r w:rsidR="007D6714">
        <w:rPr>
          <w:rFonts w:ascii="Century Gothic" w:eastAsia="Times New Roman" w:hAnsi="Century Gothic" w:cs="Times New Roman"/>
          <w:color w:val="000000"/>
          <w:lang w:eastAsia="es-SV"/>
        </w:rPr>
        <w:t>ISSS</w:t>
      </w:r>
      <w:r w:rsidR="00C906DE">
        <w:rPr>
          <w:rFonts w:ascii="Century Gothic" w:eastAsia="Times New Roman" w:hAnsi="Century Gothic" w:cs="Times New Roman"/>
          <w:color w:val="000000"/>
          <w:lang w:eastAsia="es-SV"/>
        </w:rPr>
        <w:t>) dirigido a personas trabajadoras</w:t>
      </w:r>
      <w:r w:rsidR="00254D55">
        <w:rPr>
          <w:rFonts w:ascii="Century Gothic" w:eastAsia="Times New Roman" w:hAnsi="Century Gothic" w:cs="Times New Roman"/>
          <w:color w:val="000000"/>
          <w:lang w:eastAsia="es-SV"/>
        </w:rPr>
        <w:t xml:space="preserve"> que dependen de un patrono</w:t>
      </w:r>
      <w:r w:rsidR="004369D4">
        <w:rPr>
          <w:rFonts w:ascii="Century Gothic" w:eastAsia="Times New Roman" w:hAnsi="Century Gothic" w:cs="Times New Roman"/>
          <w:color w:val="000000"/>
          <w:lang w:eastAsia="es-SV"/>
        </w:rPr>
        <w:t>. Por otro lado, se cuenta</w:t>
      </w:r>
      <w:r w:rsidR="00C45D1E">
        <w:rPr>
          <w:rFonts w:ascii="Century Gothic" w:eastAsia="Times New Roman" w:hAnsi="Century Gothic" w:cs="Times New Roman"/>
          <w:color w:val="000000"/>
          <w:lang w:eastAsia="es-SV"/>
        </w:rPr>
        <w:t xml:space="preserve"> con ot</w:t>
      </w:r>
      <w:r w:rsidR="007D6714">
        <w:rPr>
          <w:rFonts w:ascii="Century Gothic" w:eastAsia="Times New Roman" w:hAnsi="Century Gothic" w:cs="Times New Roman"/>
          <w:color w:val="000000"/>
          <w:lang w:eastAsia="es-SV"/>
        </w:rPr>
        <w:t xml:space="preserve">ros servicios de salud proporcionados </w:t>
      </w:r>
      <w:r w:rsidR="00C906DE">
        <w:rPr>
          <w:rFonts w:ascii="Century Gothic" w:eastAsia="Times New Roman" w:hAnsi="Century Gothic" w:cs="Times New Roman"/>
          <w:color w:val="000000"/>
          <w:lang w:eastAsia="es-SV"/>
        </w:rPr>
        <w:t>a población específica</w:t>
      </w:r>
      <w:r w:rsidR="00C45D1E">
        <w:rPr>
          <w:rFonts w:ascii="Century Gothic" w:eastAsia="Times New Roman" w:hAnsi="Century Gothic" w:cs="Times New Roman"/>
          <w:color w:val="000000"/>
          <w:lang w:eastAsia="es-SV"/>
        </w:rPr>
        <w:t xml:space="preserve">: </w:t>
      </w:r>
      <w:r w:rsidR="00254D55">
        <w:rPr>
          <w:rFonts w:ascii="Century Gothic" w:eastAsia="Times New Roman" w:hAnsi="Century Gothic" w:cs="Times New Roman"/>
          <w:color w:val="000000"/>
          <w:lang w:eastAsia="es-SV"/>
        </w:rPr>
        <w:t>el Instituto Salvadoreño de Bienestar Magisterial</w:t>
      </w:r>
      <w:r w:rsidR="004369D4">
        <w:rPr>
          <w:rFonts w:ascii="Century Gothic" w:eastAsia="Times New Roman" w:hAnsi="Century Gothic" w:cs="Times New Roman"/>
          <w:color w:val="000000"/>
          <w:lang w:eastAsia="es-SV"/>
        </w:rPr>
        <w:t xml:space="preserve"> </w:t>
      </w:r>
      <w:r w:rsidR="00254D55">
        <w:rPr>
          <w:rFonts w:ascii="Century Gothic" w:eastAsia="Times New Roman" w:hAnsi="Century Gothic" w:cs="Times New Roman"/>
          <w:color w:val="000000"/>
          <w:lang w:eastAsia="es-SV"/>
        </w:rPr>
        <w:t>(</w:t>
      </w:r>
      <w:r w:rsidR="007D6714">
        <w:rPr>
          <w:rFonts w:ascii="Century Gothic" w:eastAsia="Times New Roman" w:hAnsi="Century Gothic" w:cs="Times New Roman"/>
          <w:color w:val="000000"/>
          <w:lang w:eastAsia="es-SV"/>
        </w:rPr>
        <w:t>ISBM</w:t>
      </w:r>
      <w:r w:rsidR="00254D55">
        <w:rPr>
          <w:rFonts w:ascii="Century Gothic" w:eastAsia="Times New Roman" w:hAnsi="Century Gothic" w:cs="Times New Roman"/>
          <w:color w:val="000000"/>
          <w:lang w:eastAsia="es-SV"/>
        </w:rPr>
        <w:t>) para docentes</w:t>
      </w:r>
      <w:r w:rsidR="007D6714">
        <w:rPr>
          <w:rFonts w:ascii="Century Gothic" w:eastAsia="Times New Roman" w:hAnsi="Century Gothic" w:cs="Times New Roman"/>
          <w:color w:val="000000"/>
          <w:lang w:eastAsia="es-SV"/>
        </w:rPr>
        <w:t xml:space="preserve">, </w:t>
      </w:r>
      <w:r w:rsidR="00254D55">
        <w:rPr>
          <w:rFonts w:ascii="Century Gothic" w:eastAsia="Times New Roman" w:hAnsi="Century Gothic" w:cs="Times New Roman"/>
          <w:color w:val="000000"/>
          <w:lang w:eastAsia="es-SV"/>
        </w:rPr>
        <w:t>el Instituto de Previsión Social de la Fuerza Armada (</w:t>
      </w:r>
      <w:r w:rsidR="007D6714">
        <w:rPr>
          <w:rFonts w:ascii="Century Gothic" w:eastAsia="Times New Roman" w:hAnsi="Century Gothic" w:cs="Times New Roman"/>
          <w:color w:val="000000"/>
          <w:lang w:eastAsia="es-SV"/>
        </w:rPr>
        <w:t>IPSFA</w:t>
      </w:r>
      <w:r w:rsidR="00254D55">
        <w:rPr>
          <w:rFonts w:ascii="Century Gothic" w:eastAsia="Times New Roman" w:hAnsi="Century Gothic" w:cs="Times New Roman"/>
          <w:color w:val="000000"/>
          <w:lang w:eastAsia="es-SV"/>
        </w:rPr>
        <w:t>)</w:t>
      </w:r>
      <w:r w:rsidR="00C906DE">
        <w:rPr>
          <w:rFonts w:ascii="Century Gothic" w:eastAsia="Times New Roman" w:hAnsi="Century Gothic" w:cs="Times New Roman"/>
          <w:color w:val="000000"/>
          <w:lang w:eastAsia="es-SV"/>
        </w:rPr>
        <w:t xml:space="preserve"> y</w:t>
      </w:r>
      <w:r w:rsidR="00254D55">
        <w:rPr>
          <w:rFonts w:ascii="Century Gothic" w:eastAsia="Times New Roman" w:hAnsi="Century Gothic" w:cs="Times New Roman"/>
          <w:color w:val="000000"/>
          <w:lang w:eastAsia="es-SV"/>
        </w:rPr>
        <w:t xml:space="preserve"> la Policía Nacional Civil (</w:t>
      </w:r>
      <w:r w:rsidR="007D6714">
        <w:rPr>
          <w:rFonts w:ascii="Century Gothic" w:eastAsia="Times New Roman" w:hAnsi="Century Gothic" w:cs="Times New Roman"/>
          <w:color w:val="000000"/>
          <w:lang w:eastAsia="es-SV"/>
        </w:rPr>
        <w:t>PNC</w:t>
      </w:r>
      <w:r w:rsidR="00254D55">
        <w:rPr>
          <w:rFonts w:ascii="Century Gothic" w:eastAsia="Times New Roman" w:hAnsi="Century Gothic" w:cs="Times New Roman"/>
          <w:color w:val="000000"/>
          <w:lang w:eastAsia="es-SV"/>
        </w:rPr>
        <w:t>)</w:t>
      </w:r>
      <w:r>
        <w:rPr>
          <w:rFonts w:ascii="Century Gothic" w:eastAsia="Times New Roman" w:hAnsi="Century Gothic" w:cs="Times New Roman"/>
          <w:color w:val="000000"/>
          <w:lang w:eastAsia="es-SV"/>
        </w:rPr>
        <w:t>, a través de los cuales se atiende a la PAM</w:t>
      </w:r>
      <w:r w:rsidR="00C45D1E">
        <w:rPr>
          <w:rFonts w:ascii="Century Gothic" w:eastAsia="Times New Roman" w:hAnsi="Century Gothic" w:cs="Times New Roman"/>
          <w:color w:val="000000"/>
          <w:lang w:eastAsia="es-SV"/>
        </w:rPr>
        <w:t xml:space="preserve"> de esos sectores</w:t>
      </w:r>
      <w:r w:rsidR="007D6714">
        <w:rPr>
          <w:rFonts w:ascii="Century Gothic" w:eastAsia="Times New Roman" w:hAnsi="Century Gothic" w:cs="Times New Roman"/>
          <w:color w:val="000000"/>
          <w:lang w:eastAsia="es-SV"/>
        </w:rPr>
        <w:t>.</w:t>
      </w:r>
    </w:p>
    <w:p w:rsidR="00232913" w:rsidRDefault="00C906DE" w:rsidP="00232913">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 xml:space="preserve">El </w:t>
      </w:r>
      <w:r w:rsidR="002A5F44">
        <w:rPr>
          <w:rFonts w:ascii="Century Gothic" w:eastAsia="Times New Roman" w:hAnsi="Century Gothic" w:cs="Times New Roman"/>
          <w:color w:val="000000"/>
          <w:lang w:eastAsia="es-SV"/>
        </w:rPr>
        <w:t>sistema de salud</w:t>
      </w:r>
      <w:r w:rsidR="00CA3C31">
        <w:rPr>
          <w:rFonts w:ascii="Century Gothic" w:eastAsia="Times New Roman" w:hAnsi="Century Gothic" w:cs="Times New Roman"/>
          <w:color w:val="000000"/>
          <w:lang w:eastAsia="es-SV"/>
        </w:rPr>
        <w:t xml:space="preserve"> cuenta con un </w:t>
      </w:r>
      <w:r w:rsidR="007D6714">
        <w:rPr>
          <w:rFonts w:ascii="Century Gothic" w:eastAsia="Times New Roman" w:hAnsi="Century Gothic" w:cs="Times New Roman"/>
          <w:color w:val="000000"/>
          <w:lang w:eastAsia="es-SV"/>
        </w:rPr>
        <w:t>modelo de atención para los adultos mayores creado en 201</w:t>
      </w:r>
      <w:r w:rsidR="00232913">
        <w:rPr>
          <w:rFonts w:ascii="Century Gothic" w:eastAsia="Times New Roman" w:hAnsi="Century Gothic" w:cs="Times New Roman"/>
          <w:color w:val="000000"/>
          <w:lang w:eastAsia="es-SV"/>
        </w:rPr>
        <w:t xml:space="preserve">8, con </w:t>
      </w:r>
      <w:r w:rsidR="00C45D1E">
        <w:rPr>
          <w:rFonts w:ascii="Century Gothic" w:eastAsia="Times New Roman" w:hAnsi="Century Gothic" w:cs="Times New Roman"/>
          <w:color w:val="000000"/>
          <w:lang w:eastAsia="es-SV"/>
        </w:rPr>
        <w:t xml:space="preserve">un enfoque </w:t>
      </w:r>
      <w:r w:rsidR="00C24567">
        <w:rPr>
          <w:rFonts w:ascii="Century Gothic" w:eastAsia="Times New Roman" w:hAnsi="Century Gothic" w:cs="Times New Roman"/>
          <w:color w:val="000000"/>
          <w:lang w:eastAsia="es-SV"/>
        </w:rPr>
        <w:t>de derechos humano</w:t>
      </w:r>
      <w:r w:rsidR="00232913">
        <w:rPr>
          <w:rFonts w:ascii="Century Gothic" w:eastAsia="Times New Roman" w:hAnsi="Century Gothic" w:cs="Times New Roman"/>
          <w:color w:val="000000"/>
          <w:lang w:eastAsia="es-SV"/>
        </w:rPr>
        <w:t>s, p</w:t>
      </w:r>
      <w:r w:rsidR="00232913" w:rsidRPr="00232913">
        <w:rPr>
          <w:rFonts w:ascii="Century Gothic" w:eastAsia="Times New Roman" w:hAnsi="Century Gothic" w:cs="Times New Roman"/>
          <w:color w:val="000000"/>
          <w:lang w:eastAsia="es-SV"/>
        </w:rPr>
        <w:t>rotección e inclusión social</w:t>
      </w:r>
      <w:r w:rsidR="00232913">
        <w:rPr>
          <w:rFonts w:ascii="Century Gothic" w:eastAsia="Times New Roman" w:hAnsi="Century Gothic" w:cs="Times New Roman"/>
          <w:color w:val="000000"/>
          <w:lang w:eastAsia="es-SV"/>
        </w:rPr>
        <w:t>, e</w:t>
      </w:r>
      <w:r w:rsidR="00232913" w:rsidRPr="00232913">
        <w:rPr>
          <w:rFonts w:ascii="Century Gothic" w:eastAsia="Times New Roman" w:hAnsi="Century Gothic" w:cs="Times New Roman"/>
          <w:color w:val="000000"/>
          <w:lang w:eastAsia="es-SV"/>
        </w:rPr>
        <w:t xml:space="preserve">quidad de </w:t>
      </w:r>
      <w:r w:rsidR="00232913">
        <w:rPr>
          <w:rFonts w:ascii="Century Gothic" w:eastAsia="Times New Roman" w:hAnsi="Century Gothic" w:cs="Times New Roman"/>
          <w:color w:val="000000"/>
          <w:lang w:eastAsia="es-SV"/>
        </w:rPr>
        <w:t>g</w:t>
      </w:r>
      <w:r w:rsidR="00232913" w:rsidRPr="00232913">
        <w:rPr>
          <w:rFonts w:ascii="Century Gothic" w:eastAsia="Times New Roman" w:hAnsi="Century Gothic" w:cs="Times New Roman"/>
          <w:color w:val="000000"/>
          <w:lang w:eastAsia="es-SV"/>
        </w:rPr>
        <w:t>énero</w:t>
      </w:r>
      <w:r w:rsidR="00232913">
        <w:rPr>
          <w:rFonts w:ascii="Century Gothic" w:eastAsia="Times New Roman" w:hAnsi="Century Gothic" w:cs="Times New Roman"/>
          <w:color w:val="000000"/>
          <w:lang w:eastAsia="es-SV"/>
        </w:rPr>
        <w:t>, i</w:t>
      </w:r>
      <w:r w:rsidR="00232913" w:rsidRPr="00232913">
        <w:rPr>
          <w:rFonts w:ascii="Century Gothic" w:eastAsia="Times New Roman" w:hAnsi="Century Gothic" w:cs="Times New Roman"/>
          <w:color w:val="000000"/>
          <w:lang w:eastAsia="es-SV"/>
        </w:rPr>
        <w:t>ntegral/integrado</w:t>
      </w:r>
      <w:r w:rsidR="00232913">
        <w:rPr>
          <w:rFonts w:ascii="Century Gothic" w:eastAsia="Times New Roman" w:hAnsi="Century Gothic" w:cs="Times New Roman"/>
          <w:color w:val="000000"/>
          <w:lang w:eastAsia="es-SV"/>
        </w:rPr>
        <w:t>, c</w:t>
      </w:r>
      <w:r w:rsidR="00232913" w:rsidRPr="00232913">
        <w:rPr>
          <w:rFonts w:ascii="Century Gothic" w:eastAsia="Times New Roman" w:hAnsi="Century Gothic" w:cs="Times New Roman"/>
          <w:color w:val="000000"/>
          <w:lang w:eastAsia="es-SV"/>
        </w:rPr>
        <w:t xml:space="preserve">entrado en la persona, familia y </w:t>
      </w:r>
      <w:r w:rsidR="00C45D1E">
        <w:rPr>
          <w:rFonts w:ascii="Century Gothic" w:eastAsia="Times New Roman" w:hAnsi="Century Gothic" w:cs="Times New Roman"/>
          <w:color w:val="000000"/>
          <w:lang w:eastAsia="es-SV"/>
        </w:rPr>
        <w:t>c</w:t>
      </w:r>
      <w:r w:rsidR="00232913" w:rsidRPr="00232913">
        <w:rPr>
          <w:rFonts w:ascii="Century Gothic" w:eastAsia="Times New Roman" w:hAnsi="Century Gothic" w:cs="Times New Roman"/>
          <w:color w:val="000000"/>
          <w:lang w:eastAsia="es-SV"/>
        </w:rPr>
        <w:t>omunidad</w:t>
      </w:r>
      <w:r w:rsidR="00232913">
        <w:rPr>
          <w:rFonts w:ascii="Century Gothic" w:eastAsia="Times New Roman" w:hAnsi="Century Gothic" w:cs="Times New Roman"/>
          <w:color w:val="000000"/>
          <w:lang w:eastAsia="es-SV"/>
        </w:rPr>
        <w:t xml:space="preserve"> y c</w:t>
      </w:r>
      <w:r w:rsidR="004369D4">
        <w:rPr>
          <w:rFonts w:ascii="Century Gothic" w:eastAsia="Times New Roman" w:hAnsi="Century Gothic" w:cs="Times New Roman"/>
          <w:color w:val="000000"/>
          <w:lang w:eastAsia="es-SV"/>
        </w:rPr>
        <w:t>ontinuo de la a</w:t>
      </w:r>
      <w:r w:rsidR="00232913" w:rsidRPr="00232913">
        <w:rPr>
          <w:rFonts w:ascii="Century Gothic" w:eastAsia="Times New Roman" w:hAnsi="Century Gothic" w:cs="Times New Roman"/>
          <w:color w:val="000000"/>
          <w:lang w:eastAsia="es-SV"/>
        </w:rPr>
        <w:t>tención</w:t>
      </w:r>
      <w:r w:rsidR="00232913">
        <w:rPr>
          <w:rFonts w:ascii="Century Gothic" w:eastAsia="Times New Roman" w:hAnsi="Century Gothic" w:cs="Times New Roman"/>
          <w:color w:val="000000"/>
          <w:lang w:eastAsia="es-SV"/>
        </w:rPr>
        <w:t>.</w:t>
      </w:r>
    </w:p>
    <w:p w:rsidR="002A5F44" w:rsidRDefault="00232913" w:rsidP="00232913">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 xml:space="preserve">En ese marco, </w:t>
      </w:r>
      <w:r w:rsidR="002A5F44">
        <w:rPr>
          <w:rFonts w:ascii="Century Gothic" w:eastAsia="Times New Roman" w:hAnsi="Century Gothic" w:cs="Times New Roman"/>
          <w:color w:val="000000"/>
          <w:lang w:eastAsia="es-SV"/>
        </w:rPr>
        <w:t xml:space="preserve">se destaca el acercamiento de los servicios </w:t>
      </w:r>
      <w:r w:rsidR="008A6FE2">
        <w:rPr>
          <w:rFonts w:ascii="Century Gothic" w:eastAsia="Times New Roman" w:hAnsi="Century Gothic" w:cs="Times New Roman"/>
          <w:color w:val="000000"/>
          <w:lang w:eastAsia="es-SV"/>
        </w:rPr>
        <w:t>utilizando los establecimientos de primer nivel</w:t>
      </w:r>
      <w:r w:rsidR="002A5F44">
        <w:rPr>
          <w:rFonts w:ascii="Century Gothic" w:eastAsia="Times New Roman" w:hAnsi="Century Gothic" w:cs="Times New Roman"/>
          <w:color w:val="000000"/>
          <w:lang w:eastAsia="es-SV"/>
        </w:rPr>
        <w:t xml:space="preserve">, así como la identificación de adultos mayores con dificultad de movilidad, para los cuales se les gestiona visita domiciliar. </w:t>
      </w:r>
      <w:r w:rsidR="008A6FE2">
        <w:rPr>
          <w:rFonts w:ascii="Century Gothic" w:eastAsia="Times New Roman" w:hAnsi="Century Gothic" w:cs="Times New Roman"/>
          <w:color w:val="000000"/>
          <w:lang w:eastAsia="es-SV"/>
        </w:rPr>
        <w:t xml:space="preserve">De igual, manera se realizan actividades de </w:t>
      </w:r>
      <w:r w:rsidR="00C24567">
        <w:rPr>
          <w:rFonts w:ascii="Century Gothic" w:eastAsia="Times New Roman" w:hAnsi="Century Gothic" w:cs="Times New Roman"/>
          <w:color w:val="000000"/>
          <w:lang w:eastAsia="es-SV"/>
        </w:rPr>
        <w:t>promoción de envejecimiento activo</w:t>
      </w:r>
      <w:r w:rsidR="008A6FE2">
        <w:rPr>
          <w:rFonts w:ascii="Century Gothic" w:eastAsia="Times New Roman" w:hAnsi="Century Gothic" w:cs="Times New Roman"/>
          <w:color w:val="000000"/>
          <w:lang w:eastAsia="es-SV"/>
        </w:rPr>
        <w:t>.</w:t>
      </w:r>
    </w:p>
    <w:p w:rsidR="002A5F44" w:rsidRDefault="008A6FE2" w:rsidP="00232913">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Por otro lado, se ha</w:t>
      </w:r>
      <w:r w:rsidR="00C45D1E">
        <w:rPr>
          <w:rFonts w:ascii="Century Gothic" w:eastAsia="Times New Roman" w:hAnsi="Century Gothic" w:cs="Times New Roman"/>
          <w:color w:val="000000"/>
          <w:lang w:eastAsia="es-SV"/>
        </w:rPr>
        <w:t>n</w:t>
      </w:r>
      <w:r>
        <w:rPr>
          <w:rFonts w:ascii="Century Gothic" w:eastAsia="Times New Roman" w:hAnsi="Century Gothic" w:cs="Times New Roman"/>
          <w:color w:val="000000"/>
          <w:lang w:eastAsia="es-SV"/>
        </w:rPr>
        <w:t xml:space="preserve"> realizado esfuerzos por mejorar la calidad de la atención a través de procesos</w:t>
      </w:r>
      <w:r w:rsidR="002A5F44">
        <w:rPr>
          <w:rFonts w:ascii="Century Gothic" w:eastAsia="Times New Roman" w:hAnsi="Century Gothic" w:cs="Times New Roman"/>
          <w:color w:val="000000"/>
          <w:lang w:eastAsia="es-SV"/>
        </w:rPr>
        <w:t xml:space="preserve"> de formación al personal sobre atención con enfoque geriátrico</w:t>
      </w:r>
      <w:r w:rsidR="00C45D1E">
        <w:rPr>
          <w:rFonts w:ascii="Century Gothic" w:eastAsia="Times New Roman" w:hAnsi="Century Gothic" w:cs="Times New Roman"/>
          <w:color w:val="000000"/>
          <w:lang w:eastAsia="es-SV"/>
        </w:rPr>
        <w:t>.</w:t>
      </w:r>
    </w:p>
    <w:p w:rsidR="00083902" w:rsidRPr="00C45D1E" w:rsidRDefault="00083902" w:rsidP="00083902">
      <w:pPr>
        <w:pStyle w:val="ListParagraph"/>
        <w:ind w:left="454"/>
        <w:rPr>
          <w:rFonts w:ascii="Century Gothic" w:eastAsia="Times New Roman" w:hAnsi="Century Gothic" w:cs="Times New Roman"/>
          <w:color w:val="000000"/>
          <w:sz w:val="8"/>
          <w:szCs w:val="8"/>
          <w:lang w:eastAsia="es-SV"/>
        </w:rPr>
      </w:pPr>
    </w:p>
    <w:p w:rsidR="009E384A" w:rsidRPr="00D769EF" w:rsidRDefault="00083902" w:rsidP="009E384A">
      <w:pPr>
        <w:pStyle w:val="ListParagraph"/>
        <w:numPr>
          <w:ilvl w:val="1"/>
          <w:numId w:val="1"/>
        </w:numPr>
        <w:rPr>
          <w:rFonts w:ascii="Century Gothic" w:eastAsia="Times New Roman" w:hAnsi="Century Gothic" w:cs="Times New Roman"/>
          <w:i/>
          <w:iCs/>
          <w:color w:val="000000"/>
          <w:lang w:eastAsia="es-SV"/>
        </w:rPr>
      </w:pPr>
      <w:r w:rsidRPr="00D769EF">
        <w:rPr>
          <w:rFonts w:ascii="Century Gothic" w:eastAsia="Times New Roman" w:hAnsi="Century Gothic" w:cs="Times New Roman"/>
          <w:i/>
          <w:iCs/>
          <w:color w:val="000000"/>
          <w:lang w:eastAsia="es-SV"/>
        </w:rPr>
        <w:t>A</w:t>
      </w:r>
      <w:r w:rsidR="009E384A" w:rsidRPr="00D769EF">
        <w:rPr>
          <w:rFonts w:ascii="Century Gothic" w:eastAsia="Times New Roman" w:hAnsi="Century Gothic" w:cs="Times New Roman"/>
          <w:i/>
          <w:iCs/>
          <w:color w:val="000000"/>
          <w:lang w:eastAsia="es-SV"/>
        </w:rPr>
        <w:t>poyo a largo plazo y cuidados paliativos</w:t>
      </w:r>
    </w:p>
    <w:p w:rsidR="00C146D8" w:rsidRPr="00C146D8" w:rsidRDefault="00882607" w:rsidP="00882607">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Para identificar l</w:t>
      </w:r>
      <w:r w:rsidR="00C146D8" w:rsidRPr="00C146D8">
        <w:rPr>
          <w:rFonts w:ascii="Century Gothic" w:eastAsia="Times New Roman" w:hAnsi="Century Gothic" w:cs="Times New Roman"/>
          <w:color w:val="000000"/>
          <w:lang w:eastAsia="es-SV"/>
        </w:rPr>
        <w:t>a oferta en los servicios de cuidado se realizó</w:t>
      </w:r>
      <w:r>
        <w:rPr>
          <w:rFonts w:ascii="Century Gothic" w:eastAsia="Times New Roman" w:hAnsi="Century Gothic" w:cs="Times New Roman"/>
          <w:color w:val="000000"/>
          <w:lang w:eastAsia="es-SV"/>
        </w:rPr>
        <w:t xml:space="preserve"> durante el tercer trimestre del presente año</w:t>
      </w:r>
      <w:r w:rsidR="002E4F7E">
        <w:rPr>
          <w:rFonts w:ascii="Century Gothic" w:eastAsia="Times New Roman" w:hAnsi="Century Gothic" w:cs="Times New Roman"/>
          <w:color w:val="000000"/>
          <w:lang w:eastAsia="es-SV"/>
        </w:rPr>
        <w:t xml:space="preserve"> </w:t>
      </w:r>
      <w:r w:rsidR="004369D4">
        <w:rPr>
          <w:rFonts w:ascii="Century Gothic" w:eastAsia="Times New Roman" w:hAnsi="Century Gothic" w:cs="Times New Roman"/>
          <w:color w:val="000000"/>
          <w:lang w:eastAsia="es-SV"/>
        </w:rPr>
        <w:t>(</w:t>
      </w:r>
      <w:r w:rsidR="002E4F7E">
        <w:rPr>
          <w:rFonts w:ascii="Century Gothic" w:eastAsia="Times New Roman" w:hAnsi="Century Gothic" w:cs="Times New Roman"/>
          <w:color w:val="000000"/>
          <w:lang w:eastAsia="es-SV"/>
        </w:rPr>
        <w:t>2021</w:t>
      </w:r>
      <w:r w:rsidR="004369D4">
        <w:rPr>
          <w:rFonts w:ascii="Century Gothic" w:eastAsia="Times New Roman" w:hAnsi="Century Gothic" w:cs="Times New Roman"/>
          <w:color w:val="000000"/>
          <w:lang w:eastAsia="es-SV"/>
        </w:rPr>
        <w:t>)</w:t>
      </w:r>
      <w:r>
        <w:rPr>
          <w:rFonts w:ascii="Century Gothic" w:eastAsia="Times New Roman" w:hAnsi="Century Gothic" w:cs="Times New Roman"/>
          <w:color w:val="000000"/>
          <w:lang w:eastAsia="es-SV"/>
        </w:rPr>
        <w:t>,</w:t>
      </w:r>
      <w:r w:rsidR="00C146D8" w:rsidRPr="00C146D8">
        <w:rPr>
          <w:rFonts w:ascii="Century Gothic" w:eastAsia="Times New Roman" w:hAnsi="Century Gothic" w:cs="Times New Roman"/>
          <w:color w:val="000000"/>
          <w:lang w:eastAsia="es-SV"/>
        </w:rPr>
        <w:t xml:space="preserve"> un censo completo sobre este componente de atención a la PAM. La oferta nacional es de 97 Hogares</w:t>
      </w:r>
      <w:r w:rsidR="00C45D1E">
        <w:rPr>
          <w:rFonts w:ascii="Century Gothic" w:eastAsia="Times New Roman" w:hAnsi="Century Gothic" w:cs="Times New Roman"/>
          <w:color w:val="000000"/>
          <w:lang w:eastAsia="es-SV"/>
        </w:rPr>
        <w:t xml:space="preserve">, </w:t>
      </w:r>
      <w:r w:rsidR="00C146D8" w:rsidRPr="00C146D8">
        <w:rPr>
          <w:rFonts w:ascii="Century Gothic" w:eastAsia="Times New Roman" w:hAnsi="Century Gothic" w:cs="Times New Roman"/>
          <w:color w:val="000000"/>
          <w:lang w:eastAsia="es-SV"/>
        </w:rPr>
        <w:t>centros de día</w:t>
      </w:r>
      <w:r w:rsidR="00C45D1E">
        <w:rPr>
          <w:rFonts w:ascii="Century Gothic" w:eastAsia="Times New Roman" w:hAnsi="Century Gothic" w:cs="Times New Roman"/>
          <w:color w:val="000000"/>
          <w:lang w:eastAsia="es-SV"/>
        </w:rPr>
        <w:t>, comedores y dormitorios,</w:t>
      </w:r>
      <w:r w:rsidR="00C146D8" w:rsidRPr="00C146D8">
        <w:rPr>
          <w:rFonts w:ascii="Century Gothic" w:eastAsia="Times New Roman" w:hAnsi="Century Gothic" w:cs="Times New Roman"/>
          <w:color w:val="000000"/>
          <w:lang w:eastAsia="es-SV"/>
        </w:rPr>
        <w:t xml:space="preserve"> que atienden a aproximadamente 3,000 adultos mayores. El 53.7% de la PAM atendida son mujeres y un 46.3% son hombres</w:t>
      </w:r>
      <w:r>
        <w:rPr>
          <w:rFonts w:ascii="Century Gothic" w:eastAsia="Times New Roman" w:hAnsi="Century Gothic" w:cs="Times New Roman"/>
          <w:color w:val="000000"/>
          <w:lang w:eastAsia="es-SV"/>
        </w:rPr>
        <w:t xml:space="preserve">. Del total, ocho </w:t>
      </w:r>
      <w:r w:rsidR="00C146D8" w:rsidRPr="00C146D8">
        <w:rPr>
          <w:rFonts w:ascii="Century Gothic" w:eastAsia="Times New Roman" w:hAnsi="Century Gothic" w:cs="Times New Roman"/>
          <w:color w:val="000000"/>
          <w:lang w:eastAsia="es-SV"/>
        </w:rPr>
        <w:t>centros son públicos</w:t>
      </w:r>
      <w:r w:rsidR="002E4F7E">
        <w:rPr>
          <w:rFonts w:ascii="Century Gothic" w:eastAsia="Times New Roman" w:hAnsi="Century Gothic" w:cs="Times New Roman"/>
          <w:color w:val="000000"/>
          <w:lang w:eastAsia="es-SV"/>
        </w:rPr>
        <w:t>:</w:t>
      </w:r>
      <w:r w:rsidR="00C146D8" w:rsidRPr="00C146D8">
        <w:rPr>
          <w:rFonts w:ascii="Century Gothic" w:eastAsia="Times New Roman" w:hAnsi="Century Gothic" w:cs="Times New Roman"/>
          <w:color w:val="000000"/>
          <w:lang w:eastAsia="es-SV"/>
        </w:rPr>
        <w:t xml:space="preserve"> el Centro de atención de Día de las Personas Adultas Mayores </w:t>
      </w:r>
      <w:r w:rsidR="00C45D1E">
        <w:rPr>
          <w:rFonts w:ascii="Century Gothic" w:eastAsia="Times New Roman" w:hAnsi="Century Gothic" w:cs="Times New Roman"/>
          <w:color w:val="000000"/>
          <w:lang w:eastAsia="es-SV"/>
        </w:rPr>
        <w:t xml:space="preserve">del </w:t>
      </w:r>
      <w:r w:rsidR="00C146D8" w:rsidRPr="00C146D8">
        <w:rPr>
          <w:rFonts w:ascii="Century Gothic" w:eastAsia="Times New Roman" w:hAnsi="Century Gothic" w:cs="Times New Roman"/>
          <w:color w:val="000000"/>
          <w:lang w:eastAsia="es-SV"/>
        </w:rPr>
        <w:t>Cantón La Joya, el Centro de Atención a Ancianos Sara Zaldívar y lo</w:t>
      </w:r>
      <w:r w:rsidR="004369D4">
        <w:rPr>
          <w:rFonts w:ascii="Century Gothic" w:eastAsia="Times New Roman" w:hAnsi="Century Gothic" w:cs="Times New Roman"/>
          <w:color w:val="000000"/>
          <w:lang w:eastAsia="es-SV"/>
        </w:rPr>
        <w:t>s seis Centros de Atención de Dí</w:t>
      </w:r>
      <w:r w:rsidR="00C146D8" w:rsidRPr="00C146D8">
        <w:rPr>
          <w:rFonts w:ascii="Century Gothic" w:eastAsia="Times New Roman" w:hAnsi="Century Gothic" w:cs="Times New Roman"/>
          <w:color w:val="000000"/>
          <w:lang w:eastAsia="es-SV"/>
        </w:rPr>
        <w:t xml:space="preserve">a del ISSS. </w:t>
      </w:r>
    </w:p>
    <w:p w:rsidR="009E384A" w:rsidRDefault="00882607" w:rsidP="00882607">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Existe al menos</w:t>
      </w:r>
      <w:r w:rsidR="00C146D8" w:rsidRPr="00C146D8">
        <w:rPr>
          <w:rFonts w:ascii="Century Gothic" w:eastAsia="Times New Roman" w:hAnsi="Century Gothic" w:cs="Times New Roman"/>
          <w:color w:val="000000"/>
          <w:lang w:eastAsia="es-SV"/>
        </w:rPr>
        <w:t xml:space="preserve"> un centro por departamento, estos se concentran en San Salvador, La Libertad, Sonsonate y Santa Ana. Aproximadamente el 50% de estos </w:t>
      </w:r>
      <w:r w:rsidR="00C146D8" w:rsidRPr="00C146D8">
        <w:rPr>
          <w:rFonts w:ascii="Century Gothic" w:eastAsia="Times New Roman" w:hAnsi="Century Gothic" w:cs="Times New Roman"/>
          <w:color w:val="000000"/>
          <w:lang w:eastAsia="es-SV"/>
        </w:rPr>
        <w:lastRenderedPageBreak/>
        <w:t>usuarios no cuentan con apoyo de su familia y sus costos son absorbidos por el centro.</w:t>
      </w:r>
    </w:p>
    <w:p w:rsidR="00882607" w:rsidRDefault="00882607" w:rsidP="00882607">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Para una segunda etapa se tiene contemplado realizar un proceso de identificación de los servicios proporcionados a nivel local por las municipalidades.</w:t>
      </w:r>
    </w:p>
    <w:p w:rsidR="00882607" w:rsidRPr="00C45D1E" w:rsidRDefault="00882607" w:rsidP="00882607">
      <w:pPr>
        <w:jc w:val="both"/>
        <w:rPr>
          <w:rFonts w:ascii="Century Gothic" w:eastAsia="Times New Roman" w:hAnsi="Century Gothic" w:cs="Times New Roman"/>
          <w:color w:val="000000"/>
          <w:sz w:val="2"/>
          <w:szCs w:val="2"/>
          <w:lang w:eastAsia="es-SV"/>
        </w:rPr>
      </w:pPr>
    </w:p>
    <w:p w:rsidR="009E384A" w:rsidRDefault="009E384A" w:rsidP="00831E95">
      <w:pPr>
        <w:pStyle w:val="ListParagraph"/>
        <w:numPr>
          <w:ilvl w:val="0"/>
          <w:numId w:val="1"/>
        </w:numPr>
        <w:rPr>
          <w:rFonts w:ascii="Century Gothic" w:eastAsia="Times New Roman" w:hAnsi="Century Gothic" w:cs="Times New Roman"/>
          <w:b/>
          <w:bCs/>
          <w:color w:val="000000"/>
          <w:lang w:eastAsia="es-SV"/>
        </w:rPr>
      </w:pPr>
      <w:r>
        <w:rPr>
          <w:rFonts w:ascii="Century Gothic" w:eastAsia="Times New Roman" w:hAnsi="Century Gothic" w:cs="Times New Roman"/>
          <w:b/>
          <w:bCs/>
          <w:color w:val="000000"/>
          <w:lang w:eastAsia="es-SV"/>
        </w:rPr>
        <w:t>Ad</w:t>
      </w:r>
      <w:r w:rsidRPr="009E384A">
        <w:rPr>
          <w:rFonts w:ascii="Century Gothic" w:eastAsia="Times New Roman" w:hAnsi="Century Gothic" w:cs="Times New Roman"/>
          <w:b/>
          <w:bCs/>
          <w:color w:val="000000"/>
          <w:lang w:eastAsia="es-SV"/>
        </w:rPr>
        <w:t>optar y aplicar políticas, estrategias nacionales, planes de acción, leyes y reglamentos no discriminatorios</w:t>
      </w:r>
    </w:p>
    <w:p w:rsidR="00882607" w:rsidRPr="00C45D1E" w:rsidRDefault="00882607" w:rsidP="00882607">
      <w:pPr>
        <w:pStyle w:val="ListParagraph"/>
        <w:spacing w:after="120" w:line="240" w:lineRule="auto"/>
        <w:ind w:left="0"/>
        <w:jc w:val="both"/>
        <w:rPr>
          <w:rFonts w:ascii="Century Gothic" w:eastAsia="Times New Roman" w:hAnsi="Century Gothic" w:cs="Times New Roman"/>
          <w:color w:val="000000"/>
          <w:sz w:val="18"/>
          <w:szCs w:val="18"/>
          <w:lang w:eastAsia="es-SV"/>
        </w:rPr>
      </w:pPr>
    </w:p>
    <w:p w:rsidR="009E2C0A" w:rsidRDefault="009E2C0A" w:rsidP="00882607">
      <w:pPr>
        <w:pStyle w:val="ListParagraph"/>
        <w:spacing w:after="120" w:line="240" w:lineRule="auto"/>
        <w:ind w:left="0"/>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 xml:space="preserve">El país cuenta con un </w:t>
      </w:r>
      <w:r w:rsidRPr="009E2C0A">
        <w:rPr>
          <w:rFonts w:ascii="Century Gothic" w:eastAsia="Times New Roman" w:hAnsi="Century Gothic" w:cs="Times New Roman"/>
          <w:color w:val="000000"/>
          <w:lang w:eastAsia="es-SV"/>
        </w:rPr>
        <w:t>Consejo Nacional de Atención Integral a los Programas de Adultos Mayores (CONAIPAM) fue creado en el marco de la Ley Integral para la Persona Adulta Mayor, vigente desde el año 2002</w:t>
      </w:r>
      <w:r w:rsidR="00016E8D">
        <w:rPr>
          <w:rFonts w:ascii="Century Gothic" w:eastAsia="Times New Roman" w:hAnsi="Century Gothic" w:cs="Times New Roman"/>
          <w:color w:val="000000"/>
          <w:lang w:eastAsia="es-SV"/>
        </w:rPr>
        <w:t>.</w:t>
      </w:r>
      <w:r w:rsidR="00016E8D" w:rsidRPr="00016E8D">
        <w:rPr>
          <w:rFonts w:ascii="Century Gothic" w:eastAsia="Times New Roman" w:hAnsi="Century Gothic" w:cs="Times New Roman"/>
          <w:color w:val="000000"/>
          <w:lang w:eastAsia="es-SV"/>
        </w:rPr>
        <w:t>Actualmente es coordinado y representado legalmente por el Ministerio de Desarrollo Local (MINDEL) y lo integran 12 instituciones</w:t>
      </w:r>
      <w:r w:rsidR="00016E8D">
        <w:rPr>
          <w:rFonts w:ascii="Century Gothic" w:eastAsia="Times New Roman" w:hAnsi="Century Gothic" w:cs="Times New Roman"/>
          <w:color w:val="000000"/>
          <w:lang w:eastAsia="es-SV"/>
        </w:rPr>
        <w:t>. Esta entidad ha promovido y participado en importantes avances a nivel nacional.</w:t>
      </w:r>
    </w:p>
    <w:p w:rsidR="00016E8D" w:rsidRDefault="00016E8D" w:rsidP="00882607">
      <w:pPr>
        <w:pStyle w:val="ListParagraph"/>
        <w:spacing w:after="120" w:line="240" w:lineRule="auto"/>
        <w:ind w:left="0"/>
        <w:jc w:val="both"/>
        <w:rPr>
          <w:rFonts w:ascii="Century Gothic" w:eastAsia="Times New Roman" w:hAnsi="Century Gothic" w:cs="Times New Roman"/>
          <w:color w:val="000000"/>
          <w:lang w:eastAsia="es-SV"/>
        </w:rPr>
      </w:pPr>
    </w:p>
    <w:p w:rsidR="00254D55" w:rsidRPr="00882607" w:rsidRDefault="00254D55" w:rsidP="00BD5131">
      <w:pPr>
        <w:pStyle w:val="ListParagraph"/>
        <w:spacing w:after="120" w:line="240" w:lineRule="auto"/>
        <w:ind w:left="0"/>
        <w:jc w:val="both"/>
        <w:rPr>
          <w:rFonts w:ascii="Century Gothic" w:eastAsia="Times New Roman" w:hAnsi="Century Gothic" w:cs="Times New Roman"/>
          <w:lang w:eastAsia="es-SV"/>
        </w:rPr>
      </w:pPr>
      <w:r w:rsidRPr="00882607">
        <w:rPr>
          <w:rFonts w:ascii="Century Gothic" w:eastAsia="Times New Roman" w:hAnsi="Century Gothic" w:cs="Times New Roman"/>
          <w:color w:val="000000"/>
          <w:lang w:eastAsia="es-SV"/>
        </w:rPr>
        <w:t>Como parte de las labores de concientización y promoción de los derechos de las personas adultas mayores, la Asamblea Legislativa en el año 2017, por medio del DL. No. 704</w:t>
      </w:r>
      <w:r w:rsidRPr="00882607">
        <w:rPr>
          <w:rFonts w:ascii="Century Gothic" w:eastAsia="Times New Roman" w:hAnsi="Century Gothic" w:cs="Times New Roman"/>
          <w:color w:val="000000"/>
          <w:lang w:eastAsia="es-SV"/>
        </w:rPr>
        <w:footnoteReference w:id="2"/>
      </w:r>
      <w:r w:rsidRPr="00882607">
        <w:rPr>
          <w:rFonts w:ascii="Century Gothic" w:eastAsia="Times New Roman" w:hAnsi="Century Gothic" w:cs="Times New Roman"/>
          <w:color w:val="000000"/>
          <w:lang w:eastAsia="es-SV"/>
        </w:rPr>
        <w:t xml:space="preserve">, se declaró el día 15 de junio de cada año como el “Día Nacional en Favor de la Eliminación del Abuso, Maltrato, Discriminación y Negligencia contra las Personas Mayores”. </w:t>
      </w:r>
      <w:r w:rsidRPr="00882607">
        <w:rPr>
          <w:rFonts w:ascii="Century Gothic" w:eastAsia="Times New Roman" w:hAnsi="Century Gothic" w:cs="Times New Roman"/>
          <w:lang w:eastAsia="es-SV"/>
        </w:rPr>
        <w:t>Es</w:t>
      </w:r>
      <w:r w:rsidR="00BD5131">
        <w:rPr>
          <w:rFonts w:ascii="Century Gothic" w:eastAsia="Times New Roman" w:hAnsi="Century Gothic" w:cs="Times New Roman"/>
          <w:lang w:eastAsia="es-SV"/>
        </w:rPr>
        <w:t>e</w:t>
      </w:r>
      <w:r w:rsidRPr="00882607">
        <w:rPr>
          <w:rFonts w:ascii="Century Gothic" w:eastAsia="Times New Roman" w:hAnsi="Century Gothic" w:cs="Times New Roman"/>
          <w:lang w:eastAsia="es-SV"/>
        </w:rPr>
        <w:t xml:space="preserve"> mismo año, por medio del DL. No. 836</w:t>
      </w:r>
      <w:r w:rsidRPr="00882607">
        <w:rPr>
          <w:rFonts w:ascii="Century Gothic" w:eastAsia="Times New Roman" w:hAnsi="Century Gothic" w:cs="Times New Roman"/>
          <w:lang w:eastAsia="es-SV"/>
        </w:rPr>
        <w:footnoteReference w:id="3"/>
      </w:r>
      <w:r w:rsidRPr="00882607">
        <w:rPr>
          <w:rFonts w:ascii="Century Gothic" w:eastAsia="Times New Roman" w:hAnsi="Century Gothic" w:cs="Times New Roman"/>
          <w:lang w:eastAsia="es-SV"/>
        </w:rPr>
        <w:t xml:space="preserve">, la </w:t>
      </w:r>
      <w:r w:rsidR="004369D4">
        <w:rPr>
          <w:rFonts w:ascii="Century Gothic" w:eastAsia="Times New Roman" w:hAnsi="Century Gothic" w:cs="Times New Roman"/>
          <w:lang w:eastAsia="es-SV"/>
        </w:rPr>
        <w:t>Asamblea Legislativa ratificó</w:t>
      </w:r>
      <w:r w:rsidRPr="00882607">
        <w:rPr>
          <w:rFonts w:ascii="Century Gothic" w:eastAsia="Times New Roman" w:hAnsi="Century Gothic" w:cs="Times New Roman"/>
          <w:lang w:eastAsia="es-SV"/>
        </w:rPr>
        <w:t xml:space="preserve"> en todas sus partes la Convención Interamericana sobre la Protección de los Derechos Humanos de las Personas Mayores, adoptada el 15 de junio de 2015, en el cuadragésimo quinto período ordinario de sesiones de la Asamblea General de la Organización de Estados Americanos (OEA) y que fue aprobada por el Órgano Ejecutivo, mediante Acuerdo Nº 1399/2016, del 29 de julio de 2016.</w:t>
      </w:r>
    </w:p>
    <w:p w:rsidR="00254D55" w:rsidRPr="00882607" w:rsidRDefault="00254D55" w:rsidP="00882607">
      <w:pPr>
        <w:pStyle w:val="Default"/>
        <w:jc w:val="both"/>
        <w:rPr>
          <w:rFonts w:ascii="Century Gothic" w:eastAsia="Times New Roman" w:hAnsi="Century Gothic" w:cs="Times New Roman"/>
          <w:sz w:val="22"/>
          <w:szCs w:val="22"/>
          <w:lang w:eastAsia="es-SV"/>
        </w:rPr>
      </w:pPr>
      <w:r w:rsidRPr="00882607">
        <w:rPr>
          <w:rFonts w:ascii="Century Gothic" w:eastAsia="Times New Roman" w:hAnsi="Century Gothic" w:cs="Times New Roman"/>
          <w:sz w:val="22"/>
          <w:szCs w:val="22"/>
          <w:lang w:eastAsia="es-SV"/>
        </w:rPr>
        <w:t xml:space="preserve">En el 2020, se aprobó la Norma técnica de atención integral en salud a la persona adulta mayor, la cual tiene por objetivo establecer las disposiciones técnicas que regulan la atención integral, bio-psico-social y funcional a la persona adulta mayor. </w:t>
      </w:r>
    </w:p>
    <w:p w:rsidR="00254D55" w:rsidRPr="00882607" w:rsidRDefault="00254D55" w:rsidP="00882607">
      <w:pPr>
        <w:pStyle w:val="Default"/>
        <w:jc w:val="both"/>
        <w:rPr>
          <w:rFonts w:ascii="Century Gothic" w:eastAsia="Times New Roman" w:hAnsi="Century Gothic" w:cs="Times New Roman"/>
          <w:sz w:val="22"/>
          <w:szCs w:val="22"/>
          <w:lang w:eastAsia="es-SV"/>
        </w:rPr>
      </w:pPr>
    </w:p>
    <w:p w:rsidR="00254D55" w:rsidRDefault="00254D55" w:rsidP="00882607">
      <w:pPr>
        <w:pStyle w:val="ListParagraph"/>
        <w:spacing w:after="120" w:line="240" w:lineRule="auto"/>
        <w:ind w:left="0"/>
        <w:jc w:val="both"/>
        <w:rPr>
          <w:rFonts w:ascii="Century Gothic" w:eastAsia="Times New Roman" w:hAnsi="Century Gothic" w:cs="Times New Roman"/>
          <w:color w:val="000000"/>
          <w:lang w:eastAsia="es-SV"/>
        </w:rPr>
      </w:pPr>
      <w:r w:rsidRPr="00882607">
        <w:rPr>
          <w:rFonts w:ascii="Century Gothic" w:eastAsia="Times New Roman" w:hAnsi="Century Gothic" w:cs="Times New Roman"/>
          <w:color w:val="000000"/>
          <w:lang w:eastAsia="es-SV"/>
        </w:rPr>
        <w:t>En 2021, se aprueba la Ley Especial para la Protección de los Derechos de la Persona Adulta Mayor</w:t>
      </w:r>
      <w:r w:rsidRPr="004369D4">
        <w:rPr>
          <w:rFonts w:ascii="Century Gothic" w:eastAsia="Times New Roman" w:hAnsi="Century Gothic" w:cs="Times New Roman"/>
          <w:color w:val="000000"/>
          <w:vertAlign w:val="superscript"/>
          <w:lang w:eastAsia="es-SV"/>
        </w:rPr>
        <w:footnoteReference w:id="4"/>
      </w:r>
      <w:r w:rsidRPr="00882607">
        <w:rPr>
          <w:rFonts w:ascii="Century Gothic" w:eastAsia="Times New Roman" w:hAnsi="Century Gothic" w:cs="Times New Roman"/>
          <w:color w:val="000000"/>
          <w:lang w:eastAsia="es-SV"/>
        </w:rPr>
        <w:t xml:space="preserve">, por medio del Decreto Legislativo (DL) No. 817, la cual tiene por objeto “garantizar, proteger y promover el reconocimiento y el pleno goce y ejercicio, en condiciones de igualdad, de todos los derechos humanos y libertades fundamentales de la persona adulta mayor, por medio de políticas, planes, programas, normativa y acciones que contribuyan a su inclusión en la sociedad” (art. 1). </w:t>
      </w:r>
    </w:p>
    <w:p w:rsidR="009E2C0A" w:rsidRDefault="009E2C0A" w:rsidP="00882607">
      <w:pPr>
        <w:pStyle w:val="ListParagraph"/>
        <w:spacing w:after="120" w:line="240" w:lineRule="auto"/>
        <w:ind w:left="0"/>
        <w:jc w:val="both"/>
        <w:rPr>
          <w:rFonts w:ascii="Century Gothic" w:eastAsia="Times New Roman" w:hAnsi="Century Gothic" w:cs="Times New Roman"/>
          <w:color w:val="000000"/>
          <w:lang w:eastAsia="es-SV"/>
        </w:rPr>
      </w:pPr>
    </w:p>
    <w:p w:rsidR="00016E8D" w:rsidRDefault="00016E8D" w:rsidP="00016E8D">
      <w:pPr>
        <w:pStyle w:val="ListParagraph"/>
        <w:spacing w:after="120" w:line="240" w:lineRule="auto"/>
        <w:ind w:left="0"/>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lastRenderedPageBreak/>
        <w:t>Además de las normativas, el país cuenta con una</w:t>
      </w:r>
      <w:r w:rsidRPr="00882607">
        <w:rPr>
          <w:rFonts w:ascii="Century Gothic" w:eastAsia="Times New Roman" w:hAnsi="Century Gothic" w:cs="Times New Roman"/>
          <w:color w:val="000000"/>
          <w:lang w:eastAsia="es-SV"/>
        </w:rPr>
        <w:t xml:space="preserve"> Política Pública de la Persona Adulta Mayor, la cual fue elaborada por el CONAIPAM</w:t>
      </w:r>
      <w:r>
        <w:rPr>
          <w:rFonts w:ascii="Century Gothic" w:eastAsia="Times New Roman" w:hAnsi="Century Gothic" w:cs="Times New Roman"/>
          <w:color w:val="000000"/>
          <w:lang w:eastAsia="es-SV"/>
        </w:rPr>
        <w:t>. Esta</w:t>
      </w:r>
      <w:r w:rsidRPr="00882607">
        <w:rPr>
          <w:rFonts w:ascii="Century Gothic" w:eastAsia="Times New Roman" w:hAnsi="Century Gothic" w:cs="Times New Roman"/>
          <w:color w:val="000000"/>
          <w:lang w:eastAsia="es-SV"/>
        </w:rPr>
        <w:t xml:space="preserve"> se centra en los siguientes ejes de trabajo: empoderamiento, participación y ejercicio de derechos; protección y acceso a la justicia; salud integral y cuidados; servicios sociales; educación; actividad física, deporte y cultura; hábitat y accesibilidad; ingreso y acceso a beneficios; y atención a grupos específicos.</w:t>
      </w:r>
    </w:p>
    <w:p w:rsidR="00016E8D" w:rsidRDefault="00016E8D" w:rsidP="00882607">
      <w:pPr>
        <w:pStyle w:val="ListParagraph"/>
        <w:spacing w:after="120" w:line="240" w:lineRule="auto"/>
        <w:ind w:left="0"/>
        <w:jc w:val="both"/>
        <w:rPr>
          <w:rFonts w:ascii="Century Gothic" w:eastAsia="Times New Roman" w:hAnsi="Century Gothic" w:cs="Times New Roman"/>
          <w:color w:val="000000"/>
          <w:lang w:eastAsia="es-SV"/>
        </w:rPr>
      </w:pPr>
    </w:p>
    <w:p w:rsidR="00016E8D" w:rsidRDefault="00016E8D" w:rsidP="00882607">
      <w:pPr>
        <w:pStyle w:val="ListParagraph"/>
        <w:spacing w:after="120" w:line="240" w:lineRule="auto"/>
        <w:ind w:left="0"/>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En este mismo año, CONAIPAM también impulsó la elaboración del Plan de Acción 2021 – 2024, con el fin de marcar las pautas de actuación de las instituciones que lo conforman y poder dar respuesta a las necesidades de la población.</w:t>
      </w:r>
    </w:p>
    <w:p w:rsidR="00362F88" w:rsidRDefault="00362F88" w:rsidP="00882607">
      <w:pPr>
        <w:pStyle w:val="ListParagraph"/>
        <w:spacing w:after="120" w:line="240" w:lineRule="auto"/>
        <w:ind w:left="0"/>
        <w:jc w:val="both"/>
        <w:rPr>
          <w:rFonts w:ascii="Century Gothic" w:eastAsia="Times New Roman" w:hAnsi="Century Gothic" w:cs="Times New Roman"/>
          <w:color w:val="000000"/>
          <w:lang w:eastAsia="es-SV"/>
        </w:rPr>
      </w:pPr>
    </w:p>
    <w:p w:rsidR="00831E95" w:rsidRDefault="00831E95" w:rsidP="00831E95">
      <w:pPr>
        <w:pStyle w:val="ListParagraph"/>
        <w:numPr>
          <w:ilvl w:val="0"/>
          <w:numId w:val="1"/>
        </w:numPr>
        <w:rPr>
          <w:rFonts w:ascii="Century Gothic" w:eastAsia="Times New Roman" w:hAnsi="Century Gothic" w:cs="Times New Roman"/>
          <w:b/>
          <w:bCs/>
          <w:color w:val="000000"/>
          <w:lang w:eastAsia="es-SV"/>
        </w:rPr>
      </w:pPr>
      <w:r>
        <w:rPr>
          <w:rFonts w:ascii="Century Gothic" w:eastAsia="Times New Roman" w:hAnsi="Century Gothic" w:cs="Times New Roman"/>
          <w:b/>
          <w:bCs/>
          <w:color w:val="000000"/>
          <w:lang w:eastAsia="es-SV"/>
        </w:rPr>
        <w:t xml:space="preserve">Generación de datos desagregados </w:t>
      </w:r>
      <w:r w:rsidR="00FA0B2F">
        <w:rPr>
          <w:rFonts w:ascii="Century Gothic" w:eastAsia="Times New Roman" w:hAnsi="Century Gothic" w:cs="Times New Roman"/>
          <w:b/>
          <w:bCs/>
          <w:color w:val="000000"/>
          <w:lang w:eastAsia="es-SV"/>
        </w:rPr>
        <w:t>para</w:t>
      </w:r>
      <w:r>
        <w:rPr>
          <w:rFonts w:ascii="Century Gothic" w:eastAsia="Times New Roman" w:hAnsi="Century Gothic" w:cs="Times New Roman"/>
          <w:b/>
          <w:bCs/>
          <w:color w:val="000000"/>
          <w:lang w:eastAsia="es-SV"/>
        </w:rPr>
        <w:t xml:space="preserve"> visibilización de la persona adulta mayor</w:t>
      </w:r>
    </w:p>
    <w:p w:rsidR="009E384A" w:rsidRDefault="00BF52BB" w:rsidP="00FA0B2F">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En relación a la generación de datos para visibilizar a la PAM, es importante mencionar que l</w:t>
      </w:r>
      <w:r w:rsidR="00FA0B2F" w:rsidRPr="00FA0B2F">
        <w:rPr>
          <w:rFonts w:ascii="Century Gothic" w:eastAsia="Times New Roman" w:hAnsi="Century Gothic" w:cs="Times New Roman"/>
          <w:color w:val="000000"/>
          <w:lang w:eastAsia="es-SV"/>
        </w:rPr>
        <w:t>as instituciones están haciendo</w:t>
      </w:r>
      <w:r w:rsidR="00C45D1E">
        <w:rPr>
          <w:rFonts w:ascii="Century Gothic" w:eastAsia="Times New Roman" w:hAnsi="Century Gothic" w:cs="Times New Roman"/>
          <w:color w:val="000000"/>
          <w:lang w:eastAsia="es-SV"/>
        </w:rPr>
        <w:t xml:space="preserve"> grandes</w:t>
      </w:r>
      <w:r w:rsidR="00960D47">
        <w:rPr>
          <w:rFonts w:ascii="Century Gothic" w:eastAsia="Times New Roman" w:hAnsi="Century Gothic" w:cs="Times New Roman"/>
          <w:color w:val="000000"/>
          <w:lang w:eastAsia="es-SV"/>
        </w:rPr>
        <w:t xml:space="preserve"> </w:t>
      </w:r>
      <w:r w:rsidR="00FA0B2F">
        <w:rPr>
          <w:rFonts w:ascii="Century Gothic" w:eastAsia="Times New Roman" w:hAnsi="Century Gothic" w:cs="Times New Roman"/>
          <w:color w:val="000000"/>
          <w:lang w:eastAsia="es-SV"/>
        </w:rPr>
        <w:t xml:space="preserve">esfuerzos </w:t>
      </w:r>
      <w:r w:rsidR="00C45D1E">
        <w:rPr>
          <w:rFonts w:ascii="Century Gothic" w:eastAsia="Times New Roman" w:hAnsi="Century Gothic" w:cs="Times New Roman"/>
          <w:color w:val="000000"/>
          <w:lang w:eastAsia="es-SV"/>
        </w:rPr>
        <w:t>en</w:t>
      </w:r>
      <w:r w:rsidR="00FA0B2F">
        <w:rPr>
          <w:rFonts w:ascii="Century Gothic" w:eastAsia="Times New Roman" w:hAnsi="Century Gothic" w:cs="Times New Roman"/>
          <w:color w:val="000000"/>
          <w:lang w:eastAsia="es-SV"/>
        </w:rPr>
        <w:t xml:space="preserve"> generar datos desagregados por sexo y rangos de edades. </w:t>
      </w:r>
      <w:r>
        <w:rPr>
          <w:rFonts w:ascii="Century Gothic" w:eastAsia="Times New Roman" w:hAnsi="Century Gothic" w:cs="Times New Roman"/>
          <w:color w:val="000000"/>
          <w:lang w:eastAsia="es-SV"/>
        </w:rPr>
        <w:t xml:space="preserve">Entre las instituciones que han logrado realizar </w:t>
      </w:r>
      <w:r w:rsidR="00781D7B">
        <w:rPr>
          <w:rFonts w:ascii="Century Gothic" w:eastAsia="Times New Roman" w:hAnsi="Century Gothic" w:cs="Times New Roman"/>
          <w:color w:val="000000"/>
          <w:lang w:eastAsia="es-SV"/>
        </w:rPr>
        <w:t xml:space="preserve">más </w:t>
      </w:r>
      <w:r>
        <w:rPr>
          <w:rFonts w:ascii="Century Gothic" w:eastAsia="Times New Roman" w:hAnsi="Century Gothic" w:cs="Times New Roman"/>
          <w:color w:val="000000"/>
          <w:lang w:eastAsia="es-SV"/>
        </w:rPr>
        <w:t xml:space="preserve">avances </w:t>
      </w:r>
      <w:r w:rsidR="00C45D1E">
        <w:rPr>
          <w:rFonts w:ascii="Century Gothic" w:eastAsia="Times New Roman" w:hAnsi="Century Gothic" w:cs="Times New Roman"/>
          <w:color w:val="000000"/>
          <w:lang w:eastAsia="es-SV"/>
        </w:rPr>
        <w:t xml:space="preserve">y que </w:t>
      </w:r>
      <w:r>
        <w:rPr>
          <w:rFonts w:ascii="Century Gothic" w:eastAsia="Times New Roman" w:hAnsi="Century Gothic" w:cs="Times New Roman"/>
          <w:color w:val="000000"/>
          <w:lang w:eastAsia="es-SV"/>
        </w:rPr>
        <w:t>se destacan por la generación de datos se encuentran</w:t>
      </w:r>
      <w:r w:rsidR="00960D47">
        <w:rPr>
          <w:rFonts w:ascii="Century Gothic" w:eastAsia="Times New Roman" w:hAnsi="Century Gothic" w:cs="Times New Roman"/>
          <w:color w:val="000000"/>
          <w:lang w:eastAsia="es-SV"/>
        </w:rPr>
        <w:t xml:space="preserve"> </w:t>
      </w:r>
      <w:r w:rsidR="00781D7B">
        <w:rPr>
          <w:rFonts w:ascii="Century Gothic" w:eastAsia="Times New Roman" w:hAnsi="Century Gothic" w:cs="Times New Roman"/>
          <w:color w:val="000000"/>
          <w:lang w:eastAsia="es-SV"/>
        </w:rPr>
        <w:t>el Ministerio de Educación, Ciencia y Tecnología (</w:t>
      </w:r>
      <w:r w:rsidR="00FA0B2F">
        <w:rPr>
          <w:rFonts w:ascii="Century Gothic" w:eastAsia="Times New Roman" w:hAnsi="Century Gothic" w:cs="Times New Roman"/>
          <w:color w:val="000000"/>
          <w:lang w:eastAsia="es-SV"/>
        </w:rPr>
        <w:t>MINEDUCYT</w:t>
      </w:r>
      <w:r w:rsidR="00781D7B">
        <w:rPr>
          <w:rFonts w:ascii="Century Gothic" w:eastAsia="Times New Roman" w:hAnsi="Century Gothic" w:cs="Times New Roman"/>
          <w:color w:val="000000"/>
          <w:lang w:eastAsia="es-SV"/>
        </w:rPr>
        <w:t>)</w:t>
      </w:r>
      <w:r w:rsidR="00FA0B2F">
        <w:rPr>
          <w:rFonts w:ascii="Century Gothic" w:eastAsia="Times New Roman" w:hAnsi="Century Gothic" w:cs="Times New Roman"/>
          <w:color w:val="000000"/>
          <w:lang w:eastAsia="es-SV"/>
        </w:rPr>
        <w:t xml:space="preserve">, </w:t>
      </w:r>
      <w:r w:rsidR="00781D7B">
        <w:rPr>
          <w:rFonts w:ascii="Century Gothic" w:eastAsia="Times New Roman" w:hAnsi="Century Gothic" w:cs="Times New Roman"/>
          <w:color w:val="000000"/>
          <w:lang w:eastAsia="es-SV"/>
        </w:rPr>
        <w:t xml:space="preserve">Superintendencia de Pensiones (SP), </w:t>
      </w:r>
      <w:r w:rsidR="00781D7B" w:rsidRPr="00781D7B">
        <w:rPr>
          <w:rFonts w:ascii="Century Gothic" w:eastAsia="Times New Roman" w:hAnsi="Century Gothic" w:cs="Times New Roman"/>
          <w:color w:val="000000"/>
          <w:lang w:eastAsia="es-SV"/>
        </w:rPr>
        <w:t xml:space="preserve">Dirección General de Estadística y Censos </w:t>
      </w:r>
      <w:r w:rsidR="00781D7B">
        <w:rPr>
          <w:rFonts w:ascii="Century Gothic" w:eastAsia="Times New Roman" w:hAnsi="Century Gothic" w:cs="Times New Roman"/>
          <w:color w:val="000000"/>
          <w:lang w:eastAsia="es-SV"/>
        </w:rPr>
        <w:t>(</w:t>
      </w:r>
      <w:r w:rsidR="00FA0B2F">
        <w:rPr>
          <w:rFonts w:ascii="Century Gothic" w:eastAsia="Times New Roman" w:hAnsi="Century Gothic" w:cs="Times New Roman"/>
          <w:color w:val="000000"/>
          <w:lang w:eastAsia="es-SV"/>
        </w:rPr>
        <w:t>DIGESTYC</w:t>
      </w:r>
      <w:r w:rsidR="00781D7B">
        <w:rPr>
          <w:rFonts w:ascii="Century Gothic" w:eastAsia="Times New Roman" w:hAnsi="Century Gothic" w:cs="Times New Roman"/>
          <w:color w:val="000000"/>
          <w:lang w:eastAsia="es-SV"/>
        </w:rPr>
        <w:t>)</w:t>
      </w:r>
      <w:r w:rsidR="00FA0B2F">
        <w:rPr>
          <w:rFonts w:ascii="Century Gothic" w:eastAsia="Times New Roman" w:hAnsi="Century Gothic" w:cs="Times New Roman"/>
          <w:color w:val="000000"/>
          <w:lang w:eastAsia="es-SV"/>
        </w:rPr>
        <w:t xml:space="preserve">, </w:t>
      </w:r>
      <w:r w:rsidR="00781D7B">
        <w:rPr>
          <w:rFonts w:ascii="Century Gothic" w:eastAsia="Times New Roman" w:hAnsi="Century Gothic" w:cs="Times New Roman"/>
          <w:color w:val="000000"/>
          <w:lang w:eastAsia="es-SV"/>
        </w:rPr>
        <w:t xml:space="preserve">MINSAL, </w:t>
      </w:r>
      <w:r w:rsidR="00FA0B2F">
        <w:rPr>
          <w:rFonts w:ascii="Century Gothic" w:eastAsia="Times New Roman" w:hAnsi="Century Gothic" w:cs="Times New Roman"/>
          <w:color w:val="000000"/>
          <w:lang w:eastAsia="es-SV"/>
        </w:rPr>
        <w:t xml:space="preserve">INPEP, </w:t>
      </w:r>
      <w:r w:rsidR="00781D7B">
        <w:rPr>
          <w:rFonts w:ascii="Century Gothic" w:eastAsia="Times New Roman" w:hAnsi="Century Gothic" w:cs="Times New Roman"/>
          <w:color w:val="000000"/>
          <w:lang w:eastAsia="es-SV"/>
        </w:rPr>
        <w:t xml:space="preserve">ISDEMU, IPSFA y </w:t>
      </w:r>
      <w:r w:rsidR="00FA0B2F">
        <w:rPr>
          <w:rFonts w:ascii="Century Gothic" w:eastAsia="Times New Roman" w:hAnsi="Century Gothic" w:cs="Times New Roman"/>
          <w:color w:val="000000"/>
          <w:lang w:eastAsia="es-SV"/>
        </w:rPr>
        <w:t>PNC.</w:t>
      </w:r>
    </w:p>
    <w:p w:rsidR="009E2C0A" w:rsidRDefault="009E2C0A" w:rsidP="00FA0B2F">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Además, MINDEL está haciendo esfuerzos por generar estudios y análisis de la situación de las personas adultas mayores, con el apoyo del Fondo de Población de las Naciones Unidas, con el propósito de visibilizar información clave que contribuya a la generación de políticas y programas más efectivos.</w:t>
      </w:r>
    </w:p>
    <w:p w:rsidR="00C45D1E" w:rsidRPr="00C45D1E" w:rsidRDefault="00C45D1E" w:rsidP="00FA0B2F">
      <w:pPr>
        <w:jc w:val="both"/>
        <w:rPr>
          <w:rFonts w:ascii="Century Gothic" w:eastAsia="Times New Roman" w:hAnsi="Century Gothic" w:cs="Times New Roman"/>
          <w:color w:val="000000"/>
          <w:sz w:val="2"/>
          <w:szCs w:val="2"/>
          <w:lang w:eastAsia="es-SV"/>
        </w:rPr>
      </w:pPr>
    </w:p>
    <w:p w:rsidR="009E384A" w:rsidRDefault="009E384A" w:rsidP="00831E95">
      <w:pPr>
        <w:pStyle w:val="ListParagraph"/>
        <w:numPr>
          <w:ilvl w:val="0"/>
          <w:numId w:val="1"/>
        </w:numPr>
        <w:rPr>
          <w:rFonts w:ascii="Century Gothic" w:eastAsia="Times New Roman" w:hAnsi="Century Gothic" w:cs="Times New Roman"/>
          <w:b/>
          <w:bCs/>
          <w:color w:val="000000"/>
          <w:lang w:eastAsia="es-SV"/>
        </w:rPr>
      </w:pPr>
      <w:r w:rsidRPr="009E384A">
        <w:rPr>
          <w:rFonts w:ascii="Century Gothic" w:eastAsia="Times New Roman" w:hAnsi="Century Gothic" w:cs="Times New Roman"/>
          <w:b/>
          <w:bCs/>
          <w:color w:val="000000"/>
          <w:lang w:eastAsia="es-SV"/>
        </w:rPr>
        <w:t>Participación de la PAM en espacios de toma de decisión</w:t>
      </w:r>
    </w:p>
    <w:p w:rsidR="001F106F" w:rsidRPr="00C45D1E" w:rsidRDefault="001F106F" w:rsidP="001F106F">
      <w:pPr>
        <w:pStyle w:val="ListParagraph"/>
        <w:ind w:left="360"/>
        <w:rPr>
          <w:rFonts w:ascii="Century Gothic" w:eastAsia="Times New Roman" w:hAnsi="Century Gothic" w:cs="Times New Roman"/>
          <w:b/>
          <w:bCs/>
          <w:color w:val="000000"/>
          <w:sz w:val="4"/>
          <w:szCs w:val="4"/>
          <w:lang w:eastAsia="es-SV"/>
        </w:rPr>
      </w:pPr>
    </w:p>
    <w:p w:rsidR="00254D55" w:rsidRPr="00254D55" w:rsidRDefault="00960D47" w:rsidP="00254D55">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U</w:t>
      </w:r>
      <w:r w:rsidR="00254D55" w:rsidRPr="00254D55">
        <w:rPr>
          <w:rFonts w:ascii="Century Gothic" w:eastAsia="Times New Roman" w:hAnsi="Century Gothic" w:cs="Times New Roman"/>
          <w:color w:val="000000"/>
          <w:lang w:eastAsia="es-SV"/>
        </w:rPr>
        <w:t>no de los principales espacios de participación</w:t>
      </w:r>
      <w:r>
        <w:rPr>
          <w:rFonts w:ascii="Century Gothic" w:eastAsia="Times New Roman" w:hAnsi="Century Gothic" w:cs="Times New Roman"/>
          <w:color w:val="000000"/>
          <w:lang w:eastAsia="es-SV"/>
        </w:rPr>
        <w:t xml:space="preserve"> para las personas adultas mayores</w:t>
      </w:r>
      <w:r w:rsidR="00254D55" w:rsidRPr="00254D55">
        <w:rPr>
          <w:rFonts w:ascii="Century Gothic" w:eastAsia="Times New Roman" w:hAnsi="Century Gothic" w:cs="Times New Roman"/>
          <w:color w:val="000000"/>
          <w:lang w:eastAsia="es-SV"/>
        </w:rPr>
        <w:t xml:space="preserve"> es el CONAIPAM desde la creación de la Ley de Atención Integral para la Persona Adulta Mayor en el año 2002; cabe resaltar que con la Ley Especial para la Protección de los Derechos de la Persona Adulta Mayor aprobada en el 2021, la cual confiere una finalidad diferente a la anterior, que la vuelve autónoma y como ente rector en la protección integral de los derechos de la</w:t>
      </w:r>
      <w:r w:rsidR="00E87A8C">
        <w:rPr>
          <w:rFonts w:ascii="Century Gothic" w:eastAsia="Times New Roman" w:hAnsi="Century Gothic" w:cs="Times New Roman"/>
          <w:color w:val="000000"/>
          <w:lang w:eastAsia="es-SV"/>
        </w:rPr>
        <w:t>s</w:t>
      </w:r>
      <w:r>
        <w:rPr>
          <w:rFonts w:ascii="Century Gothic" w:eastAsia="Times New Roman" w:hAnsi="Century Gothic" w:cs="Times New Roman"/>
          <w:color w:val="000000"/>
          <w:lang w:eastAsia="es-SV"/>
        </w:rPr>
        <w:t xml:space="preserve"> </w:t>
      </w:r>
      <w:r w:rsidR="00E87A8C">
        <w:rPr>
          <w:rFonts w:ascii="Century Gothic" w:eastAsia="Times New Roman" w:hAnsi="Century Gothic" w:cs="Times New Roman"/>
          <w:color w:val="000000"/>
          <w:lang w:eastAsia="es-SV"/>
        </w:rPr>
        <w:t>PAM</w:t>
      </w:r>
      <w:r w:rsidR="00254D55" w:rsidRPr="00254D55">
        <w:rPr>
          <w:rFonts w:ascii="Century Gothic" w:eastAsia="Times New Roman" w:hAnsi="Century Gothic" w:cs="Times New Roman"/>
          <w:color w:val="000000"/>
          <w:lang w:eastAsia="es-SV"/>
        </w:rPr>
        <w:t>, en este sentido, en su constitución como se mencionó anteriormente tiene participación y representación de las organizaciones de la sociedad civil</w:t>
      </w:r>
      <w:r w:rsidR="00BF52BB">
        <w:rPr>
          <w:rFonts w:ascii="Century Gothic" w:eastAsia="Times New Roman" w:hAnsi="Century Gothic" w:cs="Times New Roman"/>
          <w:color w:val="000000"/>
          <w:lang w:eastAsia="es-SV"/>
        </w:rPr>
        <w:t>.</w:t>
      </w:r>
    </w:p>
    <w:p w:rsidR="00254D55" w:rsidRDefault="00BF52BB" w:rsidP="00254D55">
      <w:pPr>
        <w:jc w:val="both"/>
        <w:rPr>
          <w:rFonts w:ascii="Century Gothic" w:eastAsia="Times New Roman" w:hAnsi="Century Gothic" w:cs="Times New Roman"/>
          <w:color w:val="000000"/>
          <w:lang w:eastAsia="es-SV"/>
        </w:rPr>
      </w:pPr>
      <w:r w:rsidRPr="00254D55">
        <w:rPr>
          <w:rFonts w:ascii="Century Gothic" w:eastAsia="Times New Roman" w:hAnsi="Century Gothic" w:cs="Times New Roman"/>
          <w:color w:val="000000"/>
          <w:lang w:eastAsia="es-SV"/>
        </w:rPr>
        <w:t>Asimismo,</w:t>
      </w:r>
      <w:r w:rsidR="00254D55" w:rsidRPr="00254D55">
        <w:rPr>
          <w:rFonts w:ascii="Century Gothic" w:eastAsia="Times New Roman" w:hAnsi="Century Gothic" w:cs="Times New Roman"/>
          <w:color w:val="000000"/>
          <w:lang w:eastAsia="es-SV"/>
        </w:rPr>
        <w:t xml:space="preserve"> hay instituciones del gobierno que han conformado mesas para la discusión de temáticas vinculadas con la población adulta mayor</w:t>
      </w:r>
      <w:r>
        <w:rPr>
          <w:rFonts w:ascii="Century Gothic" w:eastAsia="Times New Roman" w:hAnsi="Century Gothic" w:cs="Times New Roman"/>
          <w:color w:val="000000"/>
          <w:lang w:eastAsia="es-SV"/>
        </w:rPr>
        <w:t>. De igual manera,</w:t>
      </w:r>
      <w:r w:rsidR="00254D55" w:rsidRPr="00254D55">
        <w:rPr>
          <w:rFonts w:ascii="Century Gothic" w:eastAsia="Times New Roman" w:hAnsi="Century Gothic" w:cs="Times New Roman"/>
          <w:color w:val="000000"/>
          <w:lang w:eastAsia="es-SV"/>
        </w:rPr>
        <w:t xml:space="preserve"> la Procuraduría para la Defensa de los Derechos Humanos (PDDH), la cual ha constituido </w:t>
      </w:r>
      <w:r w:rsidR="00BD5131">
        <w:rPr>
          <w:rFonts w:ascii="Century Gothic" w:eastAsia="Times New Roman" w:hAnsi="Century Gothic" w:cs="Times New Roman"/>
          <w:color w:val="000000"/>
          <w:lang w:eastAsia="es-SV"/>
        </w:rPr>
        <w:t>l</w:t>
      </w:r>
      <w:r w:rsidR="00254D55" w:rsidRPr="00254D55">
        <w:rPr>
          <w:rFonts w:ascii="Century Gothic" w:eastAsia="Times New Roman" w:hAnsi="Century Gothic" w:cs="Times New Roman"/>
          <w:color w:val="000000"/>
          <w:lang w:eastAsia="es-SV"/>
        </w:rPr>
        <w:t>a mesa de trabajo sobre la situación de los derechos de las Personas Adultas Mayores</w:t>
      </w:r>
      <w:r w:rsidR="00BD5131">
        <w:rPr>
          <w:rFonts w:ascii="Century Gothic" w:eastAsia="Times New Roman" w:hAnsi="Century Gothic" w:cs="Times New Roman"/>
          <w:color w:val="000000"/>
          <w:lang w:eastAsia="es-SV"/>
        </w:rPr>
        <w:t>.</w:t>
      </w:r>
    </w:p>
    <w:p w:rsidR="000651B8" w:rsidRPr="00254D55" w:rsidRDefault="000651B8" w:rsidP="00254D55">
      <w:pPr>
        <w:jc w:val="both"/>
        <w:rPr>
          <w:rFonts w:ascii="Century Gothic" w:eastAsia="Times New Roman" w:hAnsi="Century Gothic" w:cs="Times New Roman"/>
          <w:color w:val="000000"/>
          <w:lang w:eastAsia="es-SV"/>
        </w:rPr>
      </w:pPr>
      <w:r>
        <w:rPr>
          <w:rFonts w:ascii="Century Gothic" w:eastAsia="Times New Roman" w:hAnsi="Century Gothic" w:cs="Times New Roman"/>
          <w:color w:val="000000"/>
          <w:lang w:eastAsia="es-SV"/>
        </w:rPr>
        <w:t xml:space="preserve">Lo antes expuesto manifiesta el interés de avanzar por la garantía de derechos de las personas adultas mayores, </w:t>
      </w:r>
      <w:r w:rsidR="003E5339">
        <w:rPr>
          <w:rFonts w:ascii="Century Gothic" w:eastAsia="Times New Roman" w:hAnsi="Century Gothic" w:cs="Times New Roman"/>
          <w:color w:val="000000"/>
          <w:lang w:eastAsia="es-SV"/>
        </w:rPr>
        <w:t xml:space="preserve">erradicar la discriminación y el edadismo, </w:t>
      </w:r>
      <w:r w:rsidR="003E5339">
        <w:rPr>
          <w:rFonts w:ascii="Century Gothic" w:eastAsia="Times New Roman" w:hAnsi="Century Gothic" w:cs="Times New Roman"/>
          <w:color w:val="000000"/>
          <w:lang w:eastAsia="es-SV"/>
        </w:rPr>
        <w:lastRenderedPageBreak/>
        <w:t>potenciando las condiciones de vida y los marcos institucionales de protección y atención.</w:t>
      </w:r>
    </w:p>
    <w:sectPr w:rsidR="000651B8" w:rsidRPr="00254D55" w:rsidSect="00E7329E">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F37" w:rsidRDefault="001A3F37" w:rsidP="00AF29F0">
      <w:pPr>
        <w:spacing w:after="0" w:line="240" w:lineRule="auto"/>
      </w:pPr>
      <w:r>
        <w:separator/>
      </w:r>
    </w:p>
  </w:endnote>
  <w:endnote w:type="continuationSeparator" w:id="0">
    <w:p w:rsidR="001A3F37" w:rsidRDefault="001A3F37" w:rsidP="00AF2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00000003" w:usb1="5000205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F37" w:rsidRDefault="001A3F37" w:rsidP="00AF29F0">
      <w:pPr>
        <w:spacing w:after="0" w:line="240" w:lineRule="auto"/>
      </w:pPr>
      <w:r>
        <w:separator/>
      </w:r>
    </w:p>
  </w:footnote>
  <w:footnote w:type="continuationSeparator" w:id="0">
    <w:p w:rsidR="001A3F37" w:rsidRDefault="001A3F37" w:rsidP="00AF29F0">
      <w:pPr>
        <w:spacing w:after="0" w:line="240" w:lineRule="auto"/>
      </w:pPr>
      <w:r>
        <w:continuationSeparator/>
      </w:r>
    </w:p>
  </w:footnote>
  <w:footnote w:id="1">
    <w:p w:rsidR="00B9431C" w:rsidRPr="006264BB" w:rsidRDefault="00B9431C" w:rsidP="00B9431C">
      <w:pPr>
        <w:pStyle w:val="FootnoteText"/>
      </w:pPr>
      <w:r>
        <w:rPr>
          <w:rStyle w:val="FootnoteReference"/>
        </w:rPr>
        <w:footnoteRef/>
      </w:r>
      <w:r>
        <w:t xml:space="preserve"> Reglamento de la Ley de Desarrollo y Protección Social. Capítulo IV de los Programas Sociales, Artículo 18, literal h.</w:t>
      </w:r>
    </w:p>
  </w:footnote>
  <w:footnote w:id="2">
    <w:p w:rsidR="00254D55" w:rsidRPr="008F5158" w:rsidRDefault="00254D55" w:rsidP="00254D55">
      <w:pPr>
        <w:pStyle w:val="FootnoteText"/>
        <w:rPr>
          <w:rFonts w:ascii="Century Gothic" w:hAnsi="Century Gothic"/>
        </w:rPr>
      </w:pPr>
      <w:r w:rsidRPr="008F5158">
        <w:rPr>
          <w:rStyle w:val="FootnoteReference"/>
          <w:rFonts w:ascii="Century Gothic" w:hAnsi="Century Gothic"/>
        </w:rPr>
        <w:footnoteRef/>
      </w:r>
      <w:r w:rsidRPr="008F5158">
        <w:rPr>
          <w:rStyle w:val="A10"/>
          <w:rFonts w:ascii="Century Gothic" w:hAnsi="Century Gothic"/>
        </w:rPr>
        <w:t>Publicado en Diario Oficial No. 119, Tomo No. 415, 28 de junio de 2017.</w:t>
      </w:r>
    </w:p>
  </w:footnote>
  <w:footnote w:id="3">
    <w:p w:rsidR="00254D55" w:rsidRPr="008F5158" w:rsidRDefault="00254D55" w:rsidP="00254D55">
      <w:pPr>
        <w:pStyle w:val="FootnoteText"/>
        <w:rPr>
          <w:rFonts w:ascii="Century Gothic" w:hAnsi="Century Gothic"/>
        </w:rPr>
      </w:pPr>
      <w:r w:rsidRPr="008F5158">
        <w:rPr>
          <w:rStyle w:val="FootnoteReference"/>
          <w:rFonts w:ascii="Century Gothic" w:hAnsi="Century Gothic"/>
        </w:rPr>
        <w:footnoteRef/>
      </w:r>
      <w:r w:rsidRPr="008F5158">
        <w:rPr>
          <w:rStyle w:val="A10"/>
          <w:rFonts w:ascii="Century Gothic" w:hAnsi="Century Gothic"/>
        </w:rPr>
        <w:t>Publicado en Diario Oficial No. 231, Tomo No. 417, 11 de diciembre de 2017.</w:t>
      </w:r>
    </w:p>
  </w:footnote>
  <w:footnote w:id="4">
    <w:p w:rsidR="00254D55" w:rsidRPr="008F5158" w:rsidRDefault="00254D55" w:rsidP="00254D55">
      <w:pPr>
        <w:pStyle w:val="FootnoteText"/>
        <w:rPr>
          <w:rFonts w:ascii="Century Gothic" w:hAnsi="Century Gothic"/>
        </w:rPr>
      </w:pPr>
      <w:r w:rsidRPr="008F5158">
        <w:rPr>
          <w:rStyle w:val="FootnoteReference"/>
          <w:rFonts w:ascii="Century Gothic" w:hAnsi="Century Gothic"/>
        </w:rPr>
        <w:footnoteRef/>
      </w:r>
      <w:r w:rsidRPr="008F5158">
        <w:rPr>
          <w:rStyle w:val="A10"/>
          <w:rFonts w:ascii="Century Gothic" w:hAnsi="Century Gothic"/>
        </w:rPr>
        <w:t>Publicado en Diario Oficial No. 74, Tomo No. 431, 22 de abril de 2021.</w:t>
      </w:r>
    </w:p>
    <w:p w:rsidR="00254D55" w:rsidRDefault="00254D55" w:rsidP="00254D5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1E" w:rsidRDefault="00C45D1E">
    <w:pPr>
      <w:pStyle w:val="Header"/>
    </w:pPr>
  </w:p>
  <w:p w:rsidR="00C15FFD" w:rsidRDefault="00C15FFD">
    <w:pPr>
      <w:pStyle w:val="Header"/>
    </w:pPr>
  </w:p>
  <w:p w:rsidR="00C45D1E" w:rsidRDefault="00C45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A70"/>
    <w:multiLevelType w:val="multilevel"/>
    <w:tmpl w:val="55FC1E94"/>
    <w:lvl w:ilvl="0">
      <w:start w:val="1"/>
      <w:numFmt w:val="decimal"/>
      <w:lvlText w:val="%1."/>
      <w:lvlJc w:val="left"/>
      <w:pPr>
        <w:ind w:left="360" w:hanging="36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F0FB3"/>
    <w:rsid w:val="00016E8D"/>
    <w:rsid w:val="000651B8"/>
    <w:rsid w:val="00083902"/>
    <w:rsid w:val="00145254"/>
    <w:rsid w:val="001A3F37"/>
    <w:rsid w:val="001A68B5"/>
    <w:rsid w:val="001F106F"/>
    <w:rsid w:val="00232913"/>
    <w:rsid w:val="00254D55"/>
    <w:rsid w:val="002A5F44"/>
    <w:rsid w:val="002E4F7E"/>
    <w:rsid w:val="00335020"/>
    <w:rsid w:val="00362F88"/>
    <w:rsid w:val="003E5339"/>
    <w:rsid w:val="004369D4"/>
    <w:rsid w:val="00515C24"/>
    <w:rsid w:val="00574423"/>
    <w:rsid w:val="0059337D"/>
    <w:rsid w:val="005F0FB3"/>
    <w:rsid w:val="006264BB"/>
    <w:rsid w:val="00781D7B"/>
    <w:rsid w:val="00790D3B"/>
    <w:rsid w:val="007B29FC"/>
    <w:rsid w:val="007D6714"/>
    <w:rsid w:val="00831E95"/>
    <w:rsid w:val="00882607"/>
    <w:rsid w:val="00891B8B"/>
    <w:rsid w:val="008A6FE2"/>
    <w:rsid w:val="008F5158"/>
    <w:rsid w:val="00960D47"/>
    <w:rsid w:val="009E2C0A"/>
    <w:rsid w:val="009E2DE3"/>
    <w:rsid w:val="009E384A"/>
    <w:rsid w:val="00A17BD0"/>
    <w:rsid w:val="00AF29F0"/>
    <w:rsid w:val="00B703E8"/>
    <w:rsid w:val="00B9431C"/>
    <w:rsid w:val="00BB133C"/>
    <w:rsid w:val="00BD5131"/>
    <w:rsid w:val="00BF52BB"/>
    <w:rsid w:val="00C146D8"/>
    <w:rsid w:val="00C15FFD"/>
    <w:rsid w:val="00C24567"/>
    <w:rsid w:val="00C45D1E"/>
    <w:rsid w:val="00C906DE"/>
    <w:rsid w:val="00CA3C31"/>
    <w:rsid w:val="00D769EF"/>
    <w:rsid w:val="00DD7107"/>
    <w:rsid w:val="00E5728B"/>
    <w:rsid w:val="00E7329E"/>
    <w:rsid w:val="00E87A8C"/>
    <w:rsid w:val="00F15985"/>
    <w:rsid w:val="00F44685"/>
    <w:rsid w:val="00FA0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F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ListParagraph">
    <w:name w:val="List Paragraph"/>
    <w:basedOn w:val="Normal"/>
    <w:uiPriority w:val="34"/>
    <w:qFormat/>
    <w:rsid w:val="00831E95"/>
    <w:pPr>
      <w:ind w:left="720"/>
      <w:contextualSpacing/>
    </w:pPr>
  </w:style>
  <w:style w:type="paragraph" w:styleId="FootnoteText">
    <w:name w:val="footnote text"/>
    <w:basedOn w:val="Normal"/>
    <w:link w:val="FootnoteTextChar"/>
    <w:uiPriority w:val="99"/>
    <w:semiHidden/>
    <w:unhideWhenUsed/>
    <w:rsid w:val="00AF29F0"/>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AF29F0"/>
    <w:rPr>
      <w:sz w:val="20"/>
      <w:szCs w:val="20"/>
    </w:rPr>
  </w:style>
  <w:style w:type="character" w:styleId="FootnoteReference">
    <w:name w:val="footnote reference"/>
    <w:basedOn w:val="DefaultParagraphFont"/>
    <w:uiPriority w:val="99"/>
    <w:semiHidden/>
    <w:unhideWhenUsed/>
    <w:rsid w:val="00AF29F0"/>
    <w:rPr>
      <w:vertAlign w:val="superscript"/>
    </w:rPr>
  </w:style>
  <w:style w:type="character" w:customStyle="1" w:styleId="A10">
    <w:name w:val="A10"/>
    <w:uiPriority w:val="99"/>
    <w:rsid w:val="00254D55"/>
    <w:rPr>
      <w:rFonts w:cs="Lato Light"/>
      <w:color w:val="000000"/>
      <w:sz w:val="16"/>
      <w:szCs w:val="16"/>
    </w:rPr>
  </w:style>
  <w:style w:type="paragraph" w:customStyle="1" w:styleId="Default">
    <w:name w:val="Default"/>
    <w:rsid w:val="00254D55"/>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1A68B5"/>
    <w:pPr>
      <w:spacing w:after="0" w:line="240" w:lineRule="auto"/>
    </w:pPr>
  </w:style>
  <w:style w:type="character" w:styleId="CommentReference">
    <w:name w:val="annotation reference"/>
    <w:basedOn w:val="DefaultParagraphFont"/>
    <w:uiPriority w:val="99"/>
    <w:semiHidden/>
    <w:unhideWhenUsed/>
    <w:rsid w:val="006264BB"/>
    <w:rPr>
      <w:sz w:val="16"/>
      <w:szCs w:val="16"/>
    </w:rPr>
  </w:style>
  <w:style w:type="paragraph" w:styleId="CommentText">
    <w:name w:val="annotation text"/>
    <w:basedOn w:val="Normal"/>
    <w:link w:val="CommentTextChar"/>
    <w:uiPriority w:val="99"/>
    <w:semiHidden/>
    <w:unhideWhenUsed/>
    <w:rsid w:val="006264BB"/>
    <w:pPr>
      <w:spacing w:line="240" w:lineRule="auto"/>
    </w:pPr>
    <w:rPr>
      <w:sz w:val="20"/>
      <w:szCs w:val="20"/>
    </w:rPr>
  </w:style>
  <w:style w:type="character" w:customStyle="1" w:styleId="CommentTextChar">
    <w:name w:val="Comment Text Char"/>
    <w:basedOn w:val="DefaultParagraphFont"/>
    <w:link w:val="CommentText"/>
    <w:uiPriority w:val="99"/>
    <w:semiHidden/>
    <w:rsid w:val="006264BB"/>
    <w:rPr>
      <w:sz w:val="20"/>
      <w:szCs w:val="20"/>
    </w:rPr>
  </w:style>
  <w:style w:type="paragraph" w:styleId="CommentSubject">
    <w:name w:val="annotation subject"/>
    <w:basedOn w:val="CommentText"/>
    <w:next w:val="CommentText"/>
    <w:link w:val="CommentSubjectChar"/>
    <w:uiPriority w:val="99"/>
    <w:semiHidden/>
    <w:unhideWhenUsed/>
    <w:rsid w:val="006264BB"/>
    <w:rPr>
      <w:b/>
      <w:bCs/>
    </w:rPr>
  </w:style>
  <w:style w:type="character" w:customStyle="1" w:styleId="CommentSubjectChar">
    <w:name w:val="Comment Subject Char"/>
    <w:basedOn w:val="CommentTextChar"/>
    <w:link w:val="CommentSubject"/>
    <w:uiPriority w:val="99"/>
    <w:semiHidden/>
    <w:rsid w:val="006264BB"/>
    <w:rPr>
      <w:b/>
      <w:bCs/>
      <w:sz w:val="20"/>
      <w:szCs w:val="20"/>
    </w:rPr>
  </w:style>
  <w:style w:type="paragraph" w:styleId="Header">
    <w:name w:val="header"/>
    <w:basedOn w:val="Normal"/>
    <w:link w:val="HeaderChar"/>
    <w:uiPriority w:val="99"/>
    <w:unhideWhenUsed/>
    <w:rsid w:val="00C15F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5FFD"/>
  </w:style>
  <w:style w:type="paragraph" w:styleId="Footer">
    <w:name w:val="footer"/>
    <w:basedOn w:val="Normal"/>
    <w:link w:val="FooterChar"/>
    <w:uiPriority w:val="99"/>
    <w:unhideWhenUsed/>
    <w:rsid w:val="00C15F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5FFD"/>
  </w:style>
  <w:style w:type="paragraph" w:customStyle="1" w:styleId="Cuerpo">
    <w:name w:val="Cuerpo"/>
    <w:rsid w:val="00F159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SV"/>
    </w:rPr>
  </w:style>
  <w:style w:type="paragraph" w:styleId="BalloonText">
    <w:name w:val="Balloon Text"/>
    <w:basedOn w:val="Normal"/>
    <w:link w:val="BalloonTextChar"/>
    <w:uiPriority w:val="99"/>
    <w:semiHidden/>
    <w:unhideWhenUsed/>
    <w:rsid w:val="00F1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F2BB7E-C14F-401C-8447-2D8A403C3C4D}">
  <ds:schemaRefs>
    <ds:schemaRef ds:uri="http://schemas.openxmlformats.org/officeDocument/2006/bibliography"/>
  </ds:schemaRefs>
</ds:datastoreItem>
</file>

<file path=customXml/itemProps2.xml><?xml version="1.0" encoding="utf-8"?>
<ds:datastoreItem xmlns:ds="http://schemas.openxmlformats.org/officeDocument/2006/customXml" ds:itemID="{5EE2B650-2607-4875-8B3B-B639AE532547}"/>
</file>

<file path=customXml/itemProps3.xml><?xml version="1.0" encoding="utf-8"?>
<ds:datastoreItem xmlns:ds="http://schemas.openxmlformats.org/officeDocument/2006/customXml" ds:itemID="{FDD7766E-61DB-44B4-9D9E-D4EF648AAD6B}"/>
</file>

<file path=customXml/itemProps4.xml><?xml version="1.0" encoding="utf-8"?>
<ds:datastoreItem xmlns:ds="http://schemas.openxmlformats.org/officeDocument/2006/customXml" ds:itemID="{5D9D6645-AC6C-42DA-AC74-56D3F1693DE4}"/>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GABRIELA JIMENEZ</dc:creator>
  <cp:lastModifiedBy>cequintanilla</cp:lastModifiedBy>
  <cp:revision>2</cp:revision>
  <dcterms:created xsi:type="dcterms:W3CDTF">2021-12-06T20:20:00Z</dcterms:created>
  <dcterms:modified xsi:type="dcterms:W3CDTF">2021-12-06T20:20:00Z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