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45" w:rsidRPr="004A28DE" w:rsidRDefault="00CC1645" w:rsidP="004A28DE">
      <w:pPr>
        <w:pStyle w:val="Heading1"/>
        <w:jc w:val="right"/>
        <w:rPr>
          <w:rStyle w:val="eop"/>
          <w:rFonts w:cstheme="majorHAnsi"/>
          <w:b/>
          <w:i/>
          <w:iCs/>
          <w:color w:val="auto"/>
          <w:sz w:val="26"/>
          <w:szCs w:val="26"/>
          <w:lang w:val="es-CO"/>
        </w:rPr>
      </w:pPr>
      <w:r w:rsidRPr="004A28DE">
        <w:rPr>
          <w:rStyle w:val="eop"/>
          <w:rFonts w:cstheme="majorHAnsi"/>
          <w:b/>
          <w:i/>
          <w:iCs/>
          <w:color w:val="auto"/>
          <w:sz w:val="26"/>
          <w:szCs w:val="26"/>
          <w:lang w:val="es-CO"/>
        </w:rPr>
        <w:t>Traducción no oficial</w:t>
      </w:r>
    </w:p>
    <w:p w:rsidR="00CC1645" w:rsidRPr="00CC1645" w:rsidRDefault="00CC1645" w:rsidP="00CC1645">
      <w:pPr>
        <w:pStyle w:val="Heading1"/>
        <w:jc w:val="center"/>
        <w:rPr>
          <w:rStyle w:val="eop"/>
          <w:rFonts w:cstheme="majorHAnsi"/>
          <w:b/>
          <w:iCs/>
          <w:sz w:val="30"/>
          <w:szCs w:val="30"/>
          <w:lang w:val="es-CO"/>
        </w:rPr>
      </w:pPr>
      <w:r w:rsidRPr="00CC1645">
        <w:rPr>
          <w:rStyle w:val="eop"/>
          <w:rFonts w:cstheme="majorHAnsi"/>
          <w:b/>
          <w:i/>
          <w:iCs/>
          <w:sz w:val="30"/>
          <w:szCs w:val="30"/>
          <w:lang w:val="es-CO"/>
        </w:rPr>
        <w:t>Proyecto de Directrices sobre la desinstitucionalización de las personas con discapacidad, incluso en situaciones de emergencia</w:t>
      </w:r>
    </w:p>
    <w:p w:rsidR="00CC1645" w:rsidRPr="00E964FA" w:rsidRDefault="0032651D" w:rsidP="00CC1645">
      <w:pPr>
        <w:pStyle w:val="Heading1"/>
        <w:jc w:val="center"/>
        <w:rPr>
          <w:rStyle w:val="eop"/>
          <w:rFonts w:cstheme="majorHAnsi"/>
          <w:iCs/>
          <w:sz w:val="26"/>
          <w:szCs w:val="26"/>
          <w:lang w:val="es-CO"/>
        </w:rPr>
      </w:pPr>
      <w:hyperlink r:id="rId4" w:history="1">
        <w:r w:rsidR="00CC1645" w:rsidRPr="0032651D">
          <w:rPr>
            <w:rStyle w:val="Hyperlink"/>
            <w:rFonts w:cstheme="majorHAnsi"/>
            <w:iCs/>
            <w:sz w:val="26"/>
            <w:szCs w:val="26"/>
            <w:lang w:val="es-CO"/>
          </w:rPr>
          <w:t>Comité sobre los Derechos de las Personas con Discapacidad</w:t>
        </w:r>
      </w:hyperlink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32651D">
      <w:pPr>
        <w:spacing w:after="0" w:line="240" w:lineRule="auto"/>
        <w:jc w:val="center"/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 xml:space="preserve">En septiembre de 2021, el Comité sobre los Derechos de las Personas con Discapacidad adoptó un </w:t>
      </w:r>
      <w:r w:rsidR="0032651D"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>índice</w:t>
      </w: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 xml:space="preserve"> anotado de sus Directrices sobre la desinstitucionalización de las personas con discapacidad</w:t>
      </w:r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>, incluso en situaciones de emergencia. El proceso de elaboración de las Directrices comenzó a finales de 2020 y ha continuado durante 2021. El esquema describe el contenido de las Directrices, actualmente en preparación. A finales de 2021 se publicará una versión preliminar de las Directrices, con una convocatoria para la presentación de propuestas por escrito a todas las partes interesadas.</w:t>
      </w:r>
    </w:p>
    <w:p w:rsidR="00CC1645" w:rsidRPr="0032651D" w:rsidRDefault="00CC1645" w:rsidP="0032651D">
      <w:pPr>
        <w:spacing w:after="0" w:line="240" w:lineRule="auto"/>
        <w:jc w:val="center"/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</w:pPr>
    </w:p>
    <w:p w:rsidR="00CC1645" w:rsidRPr="0032651D" w:rsidRDefault="00CC1645" w:rsidP="0032651D">
      <w:pPr>
        <w:spacing w:after="0" w:line="240" w:lineRule="auto"/>
        <w:jc w:val="center"/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 xml:space="preserve">Las Directrices se basarán en las obligaciones de los Estados Partes, de conformidad con el artículo 19 de la </w:t>
      </w:r>
      <w:hyperlink r:id="rId5" w:history="1">
        <w:r w:rsidRPr="0032651D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s-CO"/>
          </w:rPr>
          <w:t xml:space="preserve">Convención </w:t>
        </w:r>
        <w:r w:rsidR="0032651D" w:rsidRPr="0032651D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s-CO"/>
          </w:rPr>
          <w:t>sobre los Derechos de las Personas con Discapacidad</w:t>
        </w:r>
      </w:hyperlink>
      <w:r w:rsid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 xml:space="preserve"> (</w:t>
      </w:r>
      <w:hyperlink r:id="rId6" w:anchor="19" w:history="1">
        <w:r w:rsidRPr="0032651D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s-CO"/>
          </w:rPr>
          <w:t>derecho a vivir de forma independiente y a ser incluido en la comunidad</w:t>
        </w:r>
      </w:hyperlink>
      <w:r w:rsid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>)</w:t>
      </w:r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 xml:space="preserve">, la </w:t>
      </w:r>
      <w:hyperlink r:id="rId7" w:history="1">
        <w:r w:rsidRPr="0032651D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s-CO"/>
          </w:rPr>
          <w:t>Observación General nº 5 (2017)</w:t>
        </w:r>
      </w:hyperlink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 xml:space="preserve"> del Comité sobre el artículo 19, y las </w:t>
      </w:r>
      <w:hyperlink r:id="rId8" w:history="1">
        <w:r w:rsidRPr="0032651D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s-CO"/>
          </w:rPr>
          <w:t>Directrices del Comité en virtud del artículo 1</w:t>
        </w:r>
      </w:hyperlink>
      <w:r w:rsidRPr="0032651D">
        <w:rPr>
          <w:rStyle w:val="eop"/>
          <w:rFonts w:asciiTheme="majorHAnsi" w:hAnsiTheme="majorHAnsi" w:cstheme="majorHAnsi"/>
          <w:i/>
          <w:iCs/>
          <w:sz w:val="24"/>
          <w:szCs w:val="24"/>
          <w:lang w:val="es-CO"/>
        </w:rPr>
        <w:t>4. Las directrices proporcionarán más orientaciones concretas para aplicar el derecho a vivir de forma independiente y a ser incluido en la comunidad y serán una herramienta para apoyar a los Estados partes y a otras partes interesadas, en la superación del aislamiento, la segregación y la discriminación de los niños y adultos con discapacidad.</w:t>
      </w:r>
    </w:p>
    <w:p w:rsidR="00CC1645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32651D" w:rsidRPr="0032651D" w:rsidRDefault="0032651D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>1.</w:t>
      </w: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ab/>
        <w:t xml:space="preserve">Un proceso </w:t>
      </w:r>
      <w:r w:rsid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 xml:space="preserve">desde los sujetos de derecho: </w:t>
      </w: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 xml:space="preserve">Consultas regionales 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El proceso comenzó con un amplio y altamente participativo proceso de siete consultas regionales para las partes interesadas en </w:t>
      </w:r>
      <w:hyperlink r:id="rId9" w:history="1">
        <w:r w:rsidRPr="0032651D">
          <w:rPr>
            <w:rStyle w:val="Hyperlink"/>
            <w:rFonts w:asciiTheme="majorHAnsi" w:hAnsiTheme="majorHAnsi" w:cstheme="majorHAnsi"/>
            <w:iCs/>
            <w:sz w:val="24"/>
            <w:szCs w:val="24"/>
            <w:lang w:val="es-CO"/>
          </w:rPr>
          <w:t>África, Asia Pacífico, América Central y del Sur, Caribe y América del Norte, Europa del Este y Asia Central, Europa y Unión Europea, Oriente Medio y Norte de África</w:t>
        </w:r>
      </w:hyperlink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.  Las contribuciones y declaraciones de más de 500 personas con discapacidad y de las organizaciones que las representan permitieron al Comité identificar las principales áreas temáticas para preparar las orientaciones sobre desinstitucionalización. 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Las consultas regionales tuvieron lugar en línea</w:t>
      </w:r>
      <w:r w:rsid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,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</w:t>
      </w:r>
      <w:r w:rsid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entre enero y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junio de 2021 y fueron organizadas por el Grupo de Trabajo sobre Desinstitucionalización del Comité, creado para promover una auténtica acción mundial sobre la vida independiente y en respuesta a las impactantes conclusiones contenidas en el informe mundial del COVID-19 </w:t>
      </w:r>
      <w:r w:rsid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preparado por el grupo </w:t>
      </w:r>
      <w:proofErr w:type="spellStart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Disability</w:t>
      </w:r>
      <w:proofErr w:type="spellEnd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</w:t>
      </w:r>
      <w:proofErr w:type="spellStart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Rights</w:t>
      </w:r>
      <w:proofErr w:type="spellEnd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Monitor, que expuso el impacto perjudicial de la pandemia en las personas con discapacidad</w:t>
      </w:r>
      <w:r w:rsid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, en 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todo el mundo.  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En 2021, el Comité acogió con satisfacción la formación de la Coalición Mundial sobre la Desinstitucionalización, compuesta por organizaciones </w:t>
      </w:r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representativas de las personas con discapacidad, la Alianza Internacional de la Discapacidad, la Red Europea para la Vida Independiente, </w:t>
      </w:r>
      <w:proofErr w:type="spellStart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Inclusion</w:t>
      </w:r>
      <w:proofErr w:type="spellEnd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International y </w:t>
      </w:r>
      <w:proofErr w:type="spellStart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Transforming</w:t>
      </w:r>
      <w:proofErr w:type="spellEnd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</w:t>
      </w:r>
      <w:proofErr w:type="spellStart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Communities</w:t>
      </w:r>
      <w:proofErr w:type="spellEnd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for </w:t>
      </w:r>
      <w:proofErr w:type="spellStart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Inclusion</w:t>
      </w:r>
      <w:proofErr w:type="spellEnd"/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, y otras organizaciones de la sociedad civil que defienden los derechos de las personas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con discapacidad, el Fondo para los Derechos de las Personas con Discapacidad y el Fondo para la Defensa de los Derechos de las Personas con Discapacidad, </w:t>
      </w:r>
      <w:proofErr w:type="spellStart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Disability</w:t>
      </w:r>
      <w:proofErr w:type="spellEnd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</w:t>
      </w:r>
      <w:proofErr w:type="spellStart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Rights</w:t>
      </w:r>
      <w:proofErr w:type="spellEnd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International, la 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lastRenderedPageBreak/>
        <w:t xml:space="preserve">Unidad de Discapacidad del Centro de Derechos Humanos de la Universidad de Pretoria y la Fundación </w:t>
      </w:r>
      <w:proofErr w:type="spellStart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Validity</w:t>
      </w:r>
      <w:proofErr w:type="spellEnd"/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. El apoyo de la Coalición Mundial ha sido fundamental para la organización de las consultas regionales y la participación de personas con discapacidad de todo el mundo.</w:t>
      </w:r>
    </w:p>
    <w:p w:rsidR="004A28DE" w:rsidRDefault="004A28DE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Durante las consultas regionales, mujeres con discapacidad, jóvenes con discapacidad, personas con discapacidad que han experimentado la institucionalización, personas con albinismo, organizaciones de base y de autodefensa y otras organizaciones de la sociedad civil presentaron sus testimonios, experiencias y propuestas para acabar con la institucionalización, el aislamiento y la segregación. Las universidades y las redes regionales de discapacidad se unieron al Comité y contribuyeron a las consultas y a la preparación de los documentos analíticos regionales. 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>2.</w:t>
      </w:r>
      <w:r w:rsidRPr="0032651D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ab/>
        <w:t>2021-2022: El proceso de redacción de las directrices y la convocatoria general de propuestas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El Comité seguirá ampliando la participación de las personas con discapacidad y otras partes interesadas en el proceso de elaboración de las directrices sobre desinstitucionalización en 2021 y 2022. Con el apoyo de la Coalición Mundial sobre la Desinstitucionalización y sus consultores, preparará un proyecto de directrices basado en las aportaciones de una convocatoria general de presentaciones a todas las partes interesadas. </w:t>
      </w: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CC1645" w:rsidRPr="0032651D" w:rsidRDefault="00CC1645" w:rsidP="00CC1645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Se invitará a los Estados parte de la Convención, a las personas con discapacidad y a las organizaciones que las representan, a los marcos de supervisión independientes, a las instituciones nacionales de derechos humanos, a las organizaciones de la sociedad civil que defienden los derechos de las personas con discapacidad</w:t>
      </w:r>
      <w:r w:rsid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y a otras partes interesadas, quienes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tendrán la oportunidad de hacer aportaciones al proceso. </w:t>
      </w:r>
    </w:p>
    <w:p w:rsidR="00E0691A" w:rsidRPr="0032651D" w:rsidRDefault="004A28DE">
      <w:pPr>
        <w:rPr>
          <w:b/>
          <w:sz w:val="24"/>
          <w:szCs w:val="24"/>
          <w:lang w:val="es-CO"/>
        </w:rPr>
      </w:pPr>
    </w:p>
    <w:p w:rsidR="0032651D" w:rsidRPr="004A28DE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</w:pPr>
      <w:r w:rsidRPr="004A28DE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>3.</w:t>
      </w:r>
      <w:r w:rsidRPr="004A28DE">
        <w:rPr>
          <w:rStyle w:val="eop"/>
          <w:rFonts w:asciiTheme="majorHAnsi" w:hAnsiTheme="majorHAnsi" w:cstheme="majorHAnsi"/>
          <w:b/>
          <w:i/>
          <w:iCs/>
          <w:sz w:val="24"/>
          <w:szCs w:val="24"/>
          <w:lang w:val="es-CO"/>
        </w:rPr>
        <w:tab/>
        <w:t>Directrices sobre la desinstitucionalización, incluso durante las emergencia</w:t>
      </w:r>
      <w:r w:rsidRPr="004A28DE">
        <w:rPr>
          <w:rStyle w:val="eop"/>
          <w:rFonts w:asciiTheme="majorHAnsi" w:hAnsiTheme="majorHAnsi" w:cstheme="majorHAnsi"/>
          <w:b/>
          <w:i/>
          <w:iCs/>
          <w:sz w:val="24"/>
          <w:szCs w:val="24"/>
        </w:rPr>
        <w:t>s</w:t>
      </w:r>
    </w:p>
    <w:p w:rsidR="004A28DE" w:rsidRDefault="004A28DE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32651D" w:rsidRPr="0032651D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El consenso internacional sobre la importancia de la participación de las personas con discapacidad y el papel crucial de los derechos humanos en la fase de recuperación ha sido reafirmado por varios mecanismos y foros multilaterales. </w:t>
      </w:r>
      <w:hyperlink r:id="rId10" w:history="1">
        <w:r w:rsidRPr="004A28DE">
          <w:rPr>
            <w:rStyle w:val="Hyperlink"/>
            <w:rFonts w:asciiTheme="majorHAnsi" w:hAnsiTheme="majorHAnsi" w:cstheme="majorHAnsi"/>
            <w:iCs/>
            <w:sz w:val="24"/>
            <w:szCs w:val="24"/>
            <w:lang w:val="es-CO"/>
          </w:rPr>
          <w:t>El Secretario General de las Naciones Unidas instó a los gobiernos a situar a las personas con discapacidad en el centro de los esfuerzos de respuesta y recuperación de la COVID-19 y a consultar y hacer participar a las personas con discapacidad.</w:t>
        </w:r>
      </w:hyperlink>
    </w:p>
    <w:p w:rsidR="0032651D" w:rsidRPr="0032651D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32651D" w:rsidRPr="004A28DE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El Comité se ha sumado a este llamamiento y las Directrices sobre desinstitucionalización representan una oportunidad en el periodo</w:t>
      </w:r>
      <w:r w:rsid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de la post-pandemia para reconstruir </w:t>
      </w: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sociedades en las que las personas con discapacidad estén realmente incluidas y se beneficien en igualdad de condiciones con los demás de la libertad de elección y de una</w:t>
      </w:r>
      <w:r w:rsidRPr="004A28DE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 vida incluida en la comunidad.</w:t>
      </w:r>
    </w:p>
    <w:p w:rsidR="0032651D" w:rsidRPr="0032651D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32651D" w:rsidRDefault="0032651D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 w:rsidRPr="0032651D"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 xml:space="preserve">El altísimo nivel de participación de las partes interesadas en el desarrollo de las Directrices hasta ahora es una marca de la importancia de este proceso y el Comité anima a los actores nacionales y regionales a desarrollar asociaciones que puedan aportar cambios y nuevas oportunidades para la participación de las personas con discapacidad en la sociedad.  </w:t>
      </w:r>
    </w:p>
    <w:p w:rsidR="004A28DE" w:rsidRDefault="004A28DE" w:rsidP="0032651D">
      <w:pPr>
        <w:spacing w:after="0" w:line="240" w:lineRule="auto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</w:p>
    <w:p w:rsidR="004A28DE" w:rsidRDefault="004A28DE" w:rsidP="004A28DE">
      <w:pPr>
        <w:spacing w:after="0" w:line="240" w:lineRule="auto"/>
        <w:jc w:val="center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r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  <w:t>_____________</w:t>
      </w:r>
    </w:p>
    <w:p w:rsidR="004A28DE" w:rsidRPr="0032651D" w:rsidRDefault="004A28DE" w:rsidP="004A28DE">
      <w:pPr>
        <w:spacing w:after="0" w:line="240" w:lineRule="auto"/>
        <w:jc w:val="center"/>
        <w:rPr>
          <w:rStyle w:val="eop"/>
          <w:rFonts w:asciiTheme="majorHAnsi" w:hAnsiTheme="majorHAnsi" w:cstheme="majorHAnsi"/>
          <w:iCs/>
          <w:sz w:val="24"/>
          <w:szCs w:val="24"/>
          <w:lang w:val="es-CO"/>
        </w:rPr>
      </w:pPr>
      <w:bookmarkStart w:id="0" w:name="_GoBack"/>
      <w:bookmarkEnd w:id="0"/>
    </w:p>
    <w:sectPr w:rsidR="004A28DE" w:rsidRPr="0032651D" w:rsidSect="004A28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5"/>
    <w:rsid w:val="0032651D"/>
    <w:rsid w:val="004A28DE"/>
    <w:rsid w:val="00635DB2"/>
    <w:rsid w:val="00CC1645"/>
    <w:rsid w:val="00D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B774"/>
  <w15:chartTrackingRefBased/>
  <w15:docId w15:val="{16EAAA9F-2171-4D9D-B22C-F7594A68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45"/>
  </w:style>
  <w:style w:type="paragraph" w:styleId="Heading1">
    <w:name w:val="heading 1"/>
    <w:basedOn w:val="Normal"/>
    <w:next w:val="Normal"/>
    <w:link w:val="Heading1Char"/>
    <w:uiPriority w:val="9"/>
    <w:qFormat/>
    <w:rsid w:val="00CC1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CC1645"/>
  </w:style>
  <w:style w:type="character" w:customStyle="1" w:styleId="Heading1Char">
    <w:name w:val="Heading 1 Char"/>
    <w:basedOn w:val="DefaultParagraphFont"/>
    <w:link w:val="Heading1"/>
    <w:uiPriority w:val="9"/>
    <w:rsid w:val="00CC1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Download.aspx?symbolno=A/72/55&amp;Lang=en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tbinternet.ohchr.org/_layouts/15/treatybodyexternal/Download.aspx?symbolno=CRPD/C/GC/5&amp;Lang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CRPD/Pages/ConventionRightsPersonsWithDisabilitie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sp/ProfessionalInterest/Pages/ConventionRightsPersonsWithDisabilities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un.org/press/en/2021/sgsm20778.doc.htm" TargetMode="External"/><Relationship Id="rId4" Type="http://schemas.openxmlformats.org/officeDocument/2006/relationships/hyperlink" Target="https://www.ohchr.org/EN/HRBodies/CRPD/Pages/CRPDIndex.aspx" TargetMode="External"/><Relationship Id="rId9" Type="http://schemas.openxmlformats.org/officeDocument/2006/relationships/hyperlink" Target="https://www.ohchr.org/EN/HRBodies/CRPD/Pages/CRPDIndex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EDC50-CE51-431C-9E04-CA05E892CD74}"/>
</file>

<file path=customXml/itemProps2.xml><?xml version="1.0" encoding="utf-8"?>
<ds:datastoreItem xmlns:ds="http://schemas.openxmlformats.org/officeDocument/2006/customXml" ds:itemID="{C8ED0BBE-BE67-461D-85CB-A619FAD42EFB}"/>
</file>

<file path=customXml/itemProps3.xml><?xml version="1.0" encoding="utf-8"?>
<ds:datastoreItem xmlns:ds="http://schemas.openxmlformats.org/officeDocument/2006/customXml" ds:itemID="{19ECDFC3-656E-4A38-B87A-134C8E89E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Traducción no oficial</vt:lpstr>
      <vt:lpstr>Proyecto de Directrices sobre la desinstitucionalización de las personas con dis</vt:lpstr>
      <vt:lpstr>Comité sobre los Derechos de las Personas con Discapacidad</vt:lpstr>
    </vt:vector>
  </TitlesOfParts>
  <Company>OHCHR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Catherinne Ivonne Pedreros Puentes</dc:creator>
  <cp:keywords/>
  <dc:description/>
  <cp:lastModifiedBy>Catherinne Ivonne Pedreros Puentes</cp:lastModifiedBy>
  <cp:revision>2</cp:revision>
  <dcterms:created xsi:type="dcterms:W3CDTF">2021-11-02T15:54:00Z</dcterms:created>
  <dcterms:modified xsi:type="dcterms:W3CDTF">2021-11-02T16:11:00Z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