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641C" w14:textId="3BBBFC55" w:rsidR="00795780" w:rsidRDefault="000A3CB1" w:rsidP="00FA22AC">
      <w:pPr>
        <w:pStyle w:val="Paragraphedeliste"/>
        <w:numPr>
          <w:ilvl w:val="0"/>
          <w:numId w:val="1"/>
        </w:numPr>
        <w:spacing w:after="200"/>
        <w:ind w:left="714" w:hanging="357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Veuillez donner des exemples de la manière dont </w:t>
      </w:r>
      <w:r w:rsidR="00607E05">
        <w:rPr>
          <w:sz w:val="24"/>
          <w:szCs w:val="24"/>
          <w:lang w:val="fr-FR"/>
        </w:rPr>
        <w:t xml:space="preserve">les </w:t>
      </w:r>
      <w:r w:rsidR="00FA22AC" w:rsidRPr="006E7D0F">
        <w:rPr>
          <w:sz w:val="24"/>
          <w:szCs w:val="24"/>
          <w:lang w:val="fr-FR"/>
        </w:rPr>
        <w:t>environnement</w:t>
      </w:r>
      <w:r w:rsidR="00607E05">
        <w:rPr>
          <w:sz w:val="24"/>
          <w:szCs w:val="24"/>
          <w:lang w:val="fr-FR"/>
        </w:rPr>
        <w:t>s</w:t>
      </w:r>
      <w:r w:rsidR="00FA22AC" w:rsidRPr="006E7D0F">
        <w:rPr>
          <w:sz w:val="24"/>
          <w:szCs w:val="24"/>
          <w:lang w:val="fr-FR"/>
        </w:rPr>
        <w:t xml:space="preserve"> toxique</w:t>
      </w:r>
      <w:r w:rsidR="00607E05">
        <w:rPr>
          <w:sz w:val="24"/>
          <w:szCs w:val="24"/>
          <w:lang w:val="fr-FR"/>
        </w:rPr>
        <w:t>s- caractérisés</w:t>
      </w:r>
      <w:r w:rsidRPr="006E7D0F">
        <w:rPr>
          <w:sz w:val="24"/>
          <w:szCs w:val="24"/>
          <w:lang w:val="fr-FR"/>
        </w:rPr>
        <w:t xml:space="preserve"> par </w:t>
      </w:r>
      <w:r w:rsidR="00657DF1" w:rsidRPr="006E7D0F">
        <w:rPr>
          <w:sz w:val="24"/>
          <w:szCs w:val="24"/>
          <w:lang w:val="fr-FR"/>
        </w:rPr>
        <w:t>des niveaux</w:t>
      </w:r>
      <w:r w:rsidRPr="006E7D0F">
        <w:rPr>
          <w:sz w:val="24"/>
          <w:szCs w:val="24"/>
          <w:lang w:val="fr-FR"/>
        </w:rPr>
        <w:t xml:space="preserve"> de </w:t>
      </w:r>
      <w:r w:rsidR="00FA22AC" w:rsidRPr="006E7D0F">
        <w:rPr>
          <w:sz w:val="24"/>
          <w:szCs w:val="24"/>
          <w:lang w:val="fr-FR"/>
        </w:rPr>
        <w:t>pollution malsaine</w:t>
      </w:r>
      <w:r w:rsidRPr="006E7D0F">
        <w:rPr>
          <w:sz w:val="24"/>
          <w:szCs w:val="24"/>
          <w:lang w:val="fr-FR"/>
        </w:rPr>
        <w:t xml:space="preserve"> et des risques </w:t>
      </w:r>
      <w:r w:rsidR="0026105A" w:rsidRPr="006E7D0F">
        <w:rPr>
          <w:sz w:val="24"/>
          <w:szCs w:val="24"/>
          <w:lang w:val="fr-FR"/>
        </w:rPr>
        <w:t>élevés</w:t>
      </w:r>
      <w:r w:rsidRPr="006E7D0F">
        <w:rPr>
          <w:sz w:val="24"/>
          <w:szCs w:val="24"/>
          <w:lang w:val="fr-FR"/>
        </w:rPr>
        <w:t xml:space="preserve"> d’expos</w:t>
      </w:r>
      <w:r w:rsidR="00607E05">
        <w:rPr>
          <w:sz w:val="24"/>
          <w:szCs w:val="24"/>
          <w:lang w:val="fr-FR"/>
        </w:rPr>
        <w:t>ition à des substances toxiques</w:t>
      </w:r>
      <w:r w:rsidRPr="006E7D0F">
        <w:rPr>
          <w:sz w:val="24"/>
          <w:szCs w:val="24"/>
          <w:lang w:val="fr-FR"/>
        </w:rPr>
        <w:t xml:space="preserve">-ont des effets </w:t>
      </w:r>
      <w:r w:rsidR="0026105A" w:rsidRPr="006E7D0F">
        <w:rPr>
          <w:sz w:val="24"/>
          <w:szCs w:val="24"/>
          <w:lang w:val="fr-FR"/>
        </w:rPr>
        <w:t>néfastes</w:t>
      </w:r>
      <w:r w:rsidRPr="006E7D0F">
        <w:rPr>
          <w:sz w:val="24"/>
          <w:szCs w:val="24"/>
          <w:lang w:val="fr-FR"/>
        </w:rPr>
        <w:t xml:space="preserve"> sur les droits humains. Les droits affectés négativement </w:t>
      </w:r>
      <w:r w:rsidR="0026105A" w:rsidRPr="006E7D0F">
        <w:rPr>
          <w:sz w:val="24"/>
          <w:szCs w:val="24"/>
          <w:lang w:val="fr-FR"/>
        </w:rPr>
        <w:t>pourraient</w:t>
      </w:r>
      <w:r w:rsidRPr="006E7D0F">
        <w:rPr>
          <w:sz w:val="24"/>
          <w:szCs w:val="24"/>
          <w:lang w:val="fr-FR"/>
        </w:rPr>
        <w:t xml:space="preserve"> inclure, entre autres, les droits à la vie, à la santé, à l’eau, à l’</w:t>
      </w:r>
      <w:r w:rsidR="0026105A" w:rsidRPr="006E7D0F">
        <w:rPr>
          <w:sz w:val="24"/>
          <w:szCs w:val="24"/>
          <w:lang w:val="fr-FR"/>
        </w:rPr>
        <w:t>assainissement</w:t>
      </w:r>
      <w:r w:rsidRPr="006E7D0F">
        <w:rPr>
          <w:sz w:val="24"/>
          <w:szCs w:val="24"/>
          <w:lang w:val="fr-FR"/>
        </w:rPr>
        <w:t>, à</w:t>
      </w:r>
      <w:r w:rsidR="0026105A" w:rsidRPr="006E7D0F">
        <w:rPr>
          <w:sz w:val="24"/>
          <w:szCs w:val="24"/>
          <w:lang w:val="fr-FR"/>
        </w:rPr>
        <w:t xml:space="preserve"> l’alimentation, aux moyens de subsistance, à la non-discrimination, à un environnement sûr, propre, sain et sans danger, les droits culturels, les droits de l’enfant ainsi que les droits des peuples autochtones.</w:t>
      </w:r>
    </w:p>
    <w:p w14:paraId="6A1BB019" w14:textId="17D5E808" w:rsidR="00D17F9E" w:rsidRDefault="00D17F9E" w:rsidP="00D17F9E">
      <w:pPr>
        <w:pStyle w:val="Paragraphedeliste"/>
        <w:spacing w:after="200"/>
        <w:ind w:left="714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</w:t>
      </w:r>
    </w:p>
    <w:p w14:paraId="7AD97E3C" w14:textId="70D706B8" w:rsidR="00AD1892" w:rsidRDefault="00AD1892" w:rsidP="00AD189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fr-FR"/>
        </w:rPr>
      </w:pPr>
      <w:r w:rsidRPr="00AD1892">
        <w:rPr>
          <w:rFonts w:ascii="Arial" w:hAnsi="Arial" w:cs="Arial"/>
          <w:color w:val="FF0000"/>
          <w:lang w:val="fr-FR"/>
        </w:rPr>
        <w:t xml:space="preserve">La mauvaise gestion </w:t>
      </w:r>
      <w:r>
        <w:rPr>
          <w:rFonts w:ascii="Arial" w:hAnsi="Arial" w:cs="Arial"/>
          <w:color w:val="FF0000"/>
          <w:lang w:val="fr-FR"/>
        </w:rPr>
        <w:t>des déchets</w:t>
      </w:r>
      <w:r w:rsidRPr="00AD1892">
        <w:rPr>
          <w:rFonts w:ascii="Arial" w:hAnsi="Arial" w:cs="Arial"/>
          <w:color w:val="FF0000"/>
          <w:lang w:val="fr-FR"/>
        </w:rPr>
        <w:t xml:space="preserve"> </w:t>
      </w:r>
      <w:r w:rsidRPr="00AD1892">
        <w:rPr>
          <w:rFonts w:ascii="Arial" w:hAnsi="Arial" w:cs="Arial"/>
          <w:color w:val="FF0000"/>
          <w:lang w:val="fr-FR"/>
        </w:rPr>
        <w:t>engendre des maladies telles que le paludisme, le choléra, la fièvre typhoïde, les diarrhées virales, les hépatites avec des conséquences sur le développement économique et social</w:t>
      </w:r>
      <w:r>
        <w:rPr>
          <w:rFonts w:ascii="Arial" w:hAnsi="Arial" w:cs="Arial"/>
          <w:color w:val="FF0000"/>
          <w:lang w:val="fr-FR"/>
        </w:rPr>
        <w:t> ;</w:t>
      </w:r>
    </w:p>
    <w:p w14:paraId="445169B2" w14:textId="3EE503AE" w:rsidR="00AD1892" w:rsidRPr="00AD1892" w:rsidRDefault="00AD1892" w:rsidP="00AD189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La gestion non écologiquement rationnelle des produits chimiques</w:t>
      </w:r>
      <w:r w:rsidR="00297A1B">
        <w:rPr>
          <w:rFonts w:ascii="Arial" w:hAnsi="Arial" w:cs="Arial"/>
          <w:color w:val="FF0000"/>
          <w:lang w:val="fr-FR"/>
        </w:rPr>
        <w:t xml:space="preserve"> et leurs déchets</w:t>
      </w:r>
      <w:r>
        <w:rPr>
          <w:rFonts w:ascii="Arial" w:hAnsi="Arial" w:cs="Arial"/>
          <w:color w:val="FF0000"/>
          <w:lang w:val="fr-FR"/>
        </w:rPr>
        <w:t xml:space="preserve"> au niveau des sites d’orpaillage, des unités industrielles et autres sites miniers</w:t>
      </w:r>
      <w:r w:rsidR="00297A1B">
        <w:rPr>
          <w:rFonts w:ascii="Arial" w:hAnsi="Arial" w:cs="Arial"/>
          <w:color w:val="FF0000"/>
          <w:lang w:val="fr-FR"/>
        </w:rPr>
        <w:t>.</w:t>
      </w:r>
      <w:r>
        <w:rPr>
          <w:rFonts w:ascii="Arial" w:hAnsi="Arial" w:cs="Arial"/>
          <w:color w:val="FF0000"/>
          <w:lang w:val="fr-FR"/>
        </w:rPr>
        <w:t xml:space="preserve"> </w:t>
      </w:r>
    </w:p>
    <w:p w14:paraId="72F55889" w14:textId="72CAF849" w:rsidR="00AD1892" w:rsidRPr="0087293B" w:rsidRDefault="00AD1892" w:rsidP="00297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14:paraId="4B0E6B4B" w14:textId="2D7C0815" w:rsidR="00657DF1" w:rsidRDefault="00657DF1" w:rsidP="00FA22AC">
      <w:pPr>
        <w:pStyle w:val="Paragraphedeliste"/>
        <w:numPr>
          <w:ilvl w:val="0"/>
          <w:numId w:val="1"/>
        </w:numPr>
        <w:spacing w:after="200"/>
        <w:ind w:left="714" w:hanging="357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Quels sont les </w:t>
      </w:r>
      <w:r w:rsidR="00297A1B">
        <w:rPr>
          <w:sz w:val="24"/>
          <w:szCs w:val="24"/>
          <w:lang w:val="fr-FR"/>
        </w:rPr>
        <w:t>endroits les plus pollué</w:t>
      </w:r>
      <w:r w:rsidRPr="006E7D0F">
        <w:rPr>
          <w:sz w:val="24"/>
          <w:szCs w:val="24"/>
          <w:lang w:val="fr-FR"/>
        </w:rPr>
        <w:t xml:space="preserve">s de votre Etat ? Y a-t-il dans votre Etat des zones désignées comme "zones de sacrifice" en raison de leur </w:t>
      </w:r>
      <w:r w:rsidR="00C02D5C" w:rsidRPr="006E7D0F">
        <w:rPr>
          <w:sz w:val="24"/>
          <w:szCs w:val="24"/>
          <w:lang w:val="fr-FR"/>
        </w:rPr>
        <w:t>extrême</w:t>
      </w:r>
      <w:r w:rsidRPr="006E7D0F">
        <w:rPr>
          <w:sz w:val="24"/>
          <w:szCs w:val="24"/>
          <w:lang w:val="fr-FR"/>
        </w:rPr>
        <w:t xml:space="preserve"> pollution ? Existe-t-il </w:t>
      </w:r>
      <w:r w:rsidR="00C02D5C" w:rsidRPr="006E7D0F">
        <w:rPr>
          <w:sz w:val="24"/>
          <w:szCs w:val="24"/>
          <w:lang w:val="fr-FR"/>
        </w:rPr>
        <w:t>des exemples</w:t>
      </w:r>
      <w:r w:rsidRPr="006E7D0F">
        <w:rPr>
          <w:sz w:val="24"/>
          <w:szCs w:val="24"/>
          <w:lang w:val="fr-FR"/>
        </w:rPr>
        <w:t xml:space="preserve"> de lieux fortement pollués qui ont été </w:t>
      </w:r>
      <w:r w:rsidR="00C02D5C" w:rsidRPr="006E7D0F">
        <w:rPr>
          <w:sz w:val="24"/>
          <w:szCs w:val="24"/>
          <w:lang w:val="fr-FR"/>
        </w:rPr>
        <w:t>entièrement</w:t>
      </w:r>
      <w:r w:rsidRPr="006E7D0F">
        <w:rPr>
          <w:sz w:val="24"/>
          <w:szCs w:val="24"/>
          <w:lang w:val="fr-FR"/>
        </w:rPr>
        <w:t xml:space="preserve"> </w:t>
      </w:r>
      <w:r w:rsidR="00C02D5C" w:rsidRPr="006E7D0F">
        <w:rPr>
          <w:sz w:val="24"/>
          <w:szCs w:val="24"/>
          <w:lang w:val="fr-FR"/>
        </w:rPr>
        <w:t>nettoyés et réhabilités ? Si ce n’est pas le cas, quels sont les obstacles à la dépollution et à la réhabilitation ?</w:t>
      </w:r>
    </w:p>
    <w:p w14:paraId="2700EF27" w14:textId="52FCD2B1" w:rsidR="00051804" w:rsidRDefault="00051804" w:rsidP="00051804">
      <w:pPr>
        <w:pStyle w:val="Paragraphedeliste"/>
        <w:spacing w:after="200"/>
        <w:ind w:left="714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</w:t>
      </w:r>
      <w:r w:rsidR="00297A1B">
        <w:rPr>
          <w:sz w:val="24"/>
          <w:szCs w:val="24"/>
          <w:lang w:val="fr-FR"/>
        </w:rPr>
        <w:t xml:space="preserve"> </w:t>
      </w:r>
    </w:p>
    <w:p w14:paraId="076B9A21" w14:textId="46049E5B" w:rsidR="00297A1B" w:rsidRDefault="00297A1B" w:rsidP="00297A1B">
      <w:pPr>
        <w:pStyle w:val="Paragraphedeliste"/>
        <w:numPr>
          <w:ilvl w:val="0"/>
          <w:numId w:val="4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proofErr w:type="gramStart"/>
      <w:r w:rsidRPr="00297A1B">
        <w:rPr>
          <w:rFonts w:ascii="Arial" w:hAnsi="Arial" w:cs="Arial"/>
          <w:color w:val="FF0000"/>
          <w:lang w:val="fr-FR"/>
        </w:rPr>
        <w:t>les</w:t>
      </w:r>
      <w:proofErr w:type="gramEnd"/>
      <w:r w:rsidRPr="00297A1B">
        <w:rPr>
          <w:rFonts w:ascii="Arial" w:hAnsi="Arial" w:cs="Arial"/>
          <w:color w:val="FF0000"/>
          <w:lang w:val="fr-FR"/>
        </w:rPr>
        <w:t xml:space="preserve"> endroits les plus pollué</w:t>
      </w:r>
      <w:r w:rsidRPr="00297A1B">
        <w:rPr>
          <w:rFonts w:ascii="Arial" w:hAnsi="Arial" w:cs="Arial"/>
          <w:color w:val="FF0000"/>
          <w:lang w:val="fr-FR"/>
        </w:rPr>
        <w:t xml:space="preserve">s du Niger sont : les sites </w:t>
      </w:r>
      <w:r>
        <w:rPr>
          <w:rFonts w:ascii="Arial" w:hAnsi="Arial" w:cs="Arial"/>
          <w:color w:val="FF0000"/>
          <w:lang w:val="fr-FR"/>
        </w:rPr>
        <w:t xml:space="preserve">miniers uranifères, pétroliers, les sites </w:t>
      </w:r>
      <w:r w:rsidRPr="00297A1B">
        <w:rPr>
          <w:rFonts w:ascii="Arial" w:hAnsi="Arial" w:cs="Arial"/>
          <w:color w:val="FF0000"/>
          <w:lang w:val="fr-FR"/>
        </w:rPr>
        <w:t xml:space="preserve">industriels d’exploitation de l’or </w:t>
      </w:r>
      <w:r w:rsidRPr="00297A1B">
        <w:rPr>
          <w:rFonts w:ascii="Arial" w:hAnsi="Arial" w:cs="Arial"/>
          <w:color w:val="FF0000"/>
          <w:lang w:val="fr-FR"/>
        </w:rPr>
        <w:t>et d’orpaillage</w:t>
      </w:r>
      <w:r>
        <w:rPr>
          <w:rFonts w:ascii="Arial" w:hAnsi="Arial" w:cs="Arial"/>
          <w:color w:val="FF0000"/>
          <w:lang w:val="fr-FR"/>
        </w:rPr>
        <w:t>.</w:t>
      </w:r>
    </w:p>
    <w:p w14:paraId="7EBC6351" w14:textId="3BE2B84D" w:rsidR="00297A1B" w:rsidRDefault="00297A1B" w:rsidP="00297A1B">
      <w:pPr>
        <w:pStyle w:val="Paragraphedeliste"/>
        <w:numPr>
          <w:ilvl w:val="0"/>
          <w:numId w:val="4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proofErr w:type="gramStart"/>
      <w:r>
        <w:rPr>
          <w:rFonts w:ascii="Arial" w:hAnsi="Arial" w:cs="Arial"/>
          <w:color w:val="FF0000"/>
          <w:lang w:val="fr-FR"/>
        </w:rPr>
        <w:t>pas</w:t>
      </w:r>
      <w:proofErr w:type="gramEnd"/>
      <w:r>
        <w:rPr>
          <w:rFonts w:ascii="Arial" w:hAnsi="Arial" w:cs="Arial"/>
          <w:color w:val="FF0000"/>
          <w:lang w:val="fr-FR"/>
        </w:rPr>
        <w:t xml:space="preserve"> de zone de sacrifice au Niger. </w:t>
      </w:r>
    </w:p>
    <w:p w14:paraId="08D4D6DC" w14:textId="77777777" w:rsidR="00297A1B" w:rsidRDefault="00297A1B" w:rsidP="00297A1B">
      <w:pPr>
        <w:pStyle w:val="Paragraphedeliste"/>
        <w:numPr>
          <w:ilvl w:val="0"/>
          <w:numId w:val="4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Pas de sites</w:t>
      </w:r>
      <w:r w:rsidRPr="00297A1B">
        <w:rPr>
          <w:sz w:val="24"/>
          <w:szCs w:val="24"/>
          <w:lang w:val="fr-FR"/>
        </w:rPr>
        <w:t xml:space="preserve"> </w:t>
      </w:r>
      <w:r w:rsidRPr="00297A1B">
        <w:rPr>
          <w:rFonts w:ascii="Arial" w:hAnsi="Arial" w:cs="Arial"/>
          <w:color w:val="FF0000"/>
          <w:lang w:val="fr-FR"/>
        </w:rPr>
        <w:t>entièrement nettoyés et réhabilités</w:t>
      </w:r>
      <w:r>
        <w:rPr>
          <w:rFonts w:ascii="Arial" w:hAnsi="Arial" w:cs="Arial"/>
          <w:color w:val="FF0000"/>
          <w:lang w:val="fr-FR"/>
        </w:rPr>
        <w:t>.</w:t>
      </w:r>
    </w:p>
    <w:p w14:paraId="03C52B08" w14:textId="20FB29D2" w:rsidR="00297A1B" w:rsidRPr="00297A1B" w:rsidRDefault="00297A1B" w:rsidP="00297A1B">
      <w:pPr>
        <w:pStyle w:val="Paragraphedeliste"/>
        <w:numPr>
          <w:ilvl w:val="0"/>
          <w:numId w:val="4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proofErr w:type="gramStart"/>
      <w:r w:rsidRPr="00297A1B">
        <w:rPr>
          <w:rFonts w:ascii="Arial" w:hAnsi="Arial" w:cs="Arial"/>
          <w:color w:val="FF0000"/>
          <w:lang w:val="fr-FR"/>
        </w:rPr>
        <w:t>les</w:t>
      </w:r>
      <w:proofErr w:type="gramEnd"/>
      <w:r w:rsidRPr="00297A1B">
        <w:rPr>
          <w:rFonts w:ascii="Arial" w:hAnsi="Arial" w:cs="Arial"/>
          <w:color w:val="FF0000"/>
          <w:lang w:val="fr-FR"/>
        </w:rPr>
        <w:t xml:space="preserve"> obstacles à la dépollution et à la réhabilitation</w:t>
      </w:r>
      <w:r w:rsidRPr="00297A1B">
        <w:rPr>
          <w:rFonts w:ascii="Arial" w:hAnsi="Arial" w:cs="Arial"/>
          <w:color w:val="FF0000"/>
          <w:lang w:val="fr-FR"/>
        </w:rPr>
        <w:t xml:space="preserve"> sont liés au manque de moyens. </w:t>
      </w:r>
      <w:r w:rsidRPr="00297A1B">
        <w:rPr>
          <w:rFonts w:ascii="Arial" w:hAnsi="Arial" w:cs="Arial"/>
          <w:color w:val="FF0000"/>
          <w:lang w:val="fr-FR"/>
        </w:rPr>
        <w:t> </w:t>
      </w:r>
      <w:r>
        <w:rPr>
          <w:rFonts w:ascii="Arial" w:hAnsi="Arial" w:cs="Arial"/>
          <w:color w:val="FF0000"/>
          <w:lang w:val="fr-FR"/>
        </w:rPr>
        <w:t xml:space="preserve"> </w:t>
      </w:r>
    </w:p>
    <w:p w14:paraId="179A4066" w14:textId="1F516159" w:rsidR="00C02D5C" w:rsidRDefault="00C02D5C" w:rsidP="00FA22AC">
      <w:pPr>
        <w:pStyle w:val="Paragraphedeliste"/>
        <w:numPr>
          <w:ilvl w:val="0"/>
          <w:numId w:val="1"/>
        </w:numPr>
        <w:spacing w:after="200"/>
        <w:ind w:left="714" w:hanging="357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Quelles sont les obligations spécifiques des Etats et </w:t>
      </w:r>
      <w:r w:rsidR="00DB7581" w:rsidRPr="006E7D0F">
        <w:rPr>
          <w:sz w:val="24"/>
          <w:szCs w:val="24"/>
          <w:lang w:val="fr-FR"/>
        </w:rPr>
        <w:t>les</w:t>
      </w:r>
      <w:r w:rsidRPr="006E7D0F">
        <w:rPr>
          <w:sz w:val="24"/>
          <w:szCs w:val="24"/>
          <w:lang w:val="fr-FR"/>
        </w:rPr>
        <w:t xml:space="preserve"> responsabilités des entreprises en termes de prévention </w:t>
      </w:r>
      <w:r w:rsidR="00FA22AC" w:rsidRPr="006E7D0F">
        <w:rPr>
          <w:sz w:val="24"/>
          <w:szCs w:val="24"/>
          <w:lang w:val="fr-FR"/>
        </w:rPr>
        <w:t>à</w:t>
      </w:r>
      <w:r w:rsidRPr="006E7D0F">
        <w:rPr>
          <w:sz w:val="24"/>
          <w:szCs w:val="24"/>
          <w:lang w:val="fr-FR"/>
        </w:rPr>
        <w:t xml:space="preserve"> des expositions à des niveaux malsains de pollution et de substances toxiques, de réhabilitation des sites toxiques et d’indemnisation des personnes </w:t>
      </w:r>
      <w:r w:rsidR="00DB7581" w:rsidRPr="006E7D0F">
        <w:rPr>
          <w:sz w:val="24"/>
          <w:szCs w:val="24"/>
          <w:lang w:val="fr-FR"/>
        </w:rPr>
        <w:t>affectées ?</w:t>
      </w:r>
    </w:p>
    <w:p w14:paraId="5C1FFD5E" w14:textId="77777777" w:rsidR="00297A1B" w:rsidRDefault="00297A1B" w:rsidP="00297A1B">
      <w:pPr>
        <w:pStyle w:val="Paragraphedeliste"/>
        <w:spacing w:after="200"/>
        <w:ind w:left="714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10104B28" w14:textId="187BADEF" w:rsidR="00297A1B" w:rsidRDefault="003C753C" w:rsidP="00EB474A">
      <w:pPr>
        <w:pStyle w:val="Paragraphedeliste"/>
        <w:numPr>
          <w:ilvl w:val="0"/>
          <w:numId w:val="7"/>
        </w:numPr>
        <w:spacing w:after="200"/>
        <w:jc w:val="both"/>
        <w:rPr>
          <w:rFonts w:ascii="Arial" w:hAnsi="Arial" w:cs="Arial"/>
          <w:color w:val="FF0000"/>
          <w:lang w:val="fr-FR"/>
        </w:rPr>
      </w:pPr>
      <w:proofErr w:type="gramStart"/>
      <w:r>
        <w:rPr>
          <w:rFonts w:ascii="Arial" w:hAnsi="Arial" w:cs="Arial"/>
          <w:color w:val="FF0000"/>
          <w:lang w:val="fr-FR"/>
        </w:rPr>
        <w:t>l</w:t>
      </w:r>
      <w:r w:rsidR="00EB474A" w:rsidRPr="00EB474A">
        <w:rPr>
          <w:rFonts w:ascii="Arial" w:hAnsi="Arial" w:cs="Arial"/>
          <w:color w:val="FF0000"/>
          <w:lang w:val="fr-FR"/>
        </w:rPr>
        <w:t>’obligation</w:t>
      </w:r>
      <w:proofErr w:type="gramEnd"/>
      <w:r w:rsidR="00EB474A" w:rsidRPr="00EB474A">
        <w:rPr>
          <w:rFonts w:ascii="Arial" w:hAnsi="Arial" w:cs="Arial"/>
          <w:color w:val="FF0000"/>
          <w:lang w:val="fr-FR"/>
        </w:rPr>
        <w:t xml:space="preserve"> sp</w:t>
      </w:r>
      <w:r w:rsidR="00EB474A" w:rsidRPr="00EB474A">
        <w:rPr>
          <w:rFonts w:ascii="Arial" w:hAnsi="Arial" w:cs="Arial"/>
          <w:color w:val="FF0000"/>
          <w:lang w:val="fr-FR"/>
        </w:rPr>
        <w:t>écifique de</w:t>
      </w:r>
      <w:r w:rsidR="00EB474A" w:rsidRPr="00EB474A">
        <w:rPr>
          <w:rFonts w:ascii="Arial" w:hAnsi="Arial" w:cs="Arial"/>
          <w:color w:val="FF0000"/>
          <w:lang w:val="fr-FR"/>
        </w:rPr>
        <w:t xml:space="preserve"> </w:t>
      </w:r>
      <w:r w:rsidR="00EB474A" w:rsidRPr="00EB474A">
        <w:rPr>
          <w:rFonts w:ascii="Arial" w:hAnsi="Arial" w:cs="Arial"/>
          <w:color w:val="FF0000"/>
          <w:lang w:val="fr-FR"/>
        </w:rPr>
        <w:t xml:space="preserve">l’Etat est de garantir un environnement sain, protéger l’environnement dans l’intérêt des générations présentes et futures, veiller à l’évaluation des impacts de tout projet et programme de développement sur l’environnement. </w:t>
      </w:r>
    </w:p>
    <w:p w14:paraId="6AE09714" w14:textId="4E99514D" w:rsidR="00EB474A" w:rsidRDefault="003C753C" w:rsidP="00EB474A">
      <w:pPr>
        <w:pStyle w:val="Paragraphedeliste"/>
        <w:numPr>
          <w:ilvl w:val="0"/>
          <w:numId w:val="7"/>
        </w:numPr>
        <w:spacing w:after="200"/>
        <w:jc w:val="both"/>
        <w:rPr>
          <w:rFonts w:ascii="Arial" w:hAnsi="Arial" w:cs="Arial"/>
          <w:color w:val="FF0000"/>
          <w:lang w:val="fr-FR"/>
        </w:rPr>
      </w:pPr>
      <w:proofErr w:type="gramStart"/>
      <w:r>
        <w:rPr>
          <w:rFonts w:ascii="Arial" w:hAnsi="Arial" w:cs="Arial"/>
          <w:color w:val="FF0000"/>
          <w:lang w:val="fr-FR"/>
        </w:rPr>
        <w:t>les</w:t>
      </w:r>
      <w:proofErr w:type="gramEnd"/>
      <w:r w:rsidR="00EB474A">
        <w:rPr>
          <w:rFonts w:ascii="Arial" w:hAnsi="Arial" w:cs="Arial"/>
          <w:color w:val="FF0000"/>
          <w:lang w:val="fr-FR"/>
        </w:rPr>
        <w:t xml:space="preserve"> respons</w:t>
      </w:r>
      <w:r>
        <w:rPr>
          <w:rFonts w:ascii="Arial" w:hAnsi="Arial" w:cs="Arial"/>
          <w:color w:val="FF0000"/>
          <w:lang w:val="fr-FR"/>
        </w:rPr>
        <w:t>abilités des entreprises : la responsabilité sociétale , le principe pollueur-payeur.</w:t>
      </w:r>
    </w:p>
    <w:p w14:paraId="00CD98B6" w14:textId="77777777" w:rsidR="003C753C" w:rsidRPr="00EB474A" w:rsidRDefault="003C753C" w:rsidP="003C753C">
      <w:pPr>
        <w:pStyle w:val="Paragraphedeliste"/>
        <w:spacing w:after="200"/>
        <w:ind w:left="1074"/>
        <w:jc w:val="both"/>
        <w:rPr>
          <w:rFonts w:ascii="Arial" w:hAnsi="Arial" w:cs="Arial"/>
          <w:color w:val="FF0000"/>
          <w:lang w:val="fr-FR"/>
        </w:rPr>
      </w:pPr>
    </w:p>
    <w:p w14:paraId="59A85EA2" w14:textId="352EE280" w:rsidR="00FC6CDB" w:rsidRDefault="00FC6CDB" w:rsidP="00442C01">
      <w:pPr>
        <w:pStyle w:val="Paragraphedeliste"/>
        <w:numPr>
          <w:ilvl w:val="0"/>
          <w:numId w:val="8"/>
        </w:numPr>
        <w:spacing w:after="200"/>
        <w:jc w:val="both"/>
        <w:rPr>
          <w:sz w:val="24"/>
          <w:szCs w:val="24"/>
          <w:lang w:val="fr-FR"/>
        </w:rPr>
      </w:pPr>
      <w:r w:rsidRPr="00442C01">
        <w:rPr>
          <w:sz w:val="24"/>
          <w:szCs w:val="24"/>
          <w:lang w:val="fr-FR"/>
        </w:rPr>
        <w:lastRenderedPageBreak/>
        <w:t>Veuillez fournir des exemples spécifiques de dispositions constitutionnelles, de lois, d’institutions,</w:t>
      </w:r>
      <w:r w:rsidR="00051804" w:rsidRPr="00442C01">
        <w:rPr>
          <w:sz w:val="24"/>
          <w:szCs w:val="24"/>
          <w:lang w:val="fr-FR"/>
        </w:rPr>
        <w:t xml:space="preserve"> de règlements</w:t>
      </w:r>
      <w:r w:rsidRPr="00442C01">
        <w:rPr>
          <w:sz w:val="24"/>
          <w:szCs w:val="24"/>
          <w:lang w:val="fr-FR"/>
        </w:rPr>
        <w:t xml:space="preserve"> de normes, de jurisprudence, de politiques et de programmes qui appliquent une approche fondée sur les droits pour garantir des environnements exempts de substances toxiques.</w:t>
      </w:r>
    </w:p>
    <w:p w14:paraId="18A2A413" w14:textId="327D3AD4" w:rsidR="00442C01" w:rsidRDefault="00442C01" w:rsidP="00442C01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0946AD43" w14:textId="051256CD" w:rsidR="00442C01" w:rsidRDefault="00EF6DCC" w:rsidP="00442C01">
      <w:pPr>
        <w:pStyle w:val="Paragraphedeliste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La constitution du 25 novembre 2010</w:t>
      </w:r>
      <w:r w:rsidR="00442C01" w:rsidRPr="00442C01">
        <w:rPr>
          <w:rFonts w:ascii="Arial" w:hAnsi="Arial" w:cs="Arial"/>
          <w:color w:val="FF0000"/>
          <w:lang w:val="fr-FR"/>
        </w:rPr>
        <w:t> : l’article 35 ;</w:t>
      </w:r>
    </w:p>
    <w:p w14:paraId="28F2BB67" w14:textId="1C9BFE96" w:rsidR="00442C01" w:rsidRDefault="00442C01" w:rsidP="00442C01">
      <w:pPr>
        <w:pStyle w:val="Paragraphedeliste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proofErr w:type="gramStart"/>
      <w:r>
        <w:rPr>
          <w:rFonts w:ascii="Arial" w:hAnsi="Arial" w:cs="Arial"/>
          <w:color w:val="FF0000"/>
          <w:lang w:val="fr-FR"/>
        </w:rPr>
        <w:t>la</w:t>
      </w:r>
      <w:proofErr w:type="gramEnd"/>
      <w:r>
        <w:rPr>
          <w:rFonts w:ascii="Arial" w:hAnsi="Arial" w:cs="Arial"/>
          <w:color w:val="FF0000"/>
          <w:lang w:val="fr-FR"/>
        </w:rPr>
        <w:t xml:space="preserve"> loi 98-56 du 25 décembre 1998 relative à la gestion de l’environnement.</w:t>
      </w:r>
    </w:p>
    <w:p w14:paraId="3928311B" w14:textId="2E7DF26F" w:rsidR="00000000" w:rsidRDefault="00442C01" w:rsidP="00EF6DCC">
      <w:pPr>
        <w:pStyle w:val="Paragraphedeliste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L</w:t>
      </w:r>
      <w:r w:rsidR="00EF6DCC">
        <w:rPr>
          <w:rFonts w:ascii="Arial" w:hAnsi="Arial" w:cs="Arial"/>
          <w:color w:val="FF0000"/>
          <w:lang w:val="fr-FR"/>
        </w:rPr>
        <w:t>’</w:t>
      </w:r>
      <w:r w:rsidR="00C555E8" w:rsidRPr="00EF6DCC">
        <w:rPr>
          <w:rFonts w:ascii="Arial" w:hAnsi="Arial" w:cs="Arial"/>
          <w:color w:val="FF0000"/>
          <w:lang w:val="fr-FR"/>
        </w:rPr>
        <w:t xml:space="preserve">arrêté N° 0343 /MSP/SG/DGSP/DHP/ES du 30 mars 2021 </w:t>
      </w:r>
      <w:r w:rsidR="00C555E8" w:rsidRPr="00EF6DCC">
        <w:rPr>
          <w:rFonts w:ascii="Arial" w:hAnsi="Arial" w:cs="Arial"/>
          <w:color w:val="FF0000"/>
          <w:lang w:val="fr-FR"/>
        </w:rPr>
        <w:t>sur les normes de rejet de</w:t>
      </w:r>
      <w:r w:rsidR="00EF6DCC">
        <w:rPr>
          <w:rFonts w:ascii="Arial" w:hAnsi="Arial" w:cs="Arial"/>
          <w:color w:val="FF0000"/>
          <w:lang w:val="fr-FR"/>
        </w:rPr>
        <w:t xml:space="preserve"> déchets dans le milieu naturel ;</w:t>
      </w:r>
    </w:p>
    <w:p w14:paraId="30CA5BD3" w14:textId="3FDD74EF" w:rsidR="00EF6DCC" w:rsidRPr="00EF6DCC" w:rsidRDefault="00EF6DCC" w:rsidP="00EF6DCC">
      <w:pPr>
        <w:pStyle w:val="Paragraphedeliste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La Politique Nationale en matière d’environnement et de développement durable.</w:t>
      </w:r>
    </w:p>
    <w:p w14:paraId="62B4068A" w14:textId="77777777" w:rsidR="00442C01" w:rsidRPr="00442C01" w:rsidRDefault="00442C01" w:rsidP="00442C01">
      <w:pPr>
        <w:pStyle w:val="Paragraphedeliste"/>
        <w:spacing w:after="200"/>
        <w:jc w:val="both"/>
        <w:rPr>
          <w:sz w:val="24"/>
          <w:szCs w:val="24"/>
          <w:lang w:val="fr-FR"/>
        </w:rPr>
      </w:pPr>
    </w:p>
    <w:p w14:paraId="4CF3C38C" w14:textId="257C4B51" w:rsidR="00062091" w:rsidRDefault="005352DE" w:rsidP="00062091">
      <w:pPr>
        <w:pStyle w:val="Paragraphedeliste"/>
        <w:numPr>
          <w:ilvl w:val="0"/>
          <w:numId w:val="8"/>
        </w:numPr>
        <w:spacing w:after="200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>Si votre Etat est l’un des 156 Etats membres de l’ONU qui reconnaissent le droit à un environnement sûr, propre, sain et durable, ce droit a-t-il contribué à prévenir, atténuer, ou réhabiliter les environnements toxiques ? Si oui, comment ? Si non, pourquoi ?</w:t>
      </w:r>
    </w:p>
    <w:p w14:paraId="46D0F044" w14:textId="4B386126" w:rsidR="00062091" w:rsidRDefault="00062091" w:rsidP="00062091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062091">
        <w:rPr>
          <w:b/>
          <w:sz w:val="24"/>
          <w:szCs w:val="24"/>
          <w:u w:val="single"/>
          <w:lang w:val="fr-FR"/>
        </w:rPr>
        <w:t xml:space="preserve"> </w:t>
      </w: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0A180726" w14:textId="24D77260" w:rsidR="00316D56" w:rsidRPr="00062091" w:rsidRDefault="00062091" w:rsidP="00062091">
      <w:pPr>
        <w:pStyle w:val="Paragraphedeliste"/>
        <w:spacing w:after="200"/>
        <w:ind w:left="714"/>
        <w:contextualSpacing w:val="0"/>
        <w:jc w:val="both"/>
        <w:rPr>
          <w:rFonts w:ascii="Arial" w:hAnsi="Arial" w:cs="Arial"/>
          <w:color w:val="FF0000"/>
          <w:lang w:val="fr-FR"/>
        </w:rPr>
      </w:pPr>
      <w:r w:rsidRPr="00062091">
        <w:rPr>
          <w:rFonts w:ascii="Arial" w:hAnsi="Arial" w:cs="Arial"/>
          <w:color w:val="FF0000"/>
          <w:lang w:val="fr-FR"/>
        </w:rPr>
        <w:t xml:space="preserve">Oui. </w:t>
      </w:r>
      <w:r>
        <w:rPr>
          <w:rFonts w:ascii="Arial" w:hAnsi="Arial" w:cs="Arial"/>
          <w:color w:val="FF0000"/>
          <w:lang w:val="fr-FR"/>
        </w:rPr>
        <w:t>A travers l’application de plusieurs textes notamment ceux cités dans les questions précédentes.</w:t>
      </w:r>
    </w:p>
    <w:p w14:paraId="04A230F6" w14:textId="397D12FD" w:rsidR="005352DE" w:rsidRDefault="005352DE" w:rsidP="00442C01">
      <w:pPr>
        <w:pStyle w:val="Paragraphedeliste"/>
        <w:numPr>
          <w:ilvl w:val="0"/>
          <w:numId w:val="8"/>
        </w:numPr>
        <w:spacing w:after="200"/>
        <w:ind w:left="714" w:hanging="357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Veuillez fournir </w:t>
      </w:r>
      <w:r w:rsidR="00655863" w:rsidRPr="006E7D0F">
        <w:rPr>
          <w:sz w:val="24"/>
          <w:szCs w:val="24"/>
          <w:lang w:val="fr-FR"/>
        </w:rPr>
        <w:t xml:space="preserve">des exemples spécifiques de bonnes pratiques en matière de prévention, d’atténuation ou de réhabilitation des environnements toxiques. Ces </w:t>
      </w:r>
      <w:r w:rsidR="00E26B3E" w:rsidRPr="006E7D0F">
        <w:rPr>
          <w:sz w:val="24"/>
          <w:szCs w:val="24"/>
          <w:lang w:val="fr-FR"/>
        </w:rPr>
        <w:t xml:space="preserve">exemples peuvent se produire au niveau international, </w:t>
      </w:r>
      <w:r w:rsidR="00CD132D" w:rsidRPr="006E7D0F">
        <w:rPr>
          <w:sz w:val="24"/>
          <w:szCs w:val="24"/>
          <w:lang w:val="fr-FR"/>
        </w:rPr>
        <w:t>régional</w:t>
      </w:r>
      <w:r w:rsidR="00E26B3E" w:rsidRPr="006E7D0F">
        <w:rPr>
          <w:sz w:val="24"/>
          <w:szCs w:val="24"/>
          <w:lang w:val="fr-FR"/>
        </w:rPr>
        <w:t xml:space="preserve">, national, sous national ou local. Il peut s’agir de la </w:t>
      </w:r>
      <w:r w:rsidR="00CD132D" w:rsidRPr="006E7D0F">
        <w:rPr>
          <w:sz w:val="24"/>
          <w:szCs w:val="24"/>
          <w:lang w:val="fr-FR"/>
        </w:rPr>
        <w:t>surveillance</w:t>
      </w:r>
      <w:r w:rsidR="00E26B3E" w:rsidRPr="006E7D0F">
        <w:rPr>
          <w:sz w:val="24"/>
          <w:szCs w:val="24"/>
          <w:lang w:val="fr-FR"/>
        </w:rPr>
        <w:t xml:space="preserve"> des concentrations </w:t>
      </w:r>
      <w:r w:rsidR="00CD132D" w:rsidRPr="006E7D0F">
        <w:rPr>
          <w:sz w:val="24"/>
          <w:szCs w:val="24"/>
          <w:lang w:val="fr-FR"/>
        </w:rPr>
        <w:t>de substances</w:t>
      </w:r>
      <w:r w:rsidR="00E26B3E" w:rsidRPr="006E7D0F">
        <w:rPr>
          <w:sz w:val="24"/>
          <w:szCs w:val="24"/>
          <w:lang w:val="fr-FR"/>
        </w:rPr>
        <w:t xml:space="preserve"> toxiques dans l’air, l’eau, le sol, les aliments et les personnes ; de la garantie des droits </w:t>
      </w:r>
      <w:r w:rsidR="00CD132D" w:rsidRPr="006E7D0F">
        <w:rPr>
          <w:sz w:val="24"/>
          <w:szCs w:val="24"/>
          <w:lang w:val="fr-FR"/>
        </w:rPr>
        <w:t>procéduraux</w:t>
      </w:r>
      <w:r w:rsidR="00E26B3E" w:rsidRPr="006E7D0F">
        <w:rPr>
          <w:sz w:val="24"/>
          <w:szCs w:val="24"/>
          <w:lang w:val="fr-FR"/>
        </w:rPr>
        <w:t xml:space="preserve"> (par exemples, l’</w:t>
      </w:r>
      <w:r w:rsidR="00CD132D" w:rsidRPr="006E7D0F">
        <w:rPr>
          <w:sz w:val="24"/>
          <w:szCs w:val="24"/>
          <w:lang w:val="fr-FR"/>
        </w:rPr>
        <w:t>accès</w:t>
      </w:r>
      <w:r w:rsidR="00E26B3E" w:rsidRPr="006E7D0F">
        <w:rPr>
          <w:sz w:val="24"/>
          <w:szCs w:val="24"/>
          <w:lang w:val="fr-FR"/>
        </w:rPr>
        <w:t xml:space="preserve"> du public à l’information, la participation du public à la prise de </w:t>
      </w:r>
      <w:r w:rsidR="00CD132D" w:rsidRPr="006E7D0F">
        <w:rPr>
          <w:sz w:val="24"/>
          <w:szCs w:val="24"/>
          <w:lang w:val="fr-FR"/>
        </w:rPr>
        <w:t>décision</w:t>
      </w:r>
      <w:r w:rsidR="00E26B3E" w:rsidRPr="006E7D0F">
        <w:rPr>
          <w:sz w:val="24"/>
          <w:szCs w:val="24"/>
          <w:lang w:val="fr-FR"/>
        </w:rPr>
        <w:t>, l’</w:t>
      </w:r>
      <w:r w:rsidR="00CD132D" w:rsidRPr="006E7D0F">
        <w:rPr>
          <w:sz w:val="24"/>
          <w:szCs w:val="24"/>
          <w:lang w:val="fr-FR"/>
        </w:rPr>
        <w:t>accès</w:t>
      </w:r>
      <w:r w:rsidR="00E26B3E" w:rsidRPr="006E7D0F">
        <w:rPr>
          <w:sz w:val="24"/>
          <w:szCs w:val="24"/>
          <w:lang w:val="fr-FR"/>
        </w:rPr>
        <w:t xml:space="preserve"> aux recours) ;</w:t>
      </w:r>
      <w:r w:rsidR="003B67E6">
        <w:rPr>
          <w:sz w:val="24"/>
          <w:szCs w:val="24"/>
          <w:lang w:val="fr-FR"/>
        </w:rPr>
        <w:t xml:space="preserve"> </w:t>
      </w:r>
      <w:r w:rsidR="00E26B3E" w:rsidRPr="006E7D0F">
        <w:rPr>
          <w:sz w:val="24"/>
          <w:szCs w:val="24"/>
          <w:lang w:val="fr-FR"/>
        </w:rPr>
        <w:t xml:space="preserve">de la </w:t>
      </w:r>
      <w:r w:rsidR="00CD132D" w:rsidRPr="006E7D0F">
        <w:rPr>
          <w:sz w:val="24"/>
          <w:szCs w:val="24"/>
          <w:lang w:val="fr-FR"/>
        </w:rPr>
        <w:t>législation</w:t>
      </w:r>
      <w:r w:rsidR="00E26B3E" w:rsidRPr="006E7D0F">
        <w:rPr>
          <w:sz w:val="24"/>
          <w:szCs w:val="24"/>
          <w:lang w:val="fr-FR"/>
        </w:rPr>
        <w:t xml:space="preserve">, </w:t>
      </w:r>
      <w:r w:rsidR="00CD132D" w:rsidRPr="006E7D0F">
        <w:rPr>
          <w:sz w:val="24"/>
          <w:szCs w:val="24"/>
          <w:lang w:val="fr-FR"/>
        </w:rPr>
        <w:t>des règlements</w:t>
      </w:r>
      <w:r w:rsidR="00F66FB2" w:rsidRPr="006E7D0F">
        <w:rPr>
          <w:sz w:val="24"/>
          <w:szCs w:val="24"/>
          <w:lang w:val="fr-FR"/>
        </w:rPr>
        <w:t xml:space="preserve">, des normes, de la jurisprudence </w:t>
      </w:r>
      <w:r w:rsidR="00CD132D" w:rsidRPr="006E7D0F">
        <w:rPr>
          <w:sz w:val="24"/>
          <w:szCs w:val="24"/>
          <w:lang w:val="fr-FR"/>
        </w:rPr>
        <w:t>et des</w:t>
      </w:r>
      <w:r w:rsidR="00F66FB2" w:rsidRPr="006E7D0F">
        <w:rPr>
          <w:sz w:val="24"/>
          <w:szCs w:val="24"/>
          <w:lang w:val="fr-FR"/>
        </w:rPr>
        <w:t xml:space="preserve"> politiques qui traitent des substances toxiques ; et des initiatives visant à créer des environnements exempts de substances toxiques (par exemple, l’interdiction de l’utilisation de </w:t>
      </w:r>
      <w:r w:rsidR="00CD132D" w:rsidRPr="006E7D0F">
        <w:rPr>
          <w:sz w:val="24"/>
          <w:szCs w:val="24"/>
          <w:lang w:val="fr-FR"/>
        </w:rPr>
        <w:t>substances</w:t>
      </w:r>
      <w:r w:rsidR="00F66FB2" w:rsidRPr="006E7D0F">
        <w:rPr>
          <w:sz w:val="24"/>
          <w:szCs w:val="24"/>
          <w:lang w:val="fr-FR"/>
        </w:rPr>
        <w:t xml:space="preserve"> </w:t>
      </w:r>
      <w:r w:rsidR="00CD132D" w:rsidRPr="006E7D0F">
        <w:rPr>
          <w:sz w:val="24"/>
          <w:szCs w:val="24"/>
          <w:lang w:val="fr-FR"/>
        </w:rPr>
        <w:t>spécifiques</w:t>
      </w:r>
      <w:r w:rsidR="00F66FB2" w:rsidRPr="006E7D0F">
        <w:rPr>
          <w:sz w:val="24"/>
          <w:szCs w:val="24"/>
          <w:lang w:val="fr-FR"/>
        </w:rPr>
        <w:t xml:space="preserve">, la </w:t>
      </w:r>
      <w:r w:rsidR="00CD132D" w:rsidRPr="006E7D0F">
        <w:rPr>
          <w:sz w:val="24"/>
          <w:szCs w:val="24"/>
          <w:lang w:val="fr-FR"/>
        </w:rPr>
        <w:t>réduction</w:t>
      </w:r>
      <w:r w:rsidR="00F66FB2" w:rsidRPr="006E7D0F">
        <w:rPr>
          <w:sz w:val="24"/>
          <w:szCs w:val="24"/>
          <w:lang w:val="fr-FR"/>
        </w:rPr>
        <w:t xml:space="preserve"> de la pollution de l’air et de l’eau, les projets d’</w:t>
      </w:r>
      <w:r w:rsidR="00CD132D" w:rsidRPr="006E7D0F">
        <w:rPr>
          <w:sz w:val="24"/>
          <w:szCs w:val="24"/>
          <w:lang w:val="fr-FR"/>
        </w:rPr>
        <w:t>assainissement</w:t>
      </w:r>
      <w:r w:rsidR="00F66FB2" w:rsidRPr="006E7D0F">
        <w:rPr>
          <w:sz w:val="24"/>
          <w:szCs w:val="24"/>
          <w:lang w:val="fr-FR"/>
        </w:rPr>
        <w:t>). Si possible, ve</w:t>
      </w:r>
      <w:r w:rsidR="00CD132D" w:rsidRPr="006E7D0F">
        <w:rPr>
          <w:sz w:val="24"/>
          <w:szCs w:val="24"/>
          <w:lang w:val="fr-FR"/>
        </w:rPr>
        <w:t>u</w:t>
      </w:r>
      <w:r w:rsidR="00F66FB2" w:rsidRPr="006E7D0F">
        <w:rPr>
          <w:sz w:val="24"/>
          <w:szCs w:val="24"/>
          <w:lang w:val="fr-FR"/>
        </w:rPr>
        <w:t>ill</w:t>
      </w:r>
      <w:r w:rsidR="00CD132D" w:rsidRPr="006E7D0F">
        <w:rPr>
          <w:sz w:val="24"/>
          <w:szCs w:val="24"/>
          <w:lang w:val="fr-FR"/>
        </w:rPr>
        <w:t>e</w:t>
      </w:r>
      <w:r w:rsidR="00F66FB2" w:rsidRPr="006E7D0F">
        <w:rPr>
          <w:sz w:val="24"/>
          <w:szCs w:val="24"/>
          <w:lang w:val="fr-FR"/>
        </w:rPr>
        <w:t>z fo</w:t>
      </w:r>
      <w:r w:rsidR="00CD132D" w:rsidRPr="006E7D0F">
        <w:rPr>
          <w:sz w:val="24"/>
          <w:szCs w:val="24"/>
          <w:lang w:val="fr-FR"/>
        </w:rPr>
        <w:t>urnir des preuves de la mise en œuvre, de l’application et de l’efficacité des bonnes pratiques.</w:t>
      </w:r>
    </w:p>
    <w:p w14:paraId="49B7CF78" w14:textId="77777777" w:rsidR="00062091" w:rsidRDefault="00062091" w:rsidP="00062091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2B9F1985" w14:textId="5F39A716" w:rsidR="00062091" w:rsidRDefault="003B67E6" w:rsidP="003B67E6">
      <w:pPr>
        <w:pStyle w:val="Paragraphedeliste"/>
        <w:numPr>
          <w:ilvl w:val="0"/>
          <w:numId w:val="11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Activités de mise en œuvre des accords multilatéraux sur l’environnements.</w:t>
      </w:r>
    </w:p>
    <w:p w14:paraId="41CBEFDA" w14:textId="7DA92F65" w:rsidR="003B67E6" w:rsidRDefault="003B67E6" w:rsidP="003B67E6">
      <w:pPr>
        <w:pStyle w:val="Paragraphedeliste"/>
        <w:numPr>
          <w:ilvl w:val="0"/>
          <w:numId w:val="11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Adoption d’un plan d’actions de la gestion des produits chimiques et déchets dangereux dans l’espace CEDEAO ;</w:t>
      </w:r>
    </w:p>
    <w:p w14:paraId="0EC27579" w14:textId="77777777" w:rsidR="003B67E6" w:rsidRDefault="003B67E6" w:rsidP="003B67E6">
      <w:pPr>
        <w:pStyle w:val="Paragraphedeliste"/>
        <w:numPr>
          <w:ilvl w:val="0"/>
          <w:numId w:val="11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lastRenderedPageBreak/>
        <w:t>Sensibilisations et formations sur les meilleures techniques disponibles et meilleures pratiques environnementales ;</w:t>
      </w:r>
    </w:p>
    <w:p w14:paraId="4312C8DE" w14:textId="62A8A131" w:rsidR="003B67E6" w:rsidRDefault="003B67E6" w:rsidP="003B67E6">
      <w:pPr>
        <w:pStyle w:val="Paragraphedeliste"/>
        <w:numPr>
          <w:ilvl w:val="0"/>
          <w:numId w:val="11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>Suivi de la traçabilité des mouvements de déchets dangereux ;</w:t>
      </w:r>
    </w:p>
    <w:p w14:paraId="19C6254D" w14:textId="3D5E9098" w:rsidR="003B67E6" w:rsidRPr="00062091" w:rsidRDefault="003B67E6" w:rsidP="003B67E6">
      <w:pPr>
        <w:pStyle w:val="Paragraphedeliste"/>
        <w:numPr>
          <w:ilvl w:val="0"/>
          <w:numId w:val="11"/>
        </w:numPr>
        <w:spacing w:after="200"/>
        <w:contextualSpacing w:val="0"/>
        <w:jc w:val="both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 xml:space="preserve">La collecte et la sécurisation des pesticides obsolètes et leurs déchets. </w:t>
      </w:r>
    </w:p>
    <w:p w14:paraId="1F603AAD" w14:textId="77777777" w:rsidR="00062091" w:rsidRPr="006E7D0F" w:rsidRDefault="00062091" w:rsidP="00062091">
      <w:pPr>
        <w:pStyle w:val="Paragraphedeliste"/>
        <w:spacing w:after="200"/>
        <w:ind w:left="714"/>
        <w:contextualSpacing w:val="0"/>
        <w:jc w:val="both"/>
        <w:rPr>
          <w:sz w:val="24"/>
          <w:szCs w:val="24"/>
          <w:lang w:val="fr-FR"/>
        </w:rPr>
      </w:pPr>
    </w:p>
    <w:p w14:paraId="26C9C874" w14:textId="5E8C2974" w:rsidR="002868A4" w:rsidRDefault="002868A4" w:rsidP="00062091">
      <w:pPr>
        <w:pStyle w:val="Paragraphedeliste"/>
        <w:numPr>
          <w:ilvl w:val="0"/>
          <w:numId w:val="8"/>
        </w:numPr>
        <w:spacing w:after="200"/>
        <w:jc w:val="both"/>
        <w:rPr>
          <w:sz w:val="24"/>
          <w:szCs w:val="24"/>
          <w:lang w:val="fr-FR"/>
        </w:rPr>
      </w:pPr>
      <w:r w:rsidRPr="00062091">
        <w:rPr>
          <w:sz w:val="24"/>
          <w:szCs w:val="24"/>
          <w:lang w:val="fr-FR"/>
        </w:rPr>
        <w:t xml:space="preserve">Veuillez </w:t>
      </w:r>
      <w:r w:rsidR="00C824B7" w:rsidRPr="00062091">
        <w:rPr>
          <w:sz w:val="24"/>
          <w:szCs w:val="24"/>
          <w:lang w:val="fr-FR"/>
        </w:rPr>
        <w:t>préciser</w:t>
      </w:r>
      <w:r w:rsidRPr="00062091">
        <w:rPr>
          <w:sz w:val="24"/>
          <w:szCs w:val="24"/>
          <w:lang w:val="fr-FR"/>
        </w:rPr>
        <w:t xml:space="preserve"> comment une protection </w:t>
      </w:r>
      <w:r w:rsidR="00C824B7" w:rsidRPr="00062091">
        <w:rPr>
          <w:sz w:val="24"/>
          <w:szCs w:val="24"/>
          <w:lang w:val="fr-FR"/>
        </w:rPr>
        <w:t>supplémentaire</w:t>
      </w:r>
      <w:r w:rsidRPr="00062091">
        <w:rPr>
          <w:sz w:val="24"/>
          <w:szCs w:val="24"/>
          <w:lang w:val="fr-FR"/>
        </w:rPr>
        <w:t xml:space="preserve"> est assurée (ou devrait </w:t>
      </w:r>
      <w:r w:rsidR="00C824B7" w:rsidRPr="00062091">
        <w:rPr>
          <w:sz w:val="24"/>
          <w:szCs w:val="24"/>
          <w:lang w:val="fr-FR"/>
        </w:rPr>
        <w:t>être</w:t>
      </w:r>
      <w:r w:rsidRPr="00062091">
        <w:rPr>
          <w:sz w:val="24"/>
          <w:szCs w:val="24"/>
          <w:lang w:val="fr-FR"/>
        </w:rPr>
        <w:t xml:space="preserve"> assurée) aux populations qui peuvent </w:t>
      </w:r>
      <w:r w:rsidR="00C824B7" w:rsidRPr="00062091">
        <w:rPr>
          <w:sz w:val="24"/>
          <w:szCs w:val="24"/>
          <w:lang w:val="fr-FR"/>
        </w:rPr>
        <w:t>être</w:t>
      </w:r>
      <w:r w:rsidRPr="00062091">
        <w:rPr>
          <w:sz w:val="24"/>
          <w:szCs w:val="24"/>
          <w:lang w:val="fr-FR"/>
        </w:rPr>
        <w:t xml:space="preserve"> </w:t>
      </w:r>
      <w:r w:rsidR="00C824B7" w:rsidRPr="00062091">
        <w:rPr>
          <w:sz w:val="24"/>
          <w:szCs w:val="24"/>
          <w:lang w:val="fr-FR"/>
        </w:rPr>
        <w:t>particulièrement</w:t>
      </w:r>
      <w:r w:rsidRPr="00062091">
        <w:rPr>
          <w:sz w:val="24"/>
          <w:szCs w:val="24"/>
          <w:lang w:val="fr-FR"/>
        </w:rPr>
        <w:t xml:space="preserve"> </w:t>
      </w:r>
      <w:r w:rsidR="00C824B7" w:rsidRPr="00062091">
        <w:rPr>
          <w:sz w:val="24"/>
          <w:szCs w:val="24"/>
          <w:lang w:val="fr-FR"/>
        </w:rPr>
        <w:t>vulnérables</w:t>
      </w:r>
      <w:r w:rsidRPr="00062091">
        <w:rPr>
          <w:sz w:val="24"/>
          <w:szCs w:val="24"/>
          <w:lang w:val="fr-FR"/>
        </w:rPr>
        <w:t xml:space="preserve"> aux environnements toxiques (par exemple, les femmes, les enfants, les personnes vivant dans la pauvreté, les membres des peuples autochtones et des </w:t>
      </w:r>
      <w:r w:rsidR="00C824B7" w:rsidRPr="00062091">
        <w:rPr>
          <w:sz w:val="24"/>
          <w:szCs w:val="24"/>
          <w:lang w:val="fr-FR"/>
        </w:rPr>
        <w:t>communautés</w:t>
      </w:r>
      <w:r w:rsidRPr="00062091">
        <w:rPr>
          <w:sz w:val="24"/>
          <w:szCs w:val="24"/>
          <w:lang w:val="fr-FR"/>
        </w:rPr>
        <w:t xml:space="preserve"> traditionnelles, les personnes </w:t>
      </w:r>
      <w:r w:rsidR="00C824B7" w:rsidRPr="00062091">
        <w:rPr>
          <w:sz w:val="24"/>
          <w:szCs w:val="24"/>
          <w:lang w:val="fr-FR"/>
        </w:rPr>
        <w:t>âgées</w:t>
      </w:r>
      <w:r w:rsidRPr="00062091">
        <w:rPr>
          <w:sz w:val="24"/>
          <w:szCs w:val="24"/>
          <w:lang w:val="fr-FR"/>
        </w:rPr>
        <w:t>, les personnes handicapées, les minorités ethniques, rac</w:t>
      </w:r>
      <w:r w:rsidR="00AB50F1" w:rsidRPr="00062091">
        <w:rPr>
          <w:sz w:val="24"/>
          <w:szCs w:val="24"/>
          <w:lang w:val="fr-FR"/>
        </w:rPr>
        <w:t>i</w:t>
      </w:r>
      <w:r w:rsidRPr="00062091">
        <w:rPr>
          <w:sz w:val="24"/>
          <w:szCs w:val="24"/>
          <w:lang w:val="fr-FR"/>
        </w:rPr>
        <w:t>ales,</w:t>
      </w:r>
      <w:r w:rsidR="00AB50F1" w:rsidRPr="00062091">
        <w:rPr>
          <w:sz w:val="24"/>
          <w:szCs w:val="24"/>
          <w:lang w:val="fr-FR"/>
        </w:rPr>
        <w:t xml:space="preserve"> religieuses ou autres, les migrants et les personnes déplacées). Comment donner à ces populations les moyens de protéger leurs droits ?</w:t>
      </w:r>
    </w:p>
    <w:p w14:paraId="42EA24B2" w14:textId="77777777" w:rsidR="003B67E6" w:rsidRDefault="003B67E6" w:rsidP="003B67E6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421F3968" w14:textId="44610C56" w:rsidR="003B67E6" w:rsidRDefault="00384E7C" w:rsidP="00860CF3">
      <w:pPr>
        <w:pStyle w:val="Paragraphedeliste"/>
        <w:numPr>
          <w:ilvl w:val="0"/>
          <w:numId w:val="13"/>
        </w:numPr>
        <w:spacing w:after="200"/>
        <w:jc w:val="both"/>
        <w:rPr>
          <w:color w:val="FF0000"/>
          <w:sz w:val="24"/>
          <w:szCs w:val="24"/>
          <w:lang w:val="fr-FR"/>
        </w:rPr>
      </w:pPr>
      <w:r w:rsidRPr="00860CF3">
        <w:rPr>
          <w:color w:val="FF0000"/>
          <w:sz w:val="24"/>
          <w:szCs w:val="24"/>
          <w:lang w:val="fr-FR"/>
        </w:rPr>
        <w:t>Adoption d’une Politique nationale du genre.</w:t>
      </w:r>
    </w:p>
    <w:p w14:paraId="5A230BAB" w14:textId="708C5BFF" w:rsidR="00860CF3" w:rsidRPr="00860CF3" w:rsidRDefault="00860CF3" w:rsidP="00860CF3">
      <w:pPr>
        <w:pStyle w:val="Paragraphedeliste"/>
        <w:numPr>
          <w:ilvl w:val="0"/>
          <w:numId w:val="13"/>
        </w:numPr>
        <w:spacing w:after="200"/>
        <w:jc w:val="both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A travers la mise en œuvre effective de la Politique du genre et autres textes subséquents.</w:t>
      </w:r>
    </w:p>
    <w:p w14:paraId="34AA12B2" w14:textId="77777777" w:rsidR="00384E7C" w:rsidRPr="00384E7C" w:rsidRDefault="00384E7C" w:rsidP="003B67E6">
      <w:pPr>
        <w:pStyle w:val="Paragraphedeliste"/>
        <w:spacing w:after="200"/>
        <w:jc w:val="both"/>
        <w:rPr>
          <w:color w:val="FF0000"/>
          <w:sz w:val="24"/>
          <w:szCs w:val="24"/>
          <w:lang w:val="fr-FR"/>
        </w:rPr>
      </w:pPr>
    </w:p>
    <w:p w14:paraId="29276015" w14:textId="20D8CAAB" w:rsidR="00847711" w:rsidRDefault="00847711" w:rsidP="00860CF3">
      <w:pPr>
        <w:pStyle w:val="Paragraphedeliste"/>
        <w:numPr>
          <w:ilvl w:val="0"/>
          <w:numId w:val="8"/>
        </w:numPr>
        <w:spacing w:after="200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Les actions des Etats à revenu élevé sont-elles liées à l’augmentation des risques d’exposition aux substances toxiques dans les Etats à revenu faible ou </w:t>
      </w:r>
      <w:r w:rsidR="002C2E40" w:rsidRPr="006E7D0F">
        <w:rPr>
          <w:sz w:val="24"/>
          <w:szCs w:val="24"/>
          <w:lang w:val="fr-FR"/>
        </w:rPr>
        <w:t>intermédiaire</w:t>
      </w:r>
      <w:r w:rsidRPr="006E7D0F">
        <w:rPr>
          <w:sz w:val="24"/>
          <w:szCs w:val="24"/>
          <w:lang w:val="fr-FR"/>
        </w:rPr>
        <w:t xml:space="preserve"> ? De quelle </w:t>
      </w:r>
      <w:r w:rsidR="002C2E40" w:rsidRPr="006E7D0F">
        <w:rPr>
          <w:sz w:val="24"/>
          <w:szCs w:val="24"/>
          <w:lang w:val="fr-FR"/>
        </w:rPr>
        <w:t>manière les Etats à revenu élevé devraient-ils aider les Etats à faible revenu à prévenir et à réhabiliter les environnements toxiques ?</w:t>
      </w:r>
    </w:p>
    <w:p w14:paraId="1F690EC8" w14:textId="77777777" w:rsidR="00553B20" w:rsidRDefault="00553B20" w:rsidP="00C555E8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519A5386" w14:textId="72BC8D83" w:rsidR="00EB0FE8" w:rsidRDefault="00EB0FE8" w:rsidP="00EB0FE8">
      <w:pPr>
        <w:pStyle w:val="Paragraphedeliste"/>
        <w:numPr>
          <w:ilvl w:val="0"/>
          <w:numId w:val="14"/>
        </w:numPr>
        <w:spacing w:after="200"/>
        <w:contextualSpacing w:val="0"/>
        <w:jc w:val="both"/>
        <w:rPr>
          <w:color w:val="FF0000"/>
          <w:sz w:val="24"/>
          <w:szCs w:val="24"/>
          <w:lang w:val="fr-FR"/>
        </w:rPr>
      </w:pPr>
      <w:r w:rsidRPr="00EB0FE8">
        <w:rPr>
          <w:color w:val="FF0000"/>
          <w:sz w:val="24"/>
          <w:szCs w:val="24"/>
          <w:lang w:val="fr-FR"/>
        </w:rPr>
        <w:t>Oui les actions des Etats à revenu élevé pourraient être liées à l’augmentation des risques d’exposition aux substances toxiques des Etats à revenu faible ou intermédiaire (Exemple de l’émission des gaz à effet de serre).</w:t>
      </w:r>
    </w:p>
    <w:p w14:paraId="4F8851DB" w14:textId="500329AD" w:rsidR="00EB0FE8" w:rsidRPr="00EB0FE8" w:rsidRDefault="00EB0FE8" w:rsidP="00EB0FE8">
      <w:pPr>
        <w:pStyle w:val="Paragraphedeliste"/>
        <w:numPr>
          <w:ilvl w:val="0"/>
          <w:numId w:val="14"/>
        </w:numPr>
        <w:spacing w:after="200"/>
        <w:contextualSpacing w:val="0"/>
        <w:jc w:val="both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A travers</w:t>
      </w:r>
      <w:r>
        <w:rPr>
          <w:color w:val="FF0000"/>
          <w:sz w:val="24"/>
          <w:szCs w:val="24"/>
          <w:lang w:val="fr-FR"/>
        </w:rPr>
        <w:t xml:space="preserve"> l’application effective du principe pollueur-payeur.</w:t>
      </w:r>
    </w:p>
    <w:p w14:paraId="67F12A0A" w14:textId="07001215" w:rsidR="002C2E40" w:rsidRDefault="002C2E40" w:rsidP="00860CF3">
      <w:pPr>
        <w:pStyle w:val="Paragraphedeliste"/>
        <w:numPr>
          <w:ilvl w:val="0"/>
          <w:numId w:val="8"/>
        </w:numPr>
        <w:spacing w:after="200"/>
        <w:ind w:left="714" w:hanging="357"/>
        <w:contextualSpacing w:val="0"/>
        <w:jc w:val="both"/>
        <w:rPr>
          <w:sz w:val="24"/>
          <w:szCs w:val="24"/>
          <w:lang w:val="fr-FR"/>
        </w:rPr>
      </w:pPr>
      <w:r w:rsidRPr="006E7D0F">
        <w:rPr>
          <w:sz w:val="24"/>
          <w:szCs w:val="24"/>
          <w:lang w:val="fr-FR"/>
        </w:rPr>
        <w:t xml:space="preserve">Pour les entreprises, quelles politiques ou pratiques sont </w:t>
      </w:r>
      <w:r w:rsidR="00C555E8">
        <w:rPr>
          <w:sz w:val="24"/>
          <w:szCs w:val="24"/>
          <w:lang w:val="fr-FR"/>
        </w:rPr>
        <w:t>en</w:t>
      </w:r>
      <w:r w:rsidR="00051804">
        <w:rPr>
          <w:sz w:val="24"/>
          <w:szCs w:val="24"/>
          <w:lang w:val="fr-FR"/>
        </w:rPr>
        <w:t xml:space="preserve"> </w:t>
      </w:r>
      <w:r w:rsidRPr="006E7D0F">
        <w:rPr>
          <w:sz w:val="24"/>
          <w:szCs w:val="24"/>
          <w:lang w:val="fr-FR"/>
        </w:rPr>
        <w:t xml:space="preserve">place pour garantir que les activités, les produits et les </w:t>
      </w:r>
      <w:r w:rsidR="00FA22AC" w:rsidRPr="006E7D0F">
        <w:rPr>
          <w:sz w:val="24"/>
          <w:szCs w:val="24"/>
          <w:lang w:val="fr-FR"/>
        </w:rPr>
        <w:t>services</w:t>
      </w:r>
      <w:r w:rsidRPr="006E7D0F">
        <w:rPr>
          <w:sz w:val="24"/>
          <w:szCs w:val="24"/>
          <w:lang w:val="fr-FR"/>
        </w:rPr>
        <w:t xml:space="preserve"> préviennent les risques d’exposition aux substances toxiques et respectent </w:t>
      </w:r>
      <w:r w:rsidR="0020190C" w:rsidRPr="006E7D0F">
        <w:rPr>
          <w:sz w:val="24"/>
          <w:szCs w:val="24"/>
          <w:lang w:val="fr-FR"/>
        </w:rPr>
        <w:t>les normes relatives aux droits humains, en particulier celles énoncées dans les principes directeurs relatifs aux entreprises et aux droits de l’homme ?</w:t>
      </w:r>
    </w:p>
    <w:p w14:paraId="750657A8" w14:textId="28C271A4" w:rsidR="00C555E8" w:rsidRDefault="00C555E8" w:rsidP="00C555E8">
      <w:pPr>
        <w:pStyle w:val="Paragraphedeliste"/>
        <w:spacing w:after="200"/>
        <w:contextualSpacing w:val="0"/>
        <w:jc w:val="both"/>
        <w:rPr>
          <w:sz w:val="24"/>
          <w:szCs w:val="24"/>
          <w:lang w:val="fr-FR"/>
        </w:rPr>
      </w:pPr>
      <w:r w:rsidRPr="00D17F9E">
        <w:rPr>
          <w:b/>
          <w:sz w:val="24"/>
          <w:szCs w:val="24"/>
          <w:u w:val="single"/>
          <w:lang w:val="fr-FR"/>
        </w:rPr>
        <w:t>Réponse</w:t>
      </w:r>
      <w:r w:rsidRPr="00D17F9E"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</w:p>
    <w:p w14:paraId="468E7B64" w14:textId="7EA6D42C" w:rsidR="00C555E8" w:rsidRPr="00C555E8" w:rsidRDefault="00C555E8" w:rsidP="00C555E8">
      <w:pPr>
        <w:pStyle w:val="Paragraphedeliste"/>
        <w:spacing w:after="200"/>
        <w:contextualSpacing w:val="0"/>
        <w:jc w:val="both"/>
        <w:rPr>
          <w:color w:val="FF0000"/>
          <w:sz w:val="24"/>
          <w:szCs w:val="24"/>
          <w:lang w:val="fr-FR"/>
        </w:rPr>
      </w:pPr>
      <w:r w:rsidRPr="00C555E8">
        <w:rPr>
          <w:color w:val="FF0000"/>
          <w:sz w:val="24"/>
          <w:szCs w:val="24"/>
          <w:lang w:val="fr-FR"/>
        </w:rPr>
        <w:t>La responsabilité sociétale, le principe pollueur-payeur, les évaluations environnementales.</w:t>
      </w:r>
      <w:bookmarkStart w:id="0" w:name="_GoBack"/>
      <w:bookmarkEnd w:id="0"/>
    </w:p>
    <w:sectPr w:rsidR="00C555E8" w:rsidRPr="00C55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89A"/>
    <w:multiLevelType w:val="hybridMultilevel"/>
    <w:tmpl w:val="B8841874"/>
    <w:lvl w:ilvl="0" w:tplc="E8EE97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E6DD6"/>
    <w:multiLevelType w:val="hybridMultilevel"/>
    <w:tmpl w:val="6D1C53A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06E8E"/>
    <w:multiLevelType w:val="hybridMultilevel"/>
    <w:tmpl w:val="05C6BAA6"/>
    <w:lvl w:ilvl="0" w:tplc="040C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6" w:hanging="360"/>
      </w:pPr>
    </w:lvl>
    <w:lvl w:ilvl="2" w:tplc="040C001B" w:tentative="1">
      <w:start w:val="1"/>
      <w:numFmt w:val="lowerRoman"/>
      <w:lvlText w:val="%3."/>
      <w:lvlJc w:val="right"/>
      <w:pPr>
        <w:ind w:left="1446" w:hanging="180"/>
      </w:pPr>
    </w:lvl>
    <w:lvl w:ilvl="3" w:tplc="040C000F" w:tentative="1">
      <w:start w:val="1"/>
      <w:numFmt w:val="decimal"/>
      <w:lvlText w:val="%4."/>
      <w:lvlJc w:val="left"/>
      <w:pPr>
        <w:ind w:left="2166" w:hanging="360"/>
      </w:pPr>
    </w:lvl>
    <w:lvl w:ilvl="4" w:tplc="040C0019" w:tentative="1">
      <w:start w:val="1"/>
      <w:numFmt w:val="lowerLetter"/>
      <w:lvlText w:val="%5."/>
      <w:lvlJc w:val="left"/>
      <w:pPr>
        <w:ind w:left="2886" w:hanging="360"/>
      </w:pPr>
    </w:lvl>
    <w:lvl w:ilvl="5" w:tplc="040C001B" w:tentative="1">
      <w:start w:val="1"/>
      <w:numFmt w:val="lowerRoman"/>
      <w:lvlText w:val="%6."/>
      <w:lvlJc w:val="right"/>
      <w:pPr>
        <w:ind w:left="3606" w:hanging="180"/>
      </w:pPr>
    </w:lvl>
    <w:lvl w:ilvl="6" w:tplc="040C000F" w:tentative="1">
      <w:start w:val="1"/>
      <w:numFmt w:val="decimal"/>
      <w:lvlText w:val="%7."/>
      <w:lvlJc w:val="left"/>
      <w:pPr>
        <w:ind w:left="4326" w:hanging="360"/>
      </w:pPr>
    </w:lvl>
    <w:lvl w:ilvl="7" w:tplc="040C0019" w:tentative="1">
      <w:start w:val="1"/>
      <w:numFmt w:val="lowerLetter"/>
      <w:lvlText w:val="%8."/>
      <w:lvlJc w:val="left"/>
      <w:pPr>
        <w:ind w:left="5046" w:hanging="360"/>
      </w:pPr>
    </w:lvl>
    <w:lvl w:ilvl="8" w:tplc="040C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38F00256"/>
    <w:multiLevelType w:val="hybridMultilevel"/>
    <w:tmpl w:val="E7AC38CE"/>
    <w:lvl w:ilvl="0" w:tplc="B7FE33A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3B2959"/>
    <w:multiLevelType w:val="hybridMultilevel"/>
    <w:tmpl w:val="8E5E52F6"/>
    <w:lvl w:ilvl="0" w:tplc="7AF2FB3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E783116"/>
    <w:multiLevelType w:val="hybridMultilevel"/>
    <w:tmpl w:val="BC3E4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919C7"/>
    <w:multiLevelType w:val="hybridMultilevel"/>
    <w:tmpl w:val="871E239C"/>
    <w:lvl w:ilvl="0" w:tplc="9F1A0ED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62E0E4E"/>
    <w:multiLevelType w:val="hybridMultilevel"/>
    <w:tmpl w:val="6A024C00"/>
    <w:lvl w:ilvl="0" w:tplc="3D5C6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531A2"/>
    <w:multiLevelType w:val="hybridMultilevel"/>
    <w:tmpl w:val="BFAA5B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42C9"/>
    <w:multiLevelType w:val="hybridMultilevel"/>
    <w:tmpl w:val="AC1088E6"/>
    <w:lvl w:ilvl="0" w:tplc="4F6077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2346535"/>
    <w:multiLevelType w:val="hybridMultilevel"/>
    <w:tmpl w:val="8D30E6CA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768CC"/>
    <w:multiLevelType w:val="hybridMultilevel"/>
    <w:tmpl w:val="2A5669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0D4E4D"/>
    <w:multiLevelType w:val="hybridMultilevel"/>
    <w:tmpl w:val="FA36A9A2"/>
    <w:lvl w:ilvl="0" w:tplc="A1827C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7F900571"/>
    <w:multiLevelType w:val="hybridMultilevel"/>
    <w:tmpl w:val="C6765036"/>
    <w:lvl w:ilvl="0" w:tplc="AA5E6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02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07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A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6B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25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9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CB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C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1"/>
    <w:rsid w:val="00051804"/>
    <w:rsid w:val="00062091"/>
    <w:rsid w:val="000A3CB1"/>
    <w:rsid w:val="0020190C"/>
    <w:rsid w:val="0026105A"/>
    <w:rsid w:val="002868A4"/>
    <w:rsid w:val="00297A1B"/>
    <w:rsid w:val="002C2E40"/>
    <w:rsid w:val="00316D56"/>
    <w:rsid w:val="003332C5"/>
    <w:rsid w:val="00384E7C"/>
    <w:rsid w:val="00391CE4"/>
    <w:rsid w:val="003B67E6"/>
    <w:rsid w:val="003C753C"/>
    <w:rsid w:val="00442C01"/>
    <w:rsid w:val="005352DE"/>
    <w:rsid w:val="00553B20"/>
    <w:rsid w:val="00607E05"/>
    <w:rsid w:val="00655863"/>
    <w:rsid w:val="00657DF1"/>
    <w:rsid w:val="006E7D0F"/>
    <w:rsid w:val="00795780"/>
    <w:rsid w:val="00847711"/>
    <w:rsid w:val="00860CF3"/>
    <w:rsid w:val="0087293B"/>
    <w:rsid w:val="00AB50F1"/>
    <w:rsid w:val="00AD1892"/>
    <w:rsid w:val="00BB2724"/>
    <w:rsid w:val="00C02D5C"/>
    <w:rsid w:val="00C555E8"/>
    <w:rsid w:val="00C824B7"/>
    <w:rsid w:val="00CD132D"/>
    <w:rsid w:val="00D17F9E"/>
    <w:rsid w:val="00DB7581"/>
    <w:rsid w:val="00E26B3E"/>
    <w:rsid w:val="00EB0FE8"/>
    <w:rsid w:val="00EB474A"/>
    <w:rsid w:val="00EF6DCC"/>
    <w:rsid w:val="00F66FB2"/>
    <w:rsid w:val="00FA22AC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B3C4"/>
  <w15:docId w15:val="{8011266D-0D05-4B26-B260-AA7F8E4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82FD-A6B9-4F22-8E4F-B5DA9DA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2021-08-10T08:02:00Z</dcterms:created>
  <dcterms:modified xsi:type="dcterms:W3CDTF">2021-10-25T13:10:00Z</dcterms:modified>
</cp:coreProperties>
</file>