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D58A" w14:textId="66857C80" w:rsidR="00EA2EC5" w:rsidRPr="003F3E37" w:rsidRDefault="00EA2EC5" w:rsidP="008D2206">
      <w:pPr>
        <w:pStyle w:val="Heading1"/>
        <w:rPr>
          <w:rFonts w:ascii="Palatino Linotype" w:hAnsi="Palatino Linotype"/>
          <w:b/>
          <w:bCs/>
          <w:color w:val="000000" w:themeColor="text1"/>
        </w:rPr>
      </w:pPr>
      <w:r w:rsidRPr="003F3E37">
        <w:rPr>
          <w:rFonts w:ascii="Palatino Linotype" w:hAnsi="Palatino Linotype"/>
          <w:b/>
          <w:bCs/>
          <w:color w:val="000000" w:themeColor="text1"/>
        </w:rPr>
        <w:t>Submission of information on toxic</w:t>
      </w:r>
      <w:r w:rsidR="002E0B60" w:rsidRPr="003F3E37">
        <w:rPr>
          <w:rFonts w:ascii="Palatino Linotype" w:hAnsi="Palatino Linotype"/>
          <w:b/>
          <w:bCs/>
          <w:color w:val="000000" w:themeColor="text1"/>
        </w:rPr>
        <w:t xml:space="preserve"> environments</w:t>
      </w:r>
      <w:r w:rsidRPr="003F3E37">
        <w:rPr>
          <w:rFonts w:ascii="Palatino Linotype" w:hAnsi="Palatino Linotype"/>
          <w:b/>
          <w:bCs/>
          <w:color w:val="000000" w:themeColor="text1"/>
        </w:rPr>
        <w:t xml:space="preserve"> and human rights</w:t>
      </w:r>
    </w:p>
    <w:p w14:paraId="2805BDF4" w14:textId="2D09A6F7" w:rsidR="009E228E" w:rsidRPr="00483E28" w:rsidRDefault="00EA2EC5" w:rsidP="003F3E37">
      <w:pPr>
        <w:tabs>
          <w:tab w:val="left" w:pos="5680"/>
        </w:tabs>
        <w:spacing w:after="0" w:line="240" w:lineRule="auto"/>
        <w:jc w:val="both"/>
        <w:rPr>
          <w:rFonts w:ascii="Palatino Linotype" w:hAnsi="Palatino Linotype"/>
        </w:rPr>
      </w:pPr>
      <w:r w:rsidRPr="00483E28">
        <w:rPr>
          <w:rFonts w:ascii="Palatino Linotype" w:hAnsi="Palatino Linotype"/>
        </w:rPr>
        <w:t>Thank you for the opportunity to submit information related to toxic</w:t>
      </w:r>
      <w:r w:rsidR="00B424C7" w:rsidRPr="00483E28">
        <w:rPr>
          <w:rFonts w:ascii="Palatino Linotype" w:hAnsi="Palatino Linotype"/>
        </w:rPr>
        <w:t xml:space="preserve"> environment</w:t>
      </w:r>
      <w:r w:rsidR="00402C03" w:rsidRPr="00483E28">
        <w:rPr>
          <w:rFonts w:ascii="Palatino Linotype" w:hAnsi="Palatino Linotype"/>
        </w:rPr>
        <w:t>s</w:t>
      </w:r>
      <w:r w:rsidRPr="00483E28">
        <w:rPr>
          <w:rFonts w:ascii="Palatino Linotype" w:hAnsi="Palatino Linotype"/>
        </w:rPr>
        <w:t xml:space="preserve"> and its implications for human rights. </w:t>
      </w:r>
      <w:r w:rsidR="009E228E" w:rsidRPr="00483E28">
        <w:rPr>
          <w:rFonts w:ascii="Palatino Linotype" w:hAnsi="Palatino Linotype"/>
        </w:rPr>
        <w:t>To keep the submission within the word limits, we have provid</w:t>
      </w:r>
      <w:r w:rsidR="009D5F26" w:rsidRPr="00483E28">
        <w:rPr>
          <w:rFonts w:ascii="Palatino Linotype" w:hAnsi="Palatino Linotype"/>
        </w:rPr>
        <w:t>ed</w:t>
      </w:r>
      <w:r w:rsidR="009E228E" w:rsidRPr="00483E28">
        <w:rPr>
          <w:rFonts w:ascii="Palatino Linotype" w:hAnsi="Palatino Linotype"/>
        </w:rPr>
        <w:t xml:space="preserve"> brief context and </w:t>
      </w:r>
      <w:r w:rsidR="008C1392" w:rsidRPr="00483E28">
        <w:rPr>
          <w:rFonts w:ascii="Palatino Linotype" w:hAnsi="Palatino Linotype"/>
        </w:rPr>
        <w:t>hyper</w:t>
      </w:r>
      <w:r w:rsidR="009E228E" w:rsidRPr="00483E28">
        <w:rPr>
          <w:rFonts w:ascii="Palatino Linotype" w:hAnsi="Palatino Linotype"/>
        </w:rPr>
        <w:t xml:space="preserve">links to reports with more substantive information. </w:t>
      </w:r>
    </w:p>
    <w:p w14:paraId="7FC3841D" w14:textId="77777777" w:rsidR="009E228E" w:rsidRPr="00483E28" w:rsidRDefault="009E228E" w:rsidP="003F3E37">
      <w:pPr>
        <w:tabs>
          <w:tab w:val="left" w:pos="5680"/>
        </w:tabs>
        <w:spacing w:after="0" w:line="240" w:lineRule="auto"/>
        <w:jc w:val="both"/>
        <w:rPr>
          <w:rFonts w:ascii="Palatino Linotype" w:hAnsi="Palatino Linotype"/>
        </w:rPr>
      </w:pPr>
    </w:p>
    <w:p w14:paraId="442FA222" w14:textId="6C8F0B42" w:rsidR="009E228E" w:rsidRPr="00483E28" w:rsidRDefault="003604DB" w:rsidP="003F3E37">
      <w:pPr>
        <w:tabs>
          <w:tab w:val="left" w:pos="5680"/>
        </w:tabs>
        <w:spacing w:after="0" w:line="240" w:lineRule="auto"/>
        <w:jc w:val="both"/>
        <w:rPr>
          <w:rFonts w:ascii="Palatino Linotype" w:hAnsi="Palatino Linotype"/>
        </w:rPr>
      </w:pPr>
      <w:r w:rsidRPr="00483E28">
        <w:rPr>
          <w:rFonts w:ascii="Palatino Linotype" w:hAnsi="Palatino Linotype"/>
        </w:rPr>
        <w:t>We have focused on specific chemicals/groups of chemicals</w:t>
      </w:r>
      <w:r w:rsidR="00EB2241" w:rsidRPr="00483E28">
        <w:rPr>
          <w:rFonts w:ascii="Palatino Linotype" w:hAnsi="Palatino Linotype"/>
        </w:rPr>
        <w:t xml:space="preserve"> since many of these have specific causes, hazards and need specific solutions</w:t>
      </w:r>
      <w:r w:rsidR="00A648B3" w:rsidRPr="00483E28">
        <w:rPr>
          <w:rFonts w:ascii="Palatino Linotype" w:hAnsi="Palatino Linotype"/>
        </w:rPr>
        <w:t>,</w:t>
      </w:r>
      <w:r w:rsidR="00EB2241" w:rsidRPr="00483E28">
        <w:rPr>
          <w:rFonts w:ascii="Palatino Linotype" w:hAnsi="Palatino Linotype"/>
        </w:rPr>
        <w:t xml:space="preserve"> rather than</w:t>
      </w:r>
      <w:r w:rsidR="00A648B3" w:rsidRPr="00483E28">
        <w:rPr>
          <w:rFonts w:ascii="Palatino Linotype" w:hAnsi="Palatino Linotype"/>
        </w:rPr>
        <w:t xml:space="preserve"> providing information about more general pollution. We believe th</w:t>
      </w:r>
      <w:r w:rsidR="00876DD5" w:rsidRPr="00483E28">
        <w:rPr>
          <w:rFonts w:ascii="Palatino Linotype" w:hAnsi="Palatino Linotype"/>
        </w:rPr>
        <w:t>e</w:t>
      </w:r>
      <w:r w:rsidR="008D6920" w:rsidRPr="00483E28">
        <w:rPr>
          <w:rFonts w:ascii="Palatino Linotype" w:hAnsi="Palatino Linotype"/>
        </w:rPr>
        <w:t xml:space="preserve"> focus on chemicals</w:t>
      </w:r>
      <w:r w:rsidR="00A648B3" w:rsidRPr="00483E28">
        <w:rPr>
          <w:rFonts w:ascii="Palatino Linotype" w:hAnsi="Palatino Linotype"/>
        </w:rPr>
        <w:t xml:space="preserve"> is </w:t>
      </w:r>
      <w:r w:rsidR="009E228E" w:rsidRPr="00483E28">
        <w:rPr>
          <w:rFonts w:ascii="Palatino Linotype" w:hAnsi="Palatino Linotype"/>
        </w:rPr>
        <w:t>vital</w:t>
      </w:r>
      <w:r w:rsidR="008D6920" w:rsidRPr="00483E28">
        <w:rPr>
          <w:rFonts w:ascii="Palatino Linotype" w:hAnsi="Palatino Linotype"/>
        </w:rPr>
        <w:t xml:space="preserve"> </w:t>
      </w:r>
      <w:r w:rsidR="00CD2526" w:rsidRPr="00483E28">
        <w:rPr>
          <w:rFonts w:ascii="Palatino Linotype" w:hAnsi="Palatino Linotype"/>
        </w:rPr>
        <w:t xml:space="preserve">for accountability of industry and states, as well as to identify interventions and solutions. </w:t>
      </w:r>
    </w:p>
    <w:p w14:paraId="46AFD697" w14:textId="62C8432F" w:rsidR="00E17930" w:rsidRPr="00483E28" w:rsidRDefault="00E17930" w:rsidP="003F3E37">
      <w:pPr>
        <w:tabs>
          <w:tab w:val="left" w:pos="5680"/>
        </w:tabs>
        <w:spacing w:after="0" w:line="240" w:lineRule="auto"/>
        <w:jc w:val="both"/>
        <w:rPr>
          <w:rFonts w:ascii="Palatino Linotype" w:hAnsi="Palatino Linotype"/>
        </w:rPr>
      </w:pPr>
    </w:p>
    <w:p w14:paraId="37C6443B" w14:textId="1A2627B3" w:rsidR="00E17930" w:rsidRPr="00483E28" w:rsidRDefault="00E17930"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Overall, </w:t>
      </w:r>
      <w:r w:rsidR="006E1D95" w:rsidRPr="00483E28">
        <w:rPr>
          <w:rFonts w:ascii="Palatino Linotype" w:hAnsi="Palatino Linotype"/>
        </w:rPr>
        <w:t xml:space="preserve">a wide range of </w:t>
      </w:r>
      <w:r w:rsidRPr="00483E28">
        <w:rPr>
          <w:rFonts w:ascii="Palatino Linotype" w:hAnsi="Palatino Linotype"/>
        </w:rPr>
        <w:t>violations of human rights can be seen for all of these toxic environments</w:t>
      </w:r>
      <w:r w:rsidR="006E1D95" w:rsidRPr="00483E28">
        <w:rPr>
          <w:rFonts w:ascii="Palatino Linotype" w:hAnsi="Palatino Linotype"/>
        </w:rPr>
        <w:t>, such as</w:t>
      </w:r>
      <w:r w:rsidRPr="00483E28">
        <w:rPr>
          <w:rFonts w:ascii="Palatino Linotype" w:hAnsi="Palatino Linotype"/>
        </w:rPr>
        <w:t xml:space="preserve">: </w:t>
      </w:r>
      <w:r w:rsidR="00F315AE" w:rsidRPr="00483E28">
        <w:rPr>
          <w:rFonts w:ascii="Palatino Linotype" w:hAnsi="Palatino Linotype"/>
        </w:rPr>
        <w:t>the rights to life</w:t>
      </w:r>
      <w:r w:rsidR="006E1D95" w:rsidRPr="00483E28">
        <w:rPr>
          <w:rFonts w:ascii="Palatino Linotype" w:hAnsi="Palatino Linotype"/>
        </w:rPr>
        <w:t xml:space="preserve"> and</w:t>
      </w:r>
      <w:r w:rsidR="00F315AE" w:rsidRPr="00483E28">
        <w:rPr>
          <w:rFonts w:ascii="Palatino Linotype" w:hAnsi="Palatino Linotype"/>
        </w:rPr>
        <w:t xml:space="preserve"> health</w:t>
      </w:r>
      <w:r w:rsidR="006E1D95" w:rsidRPr="00483E28">
        <w:rPr>
          <w:rFonts w:ascii="Palatino Linotype" w:hAnsi="Palatino Linotype"/>
        </w:rPr>
        <w:t>;</w:t>
      </w:r>
      <w:r w:rsidR="00F315AE" w:rsidRPr="00483E28">
        <w:rPr>
          <w:rFonts w:ascii="Palatino Linotype" w:hAnsi="Palatino Linotype"/>
        </w:rPr>
        <w:t xml:space="preserve"> </w:t>
      </w:r>
      <w:r w:rsidR="00B93DCF" w:rsidRPr="00483E28">
        <w:rPr>
          <w:rFonts w:ascii="Palatino Linotype" w:hAnsi="Palatino Linotype"/>
        </w:rPr>
        <w:t xml:space="preserve">clean </w:t>
      </w:r>
      <w:r w:rsidR="00F315AE" w:rsidRPr="00483E28">
        <w:rPr>
          <w:rFonts w:ascii="Palatino Linotype" w:hAnsi="Palatino Linotype"/>
        </w:rPr>
        <w:t>water</w:t>
      </w:r>
      <w:r w:rsidR="00B93DCF" w:rsidRPr="00483E28">
        <w:rPr>
          <w:rFonts w:ascii="Palatino Linotype" w:hAnsi="Palatino Linotype"/>
        </w:rPr>
        <w:t xml:space="preserve"> and </w:t>
      </w:r>
      <w:r w:rsidR="00F315AE" w:rsidRPr="00483E28">
        <w:rPr>
          <w:rFonts w:ascii="Palatino Linotype" w:hAnsi="Palatino Linotype"/>
        </w:rPr>
        <w:t>food</w:t>
      </w:r>
      <w:r w:rsidR="006E1D95" w:rsidRPr="00483E28">
        <w:rPr>
          <w:rFonts w:ascii="Palatino Linotype" w:hAnsi="Palatino Linotype"/>
        </w:rPr>
        <w:t>; safe</w:t>
      </w:r>
      <w:r w:rsidR="00F315AE" w:rsidRPr="00483E28">
        <w:rPr>
          <w:rFonts w:ascii="Palatino Linotype" w:hAnsi="Palatino Linotype"/>
        </w:rPr>
        <w:t xml:space="preserve"> livelihoods</w:t>
      </w:r>
      <w:r w:rsidR="006E1D95" w:rsidRPr="00483E28">
        <w:rPr>
          <w:rFonts w:ascii="Palatino Linotype" w:hAnsi="Palatino Linotype"/>
        </w:rPr>
        <w:t>;</w:t>
      </w:r>
      <w:r w:rsidR="00F315AE" w:rsidRPr="00483E28">
        <w:rPr>
          <w:rFonts w:ascii="Palatino Linotype" w:hAnsi="Palatino Linotype"/>
        </w:rPr>
        <w:t xml:space="preserve"> a safe, clean, </w:t>
      </w:r>
      <w:r w:rsidR="00DD3D90" w:rsidRPr="00483E28">
        <w:rPr>
          <w:rFonts w:ascii="Palatino Linotype" w:hAnsi="Palatino Linotype"/>
        </w:rPr>
        <w:t>healthy,</w:t>
      </w:r>
      <w:r w:rsidR="00F315AE" w:rsidRPr="00483E28">
        <w:rPr>
          <w:rFonts w:ascii="Palatino Linotype" w:hAnsi="Palatino Linotype"/>
        </w:rPr>
        <w:t xml:space="preserve"> and sustainable environment</w:t>
      </w:r>
      <w:r w:rsidR="006E1D95" w:rsidRPr="00483E28">
        <w:rPr>
          <w:rFonts w:ascii="Palatino Linotype" w:hAnsi="Palatino Linotype"/>
        </w:rPr>
        <w:t>;</w:t>
      </w:r>
      <w:r w:rsidR="00F315AE" w:rsidRPr="00483E28">
        <w:rPr>
          <w:rFonts w:ascii="Palatino Linotype" w:hAnsi="Palatino Linotype"/>
        </w:rPr>
        <w:t xml:space="preserve"> and Indigenous peoples' rights.</w:t>
      </w:r>
    </w:p>
    <w:p w14:paraId="7A7704E1" w14:textId="77777777" w:rsidR="008D2206" w:rsidRPr="00483E28" w:rsidRDefault="008D2206" w:rsidP="003F3E37">
      <w:pPr>
        <w:tabs>
          <w:tab w:val="left" w:pos="5680"/>
        </w:tabs>
        <w:spacing w:after="0" w:line="240" w:lineRule="auto"/>
        <w:jc w:val="both"/>
        <w:rPr>
          <w:rFonts w:ascii="Palatino Linotype" w:hAnsi="Palatino Linotype"/>
        </w:rPr>
      </w:pPr>
    </w:p>
    <w:p w14:paraId="2470BE1C" w14:textId="21F870FC" w:rsidR="00CD2526" w:rsidRPr="00483E28" w:rsidRDefault="00CD2526" w:rsidP="003F3E37">
      <w:pPr>
        <w:pStyle w:val="Heading2"/>
        <w:jc w:val="both"/>
        <w:rPr>
          <w:rFonts w:ascii="Palatino Linotype" w:hAnsi="Palatino Linotype"/>
          <w:b/>
          <w:bCs/>
          <w:color w:val="000000" w:themeColor="text1"/>
          <w:sz w:val="22"/>
          <w:szCs w:val="22"/>
        </w:rPr>
      </w:pPr>
      <w:r w:rsidRPr="00483E28">
        <w:rPr>
          <w:rFonts w:ascii="Palatino Linotype" w:hAnsi="Palatino Linotype"/>
          <w:b/>
          <w:bCs/>
          <w:color w:val="000000" w:themeColor="text1"/>
          <w:sz w:val="22"/>
          <w:szCs w:val="22"/>
        </w:rPr>
        <w:t>Examples of toxic environments</w:t>
      </w:r>
      <w:r w:rsidR="00FD40C8" w:rsidRPr="00483E28">
        <w:rPr>
          <w:rFonts w:ascii="Palatino Linotype" w:hAnsi="Palatino Linotype"/>
          <w:b/>
          <w:bCs/>
          <w:color w:val="000000" w:themeColor="text1"/>
          <w:sz w:val="22"/>
          <w:szCs w:val="22"/>
        </w:rPr>
        <w:t xml:space="preserve"> and especially impacted groups</w:t>
      </w:r>
      <w:r w:rsidRPr="00483E28">
        <w:rPr>
          <w:rFonts w:ascii="Palatino Linotype" w:hAnsi="Palatino Linotype"/>
          <w:b/>
          <w:bCs/>
          <w:color w:val="000000" w:themeColor="text1"/>
          <w:sz w:val="22"/>
          <w:szCs w:val="22"/>
        </w:rPr>
        <w:t xml:space="preserve"> </w:t>
      </w:r>
      <w:r w:rsidR="00FD40C8" w:rsidRPr="00483E28">
        <w:rPr>
          <w:rFonts w:ascii="Palatino Linotype" w:hAnsi="Palatino Linotype"/>
          <w:b/>
          <w:bCs/>
          <w:color w:val="000000" w:themeColor="text1"/>
          <w:sz w:val="22"/>
          <w:szCs w:val="22"/>
        </w:rPr>
        <w:t xml:space="preserve">that </w:t>
      </w:r>
      <w:r w:rsidRPr="00483E28">
        <w:rPr>
          <w:rFonts w:ascii="Palatino Linotype" w:hAnsi="Palatino Linotype"/>
          <w:b/>
          <w:bCs/>
          <w:color w:val="000000" w:themeColor="text1"/>
          <w:sz w:val="22"/>
          <w:szCs w:val="22"/>
        </w:rPr>
        <w:t>adversely impact human rights</w:t>
      </w:r>
    </w:p>
    <w:p w14:paraId="1C026711" w14:textId="67A3DEDF" w:rsidR="008D2206" w:rsidRPr="00483E28" w:rsidRDefault="008D2206" w:rsidP="003F3E37">
      <w:pPr>
        <w:pStyle w:val="Heading3"/>
        <w:jc w:val="both"/>
        <w:rPr>
          <w:rFonts w:ascii="Palatino Linotype" w:hAnsi="Palatino Linotype"/>
          <w:sz w:val="22"/>
          <w:szCs w:val="22"/>
          <w:u w:val="single"/>
        </w:rPr>
      </w:pPr>
      <w:r w:rsidRPr="00483E28">
        <w:rPr>
          <w:rFonts w:ascii="Palatino Linotype" w:hAnsi="Palatino Linotype"/>
          <w:sz w:val="22"/>
          <w:szCs w:val="22"/>
          <w:u w:val="single"/>
        </w:rPr>
        <w:t>Mercury exposure</w:t>
      </w:r>
    </w:p>
    <w:p w14:paraId="52BC25E9" w14:textId="4BA2CB87" w:rsidR="00EA2EC5" w:rsidRPr="00483E28" w:rsidRDefault="008D2206"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Mercury is a well-known neurotoxin that damages the kidneys and many body systems including the nervous, cardiovascular, respiratory, gastrointestinal, hematologic, immune, and reproductive systems. </w:t>
      </w:r>
    </w:p>
    <w:p w14:paraId="3C41AF50" w14:textId="50E6946F" w:rsidR="001044A6" w:rsidRPr="00483E28" w:rsidRDefault="001044A6" w:rsidP="003F3E37">
      <w:pPr>
        <w:tabs>
          <w:tab w:val="left" w:pos="5680"/>
        </w:tabs>
        <w:spacing w:after="0" w:line="240" w:lineRule="auto"/>
        <w:jc w:val="both"/>
        <w:rPr>
          <w:rFonts w:ascii="Palatino Linotype" w:hAnsi="Palatino Linotype"/>
        </w:rPr>
      </w:pPr>
    </w:p>
    <w:p w14:paraId="37C45BF0" w14:textId="3BAD4DEC" w:rsidR="00901DC7" w:rsidRPr="00483E28" w:rsidRDefault="00561B70" w:rsidP="003F3E37">
      <w:pPr>
        <w:tabs>
          <w:tab w:val="left" w:pos="5680"/>
        </w:tabs>
        <w:spacing w:after="0" w:line="240" w:lineRule="auto"/>
        <w:jc w:val="both"/>
        <w:rPr>
          <w:rFonts w:ascii="Palatino Linotype" w:hAnsi="Palatino Linotype"/>
        </w:rPr>
      </w:pPr>
      <w:r w:rsidRPr="00483E28">
        <w:rPr>
          <w:rFonts w:ascii="Palatino Linotype" w:hAnsi="Palatino Linotype"/>
        </w:rPr>
        <w:t>IPEN released a comprehensive report</w:t>
      </w:r>
      <w:r w:rsidR="008C1392" w:rsidRPr="00483E28">
        <w:rPr>
          <w:rFonts w:ascii="Palatino Linotype" w:hAnsi="Palatino Linotype"/>
        </w:rPr>
        <w:t xml:space="preserve"> on </w:t>
      </w:r>
      <w:hyperlink r:id="rId7" w:history="1">
        <w:r w:rsidR="008C1392" w:rsidRPr="00483E28">
          <w:rPr>
            <w:rStyle w:val="Hyperlink"/>
            <w:rFonts w:ascii="Palatino Linotype" w:hAnsi="Palatino Linotype"/>
          </w:rPr>
          <w:t>Global Mercury Hotspots</w:t>
        </w:r>
      </w:hyperlink>
      <w:r w:rsidRPr="00483E28">
        <w:rPr>
          <w:rFonts w:ascii="Palatino Linotype" w:hAnsi="Palatino Linotype"/>
        </w:rPr>
        <w:t xml:space="preserve"> in 2014 that described mercury exposure</w:t>
      </w:r>
      <w:r w:rsidR="008C1392" w:rsidRPr="00483E28">
        <w:rPr>
          <w:rFonts w:ascii="Palatino Linotype" w:hAnsi="Palatino Linotype"/>
        </w:rPr>
        <w:t xml:space="preserve"> from global hot spots such as</w:t>
      </w:r>
      <w:r w:rsidR="006738E1" w:rsidRPr="00483E28">
        <w:rPr>
          <w:rFonts w:ascii="Palatino Linotype" w:hAnsi="Palatino Linotype"/>
        </w:rPr>
        <w:t xml:space="preserve"> </w:t>
      </w:r>
      <w:r w:rsidR="00CF1549" w:rsidRPr="00483E28">
        <w:rPr>
          <w:rFonts w:ascii="Palatino Linotype" w:hAnsi="Palatino Linotype"/>
        </w:rPr>
        <w:t>coal-fired power plants</w:t>
      </w:r>
      <w:r w:rsidR="006738E1" w:rsidRPr="00483E28">
        <w:rPr>
          <w:rFonts w:ascii="Palatino Linotype" w:hAnsi="Palatino Linotype"/>
        </w:rPr>
        <w:t xml:space="preserve"> and </w:t>
      </w:r>
      <w:r w:rsidR="00CF1549" w:rsidRPr="00483E28">
        <w:rPr>
          <w:rFonts w:ascii="Palatino Linotype" w:hAnsi="Palatino Linotype"/>
        </w:rPr>
        <w:t xml:space="preserve">artisanal </w:t>
      </w:r>
      <w:r w:rsidR="006738E1" w:rsidRPr="00483E28">
        <w:rPr>
          <w:rFonts w:ascii="Palatino Linotype" w:hAnsi="Palatino Linotype"/>
        </w:rPr>
        <w:t>small-scale gold mining</w:t>
      </w:r>
      <w:r w:rsidR="00CF1549" w:rsidRPr="00483E28">
        <w:rPr>
          <w:rFonts w:ascii="Palatino Linotype" w:hAnsi="Palatino Linotype"/>
        </w:rPr>
        <w:t xml:space="preserve"> (ASGM)</w:t>
      </w:r>
      <w:r w:rsidR="00614244" w:rsidRPr="00483E28">
        <w:rPr>
          <w:rFonts w:ascii="Palatino Linotype" w:hAnsi="Palatino Linotype"/>
        </w:rPr>
        <w:t xml:space="preserve">. This and </w:t>
      </w:r>
      <w:hyperlink r:id="rId8" w:history="1">
        <w:r w:rsidR="00614244" w:rsidRPr="00483E28">
          <w:rPr>
            <w:rStyle w:val="Hyperlink"/>
            <w:rFonts w:ascii="Palatino Linotype" w:hAnsi="Palatino Linotype"/>
          </w:rPr>
          <w:t>subsequent reports</w:t>
        </w:r>
      </w:hyperlink>
      <w:r w:rsidR="00614244" w:rsidRPr="00483E28">
        <w:rPr>
          <w:rFonts w:ascii="Palatino Linotype" w:hAnsi="Palatino Linotype"/>
        </w:rPr>
        <w:t xml:space="preserve"> have </w:t>
      </w:r>
      <w:r w:rsidR="00901DC7" w:rsidRPr="00483E28">
        <w:rPr>
          <w:rFonts w:ascii="Palatino Linotype" w:hAnsi="Palatino Linotype"/>
        </w:rPr>
        <w:t xml:space="preserve">revealed </w:t>
      </w:r>
      <w:r w:rsidR="00614244" w:rsidRPr="00483E28">
        <w:rPr>
          <w:rFonts w:ascii="Palatino Linotype" w:hAnsi="Palatino Linotype"/>
        </w:rPr>
        <w:t xml:space="preserve">that </w:t>
      </w:r>
      <w:r w:rsidR="00901DC7" w:rsidRPr="00483E28">
        <w:rPr>
          <w:rFonts w:ascii="Palatino Linotype" w:hAnsi="Palatino Linotype"/>
        </w:rPr>
        <w:t xml:space="preserve">mercury contamination regularly exceeds health advisory levels in humans and fish worldwide. </w:t>
      </w:r>
      <w:hyperlink r:id="rId9" w:history="1">
        <w:r w:rsidR="00075380" w:rsidRPr="00483E28">
          <w:rPr>
            <w:rStyle w:val="Hyperlink"/>
            <w:rFonts w:ascii="Palatino Linotype" w:hAnsi="Palatino Linotype"/>
          </w:rPr>
          <w:t>Reports</w:t>
        </w:r>
      </w:hyperlink>
      <w:r w:rsidR="00075380" w:rsidRPr="00483E28">
        <w:rPr>
          <w:rFonts w:ascii="Palatino Linotype" w:hAnsi="Palatino Linotype"/>
        </w:rPr>
        <w:t xml:space="preserve"> from Nexus3 Foundation in Indonesia</w:t>
      </w:r>
      <w:r w:rsidR="00E17F3B" w:rsidRPr="00483E28">
        <w:rPr>
          <w:rFonts w:ascii="Palatino Linotype" w:hAnsi="Palatino Linotype"/>
        </w:rPr>
        <w:t xml:space="preserve"> and</w:t>
      </w:r>
      <w:r w:rsidR="00173865" w:rsidRPr="00483E28">
        <w:rPr>
          <w:rFonts w:ascii="Palatino Linotype" w:hAnsi="Palatino Linotype"/>
        </w:rPr>
        <w:t xml:space="preserve"> an </w:t>
      </w:r>
      <w:hyperlink r:id="rId10" w:history="1">
        <w:r w:rsidR="00173865" w:rsidRPr="00483E28">
          <w:rPr>
            <w:rStyle w:val="Hyperlink"/>
            <w:rFonts w:ascii="Palatino Linotype" w:hAnsi="Palatino Linotype"/>
          </w:rPr>
          <w:t>investigation</w:t>
        </w:r>
      </w:hyperlink>
      <w:r w:rsidR="00173865" w:rsidRPr="00483E28">
        <w:rPr>
          <w:rFonts w:ascii="Palatino Linotype" w:hAnsi="Palatino Linotype"/>
        </w:rPr>
        <w:t xml:space="preserve"> by the Centre for Environment Justice and Development (CEJAD) in Kenya show</w:t>
      </w:r>
      <w:r w:rsidR="0018335E" w:rsidRPr="00483E28">
        <w:rPr>
          <w:rFonts w:ascii="Palatino Linotype" w:hAnsi="Palatino Linotype"/>
        </w:rPr>
        <w:t xml:space="preserve"> the extreme levels of mercury exposure in women and children involved in ASGM activities. </w:t>
      </w:r>
      <w:r w:rsidR="00173865" w:rsidRPr="00483E28">
        <w:rPr>
          <w:rFonts w:ascii="Palatino Linotype" w:hAnsi="Palatino Linotype"/>
        </w:rPr>
        <w:t xml:space="preserve"> </w:t>
      </w:r>
    </w:p>
    <w:p w14:paraId="02933B24" w14:textId="655096D6" w:rsidR="006F17BD" w:rsidRPr="00483E28" w:rsidRDefault="006F17BD" w:rsidP="003F3E37">
      <w:pPr>
        <w:tabs>
          <w:tab w:val="left" w:pos="5680"/>
        </w:tabs>
        <w:spacing w:after="0" w:line="240" w:lineRule="auto"/>
        <w:jc w:val="both"/>
        <w:rPr>
          <w:rFonts w:ascii="Palatino Linotype" w:hAnsi="Palatino Linotype"/>
        </w:rPr>
      </w:pPr>
    </w:p>
    <w:p w14:paraId="1539F356" w14:textId="73519079" w:rsidR="00AA611A" w:rsidRPr="00483E28" w:rsidRDefault="006F17BD"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A recent </w:t>
      </w:r>
      <w:hyperlink r:id="rId11" w:history="1">
        <w:r w:rsidRPr="00483E28">
          <w:rPr>
            <w:rStyle w:val="Hyperlink"/>
            <w:rFonts w:ascii="Palatino Linotype" w:hAnsi="Palatino Linotype"/>
          </w:rPr>
          <w:t>report</w:t>
        </w:r>
      </w:hyperlink>
      <w:r w:rsidRPr="00483E28">
        <w:rPr>
          <w:rFonts w:ascii="Palatino Linotype" w:hAnsi="Palatino Linotype"/>
        </w:rPr>
        <w:t xml:space="preserve"> from Latin America shows </w:t>
      </w:r>
      <w:r w:rsidR="00AA611A" w:rsidRPr="00483E28">
        <w:rPr>
          <w:rFonts w:ascii="Palatino Linotype" w:hAnsi="Palatino Linotype"/>
        </w:rPr>
        <w:t xml:space="preserve">high levels of mercury </w:t>
      </w:r>
      <w:r w:rsidR="00F40CD7" w:rsidRPr="00483E28">
        <w:rPr>
          <w:rFonts w:ascii="Palatino Linotype" w:hAnsi="Palatino Linotype"/>
        </w:rPr>
        <w:t>in hair samples from</w:t>
      </w:r>
      <w:r w:rsidR="00AA611A" w:rsidRPr="00483E28">
        <w:rPr>
          <w:rFonts w:ascii="Palatino Linotype" w:hAnsi="Palatino Linotype"/>
        </w:rPr>
        <w:t xml:space="preserve"> women</w:t>
      </w:r>
      <w:r w:rsidR="00F40CD7" w:rsidRPr="00483E28">
        <w:rPr>
          <w:rFonts w:ascii="Palatino Linotype" w:hAnsi="Palatino Linotype"/>
        </w:rPr>
        <w:t xml:space="preserve"> in or near the mining towns in Brazil, Venezuela, Colombia and Bolivia. </w:t>
      </w:r>
      <w:r w:rsidR="00AA611A" w:rsidRPr="00483E28">
        <w:rPr>
          <w:rFonts w:ascii="Palatino Linotype" w:hAnsi="Palatino Linotype"/>
        </w:rPr>
        <w:t xml:space="preserve">The results for the Bolivian women were especially concerning: they had the highest mercury levels in our </w:t>
      </w:r>
      <w:r w:rsidR="001A7CE1" w:rsidRPr="00483E28">
        <w:rPr>
          <w:rFonts w:ascii="Palatino Linotype" w:hAnsi="Palatino Linotype"/>
        </w:rPr>
        <w:t>study yet</w:t>
      </w:r>
      <w:r w:rsidR="00AA611A" w:rsidRPr="00483E28">
        <w:rPr>
          <w:rFonts w:ascii="Palatino Linotype" w:hAnsi="Palatino Linotype"/>
        </w:rPr>
        <w:t xml:space="preserve"> have no engagement with mining or contact with mercury and are reliant on a subsistence fish diet. This suggests that many more women who have a fish rich diet in this region are at risk of high levels of mercury exposure through their diet.</w:t>
      </w:r>
    </w:p>
    <w:p w14:paraId="01EBF302" w14:textId="77777777" w:rsidR="00AA611A" w:rsidRPr="00483E28" w:rsidRDefault="00AA611A" w:rsidP="003F3E37">
      <w:pPr>
        <w:tabs>
          <w:tab w:val="left" w:pos="5680"/>
        </w:tabs>
        <w:spacing w:after="0" w:line="240" w:lineRule="auto"/>
        <w:jc w:val="both"/>
        <w:rPr>
          <w:rFonts w:ascii="Palatino Linotype" w:hAnsi="Palatino Linotype"/>
        </w:rPr>
      </w:pPr>
    </w:p>
    <w:p w14:paraId="169BC454" w14:textId="0CCEA80E" w:rsidR="00123A67" w:rsidRPr="00483E28" w:rsidRDefault="00123A67" w:rsidP="003F3E37">
      <w:pPr>
        <w:pStyle w:val="Heading3"/>
        <w:jc w:val="both"/>
        <w:rPr>
          <w:rFonts w:ascii="Palatino Linotype" w:hAnsi="Palatino Linotype"/>
          <w:sz w:val="22"/>
          <w:szCs w:val="22"/>
          <w:u w:val="single"/>
          <w:lang w:val="sv-SE"/>
        </w:rPr>
      </w:pPr>
      <w:r w:rsidRPr="00483E28">
        <w:rPr>
          <w:rFonts w:ascii="Palatino Linotype" w:hAnsi="Palatino Linotype"/>
          <w:sz w:val="22"/>
          <w:szCs w:val="22"/>
          <w:u w:val="single"/>
          <w:lang w:val="sv-SE"/>
        </w:rPr>
        <w:t xml:space="preserve">Electronic waste </w:t>
      </w:r>
      <w:r w:rsidRPr="00483E28">
        <w:rPr>
          <w:rFonts w:ascii="Palatino Linotype" w:hAnsi="Palatino Linotype"/>
          <w:sz w:val="22"/>
          <w:szCs w:val="22"/>
          <w:u w:val="single"/>
        </w:rPr>
        <w:t>dumps</w:t>
      </w:r>
      <w:r w:rsidR="007334C1" w:rsidRPr="00483E28">
        <w:rPr>
          <w:rFonts w:ascii="Palatino Linotype" w:hAnsi="Palatino Linotype"/>
          <w:sz w:val="22"/>
          <w:szCs w:val="22"/>
          <w:u w:val="single"/>
          <w:lang w:val="sv-SE"/>
        </w:rPr>
        <w:t xml:space="preserve"> </w:t>
      </w:r>
    </w:p>
    <w:p w14:paraId="20A72ED3" w14:textId="1606FD1C" w:rsidR="006B2D6B" w:rsidRPr="00483E28" w:rsidRDefault="006B2D6B"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Electronic products contain a range of toxic substances, including toxic metals such as cadmium in the components and toxic additives to the plastic casing such as brominated flame retardants. Much of the e-waste generated globally is exported to developing countries despite provisions under the Basel </w:t>
      </w:r>
      <w:r w:rsidRPr="00483E28">
        <w:rPr>
          <w:rFonts w:ascii="Palatino Linotype" w:hAnsi="Palatino Linotype"/>
        </w:rPr>
        <w:lastRenderedPageBreak/>
        <w:t>Convention restricting this, as well as national and regional regulations (</w:t>
      </w:r>
      <w:r w:rsidR="001A7CE1" w:rsidRPr="00483E28">
        <w:rPr>
          <w:rFonts w:ascii="Palatino Linotype" w:hAnsi="Palatino Linotype"/>
        </w:rPr>
        <w:t>e.g.,</w:t>
      </w:r>
      <w:r w:rsidRPr="00483E28">
        <w:rPr>
          <w:rFonts w:ascii="Palatino Linotype" w:hAnsi="Palatino Linotype"/>
        </w:rPr>
        <w:t xml:space="preserve"> the WEEE Directive in the EU). E-waste is also exported under the guise of “repair” to developing countries. </w:t>
      </w:r>
    </w:p>
    <w:p w14:paraId="1640D365" w14:textId="6DDACB97" w:rsidR="002F47A4" w:rsidRPr="00483E28" w:rsidRDefault="002F47A4" w:rsidP="003F3E37">
      <w:pPr>
        <w:tabs>
          <w:tab w:val="left" w:pos="5680"/>
        </w:tabs>
        <w:spacing w:after="0" w:line="240" w:lineRule="auto"/>
        <w:jc w:val="both"/>
        <w:rPr>
          <w:rFonts w:ascii="Palatino Linotype" w:hAnsi="Palatino Linotype"/>
        </w:rPr>
      </w:pPr>
    </w:p>
    <w:p w14:paraId="787A884F" w14:textId="77BD198A" w:rsidR="008F3762" w:rsidRPr="00483E28" w:rsidRDefault="00420E3C"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In receiving countries such as Ghana, the electronics are manually broken apart and metals harvested whereas plastic components are mostly burned in the open generating toxic fumes containing dioxins, PAHs and other POPs. </w:t>
      </w:r>
      <w:r w:rsidR="008F3762" w:rsidRPr="00483E28">
        <w:rPr>
          <w:rFonts w:ascii="Palatino Linotype" w:hAnsi="Palatino Linotype"/>
        </w:rPr>
        <w:t>Not only does this constitute a</w:t>
      </w:r>
      <w:r w:rsidR="009A291E" w:rsidRPr="00483E28">
        <w:rPr>
          <w:rFonts w:ascii="Palatino Linotype" w:hAnsi="Palatino Linotype"/>
        </w:rPr>
        <w:t>n immediate</w:t>
      </w:r>
      <w:r w:rsidR="008F3762" w:rsidRPr="00483E28">
        <w:rPr>
          <w:rFonts w:ascii="Palatino Linotype" w:hAnsi="Palatino Linotype"/>
        </w:rPr>
        <w:t xml:space="preserve"> severe health hazard for the people living and working in these dumps, the toxic fumes</w:t>
      </w:r>
      <w:r w:rsidR="009A291E" w:rsidRPr="00483E28">
        <w:rPr>
          <w:rFonts w:ascii="Palatino Linotype" w:hAnsi="Palatino Linotype"/>
        </w:rPr>
        <w:t xml:space="preserve"> leads to dioxins poisoning the food chain. See e.g. this</w:t>
      </w:r>
      <w:hyperlink r:id="rId12" w:history="1">
        <w:r w:rsidR="008F3762" w:rsidRPr="00483E28">
          <w:rPr>
            <w:rStyle w:val="Hyperlink"/>
            <w:rFonts w:ascii="Palatino Linotype" w:hAnsi="Palatino Linotype"/>
          </w:rPr>
          <w:t xml:space="preserve"> report</w:t>
        </w:r>
      </w:hyperlink>
      <w:r w:rsidR="008F3762" w:rsidRPr="00483E28">
        <w:rPr>
          <w:rFonts w:ascii="Palatino Linotype" w:hAnsi="Palatino Linotype"/>
        </w:rPr>
        <w:t xml:space="preserve"> by IPEN </w:t>
      </w:r>
      <w:r w:rsidR="009A291E" w:rsidRPr="00483E28">
        <w:rPr>
          <w:rFonts w:ascii="Palatino Linotype" w:hAnsi="Palatino Linotype"/>
        </w:rPr>
        <w:t>on</w:t>
      </w:r>
      <w:r w:rsidR="008F3762" w:rsidRPr="00483E28">
        <w:rPr>
          <w:rFonts w:ascii="Palatino Linotype" w:hAnsi="Palatino Linotype"/>
        </w:rPr>
        <w:t xml:space="preserve"> food chain impacts in Ghana where a mix of domestic and imported e-waste plastics are burned to access valuable metals in electronics.</w:t>
      </w:r>
    </w:p>
    <w:p w14:paraId="7EEC1B6F" w14:textId="42E55EB8" w:rsidR="008F3762" w:rsidRPr="00483E28" w:rsidRDefault="008F3762" w:rsidP="003F3E37">
      <w:pPr>
        <w:tabs>
          <w:tab w:val="left" w:pos="5680"/>
        </w:tabs>
        <w:spacing w:after="0" w:line="240" w:lineRule="auto"/>
        <w:jc w:val="both"/>
        <w:rPr>
          <w:rFonts w:ascii="Palatino Linotype" w:hAnsi="Palatino Linotype"/>
        </w:rPr>
      </w:pPr>
    </w:p>
    <w:p w14:paraId="13C38652" w14:textId="2622E8F4" w:rsidR="007334C1" w:rsidRPr="00483E28" w:rsidRDefault="007334C1" w:rsidP="003F3E37">
      <w:pPr>
        <w:pStyle w:val="Heading3"/>
        <w:jc w:val="both"/>
        <w:rPr>
          <w:rFonts w:ascii="Palatino Linotype" w:hAnsi="Palatino Linotype"/>
          <w:sz w:val="22"/>
          <w:szCs w:val="22"/>
          <w:u w:val="single"/>
        </w:rPr>
      </w:pPr>
      <w:r w:rsidRPr="00483E28">
        <w:rPr>
          <w:rFonts w:ascii="Palatino Linotype" w:hAnsi="Palatino Linotype"/>
          <w:sz w:val="22"/>
          <w:szCs w:val="22"/>
          <w:u w:val="single"/>
        </w:rPr>
        <w:t xml:space="preserve">Plastic waste impacts </w:t>
      </w:r>
    </w:p>
    <w:p w14:paraId="03AF0469" w14:textId="47C81927" w:rsidR="007334C1" w:rsidRPr="00483E28" w:rsidRDefault="007334C1"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There is overwhelming evidence that vulnerable groups in society are being exposed to toxic substances as a result of exposure to plastic wastes. There is also evidence that toxic chemical additives in plastic represent a significant health risk to recycling workers. Plastics containing POPs BFRs can generate dangerous exposure for recycling workers, including releases of brominated dioxins at the remelting and extrusion phase. Unless carefully separated from polymers that are not contaminated by POP BFRs, these POPs can leak into the overall polymer recycling chain, ending up in products such as </w:t>
      </w:r>
      <w:hyperlink r:id="rId13" w:history="1">
        <w:r w:rsidRPr="00483E28">
          <w:rPr>
            <w:rStyle w:val="Hyperlink"/>
            <w:rFonts w:ascii="Palatino Linotype" w:hAnsi="Palatino Linotype"/>
          </w:rPr>
          <w:t>toys and kitchen utensils</w:t>
        </w:r>
      </w:hyperlink>
      <w:r w:rsidRPr="00483E28">
        <w:rPr>
          <w:rFonts w:ascii="Palatino Linotype" w:hAnsi="Palatino Linotype"/>
        </w:rPr>
        <w:t xml:space="preserve"> that increase human exposure, especially among </w:t>
      </w:r>
      <w:hyperlink r:id="rId14" w:history="1">
        <w:r w:rsidRPr="00483E28">
          <w:rPr>
            <w:rStyle w:val="Hyperlink"/>
            <w:rFonts w:ascii="Palatino Linotype" w:hAnsi="Palatino Linotype"/>
          </w:rPr>
          <w:t>children</w:t>
        </w:r>
      </w:hyperlink>
      <w:r w:rsidRPr="00483E28">
        <w:rPr>
          <w:rFonts w:ascii="Palatino Linotype" w:hAnsi="Palatino Linotype"/>
        </w:rPr>
        <w:t xml:space="preserve"> as well as in food contact materials and household products. </w:t>
      </w:r>
    </w:p>
    <w:p w14:paraId="6C48E0C5" w14:textId="77777777" w:rsidR="007334C1" w:rsidRPr="00483E28" w:rsidRDefault="007334C1" w:rsidP="003F3E37">
      <w:pPr>
        <w:tabs>
          <w:tab w:val="left" w:pos="5680"/>
        </w:tabs>
        <w:spacing w:after="0" w:line="240" w:lineRule="auto"/>
        <w:jc w:val="both"/>
        <w:rPr>
          <w:rFonts w:ascii="Palatino Linotype" w:hAnsi="Palatino Linotype"/>
        </w:rPr>
      </w:pPr>
    </w:p>
    <w:p w14:paraId="42E3E159" w14:textId="171D8593" w:rsidR="007334C1" w:rsidRPr="00483E28" w:rsidRDefault="007334C1"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In some developing countries that have recently been the subject of large imports of plastic waste from developed countries following the China National Sword policy implementation, widespread environmental pollution has been reported. The practice of open burning the unrecyclable plastic waste imports or burning plastic waste as fuel has led to severe POPs contamination of </w:t>
      </w:r>
      <w:hyperlink r:id="rId15" w:history="1">
        <w:r w:rsidRPr="00483E28">
          <w:rPr>
            <w:rStyle w:val="Hyperlink"/>
            <w:rFonts w:ascii="Palatino Linotype" w:hAnsi="Palatino Linotype"/>
          </w:rPr>
          <w:t>local soil and the food chain</w:t>
        </w:r>
      </w:hyperlink>
      <w:r w:rsidR="002C6D6B" w:rsidRPr="00483E28">
        <w:rPr>
          <w:rFonts w:ascii="Palatino Linotype" w:hAnsi="Palatino Linotype"/>
        </w:rPr>
        <w:t xml:space="preserve"> in Africa, Asia, Central &amp; Eastern Europe and Latin America.</w:t>
      </w:r>
      <w:r w:rsidRPr="00483E28">
        <w:rPr>
          <w:rFonts w:ascii="Palatino Linotype" w:hAnsi="Palatino Linotype"/>
        </w:rPr>
        <w:t xml:space="preserve"> </w:t>
      </w:r>
    </w:p>
    <w:p w14:paraId="7826FDFF" w14:textId="77777777" w:rsidR="007334C1" w:rsidRPr="00483E28" w:rsidRDefault="007334C1" w:rsidP="003F3E37">
      <w:pPr>
        <w:tabs>
          <w:tab w:val="left" w:pos="5680"/>
        </w:tabs>
        <w:spacing w:after="0" w:line="240" w:lineRule="auto"/>
        <w:jc w:val="both"/>
        <w:rPr>
          <w:rFonts w:ascii="Palatino Linotype" w:hAnsi="Palatino Linotype"/>
        </w:rPr>
      </w:pPr>
      <w:r w:rsidRPr="00483E28">
        <w:rPr>
          <w:rFonts w:ascii="Palatino Linotype" w:hAnsi="Palatino Linotype"/>
        </w:rPr>
        <w:t>It follows that similar contamination occurs wherever plastic waste is open burned. This has health implications for waste pickers in the informal economies of many countries who collect recyclables from landfills sites and open dumps which are often subject to continuous burning and smouldering of plastic wastes.</w:t>
      </w:r>
    </w:p>
    <w:p w14:paraId="4EE3DCD5" w14:textId="77777777" w:rsidR="00123A67" w:rsidRPr="00483E28" w:rsidRDefault="00123A67" w:rsidP="003F3E37">
      <w:pPr>
        <w:tabs>
          <w:tab w:val="left" w:pos="5680"/>
        </w:tabs>
        <w:spacing w:after="0" w:line="240" w:lineRule="auto"/>
        <w:jc w:val="both"/>
        <w:rPr>
          <w:rFonts w:ascii="Palatino Linotype" w:hAnsi="Palatino Linotype"/>
        </w:rPr>
      </w:pPr>
    </w:p>
    <w:p w14:paraId="46348FF5" w14:textId="77CF8E77" w:rsidR="002E0B60" w:rsidRPr="00483E28" w:rsidRDefault="002E0B60" w:rsidP="003F3E37">
      <w:pPr>
        <w:pStyle w:val="Heading3"/>
        <w:jc w:val="both"/>
        <w:rPr>
          <w:rFonts w:ascii="Palatino Linotype" w:hAnsi="Palatino Linotype"/>
          <w:sz w:val="22"/>
          <w:szCs w:val="22"/>
          <w:u w:val="single"/>
        </w:rPr>
      </w:pPr>
      <w:r w:rsidRPr="00483E28">
        <w:rPr>
          <w:rFonts w:ascii="Palatino Linotype" w:hAnsi="Palatino Linotype"/>
          <w:sz w:val="22"/>
          <w:szCs w:val="22"/>
          <w:u w:val="single"/>
        </w:rPr>
        <w:t xml:space="preserve">Women </w:t>
      </w:r>
      <w:r w:rsidR="00AE17BD" w:rsidRPr="00483E28">
        <w:rPr>
          <w:rFonts w:ascii="Palatino Linotype" w:hAnsi="Palatino Linotype"/>
          <w:sz w:val="22"/>
          <w:szCs w:val="22"/>
          <w:u w:val="single"/>
        </w:rPr>
        <w:t>as an especially impacted group by toxics exposures</w:t>
      </w:r>
    </w:p>
    <w:p w14:paraId="1E213D97" w14:textId="4AD53A3C" w:rsidR="003954AF" w:rsidRPr="00483E28" w:rsidRDefault="00C77968" w:rsidP="003F3E37">
      <w:pPr>
        <w:jc w:val="both"/>
        <w:rPr>
          <w:rFonts w:ascii="Palatino Linotype" w:hAnsi="Palatino Linotype"/>
        </w:rPr>
      </w:pPr>
      <w:r w:rsidRPr="00483E28">
        <w:rPr>
          <w:rFonts w:ascii="Palatino Linotype" w:hAnsi="Palatino Linotype"/>
        </w:rPr>
        <w:t xml:space="preserve">Irrespective of the toxic environment, women are </w:t>
      </w:r>
      <w:r w:rsidR="00D14940" w:rsidRPr="00483E28">
        <w:rPr>
          <w:rFonts w:ascii="Palatino Linotype" w:hAnsi="Palatino Linotype"/>
        </w:rPr>
        <w:t xml:space="preserve">on a global scale </w:t>
      </w:r>
      <w:r w:rsidRPr="00483E28">
        <w:rPr>
          <w:rFonts w:ascii="Palatino Linotype" w:hAnsi="Palatino Linotype"/>
        </w:rPr>
        <w:t xml:space="preserve">in many cases more impacted by exposure to toxic chemicals. </w:t>
      </w:r>
      <w:r w:rsidR="00D14940" w:rsidRPr="00483E28">
        <w:rPr>
          <w:rFonts w:ascii="Palatino Linotype" w:hAnsi="Palatino Linotype"/>
        </w:rPr>
        <w:t xml:space="preserve">This includes for example women in agriculture, in electronic manufacturing industry </w:t>
      </w:r>
      <w:r w:rsidR="00324CF8" w:rsidRPr="00483E28">
        <w:rPr>
          <w:rFonts w:ascii="Palatino Linotype" w:hAnsi="Palatino Linotype"/>
        </w:rPr>
        <w:t>and</w:t>
      </w:r>
      <w:r w:rsidR="00E81D92" w:rsidRPr="00483E28">
        <w:rPr>
          <w:rFonts w:ascii="Palatino Linotype" w:hAnsi="Palatino Linotype"/>
        </w:rPr>
        <w:t xml:space="preserve"> by chemicals added to products most prominently used by women. IPEN released a report</w:t>
      </w:r>
      <w:r w:rsidR="00CD6453" w:rsidRPr="00483E28">
        <w:rPr>
          <w:rFonts w:ascii="Palatino Linotype" w:hAnsi="Palatino Linotype"/>
        </w:rPr>
        <w:t xml:space="preserve"> on “</w:t>
      </w:r>
      <w:hyperlink r:id="rId16" w:history="1">
        <w:r w:rsidR="00CD6453" w:rsidRPr="00483E28">
          <w:rPr>
            <w:rStyle w:val="Hyperlink"/>
            <w:rFonts w:ascii="Palatino Linotype" w:hAnsi="Palatino Linotype"/>
          </w:rPr>
          <w:t>Women, chemicals and the SDGs</w:t>
        </w:r>
      </w:hyperlink>
      <w:r w:rsidR="00CD6453" w:rsidRPr="00483E28">
        <w:rPr>
          <w:rFonts w:ascii="Palatino Linotype" w:hAnsi="Palatino Linotype"/>
        </w:rPr>
        <w:t>”</w:t>
      </w:r>
      <w:r w:rsidR="00E81D92" w:rsidRPr="00483E28">
        <w:rPr>
          <w:rFonts w:ascii="Palatino Linotype" w:hAnsi="Palatino Linotype"/>
        </w:rPr>
        <w:t xml:space="preserve"> </w:t>
      </w:r>
      <w:r w:rsidR="00E3749F" w:rsidRPr="00483E28">
        <w:rPr>
          <w:rFonts w:ascii="Palatino Linotype" w:hAnsi="Palatino Linotype"/>
        </w:rPr>
        <w:t xml:space="preserve">together with UNEP in 2020, describing </w:t>
      </w:r>
      <w:r w:rsidR="00CD6453" w:rsidRPr="00483E28">
        <w:rPr>
          <w:rFonts w:ascii="Palatino Linotype" w:hAnsi="Palatino Linotype"/>
        </w:rPr>
        <w:t xml:space="preserve">these impacts in relation to the SAICM Emerging Policy Issues and Issues of Concern. </w:t>
      </w:r>
      <w:r w:rsidR="00E3749F" w:rsidRPr="00483E28">
        <w:rPr>
          <w:rFonts w:ascii="Palatino Linotype" w:hAnsi="Palatino Linotype"/>
        </w:rPr>
        <w:t xml:space="preserve">  </w:t>
      </w:r>
    </w:p>
    <w:p w14:paraId="2F735D6F" w14:textId="030DD03D" w:rsidR="00EC3324" w:rsidRPr="00483E28" w:rsidRDefault="00EC3324"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Women are also especially impacted by endocrine-disrupting chemicals found ubiquitously in plastics.  </w:t>
      </w:r>
    </w:p>
    <w:p w14:paraId="77D437AC" w14:textId="45E03E7D" w:rsidR="00EC3324" w:rsidRPr="00483E28" w:rsidRDefault="00EC3324" w:rsidP="003F3E37">
      <w:pPr>
        <w:tabs>
          <w:tab w:val="left" w:pos="5680"/>
        </w:tabs>
        <w:spacing w:after="0" w:line="240" w:lineRule="auto"/>
        <w:jc w:val="both"/>
        <w:rPr>
          <w:rFonts w:ascii="Palatino Linotype" w:hAnsi="Palatino Linotype"/>
        </w:rPr>
      </w:pPr>
      <w:r w:rsidRPr="00483E28">
        <w:rPr>
          <w:rFonts w:ascii="Palatino Linotype" w:hAnsi="Palatino Linotype"/>
        </w:rPr>
        <w:lastRenderedPageBreak/>
        <w:t xml:space="preserve">A recent report on </w:t>
      </w:r>
      <w:hyperlink r:id="rId17" w:history="1">
        <w:r w:rsidRPr="00483E28">
          <w:rPr>
            <w:rStyle w:val="Hyperlink"/>
            <w:rFonts w:ascii="Palatino Linotype" w:hAnsi="Palatino Linotype"/>
          </w:rPr>
          <w:t>Plastics, EDCs &amp; Health</w:t>
        </w:r>
      </w:hyperlink>
      <w:r w:rsidRPr="00483E28">
        <w:rPr>
          <w:rFonts w:ascii="Palatino Linotype" w:hAnsi="Palatino Linotype"/>
        </w:rPr>
        <w:t xml:space="preserve"> by the Endocrine Society in collaboration with IPEN provides insights into impacts of the most common ones such as phthalates, bisphenols, brominated flame retardants, toxic metals and UV stabilizers. The report also </w:t>
      </w:r>
      <w:r w:rsidR="00DD3D90" w:rsidRPr="00483E28">
        <w:rPr>
          <w:rFonts w:ascii="Palatino Linotype" w:hAnsi="Palatino Linotype"/>
        </w:rPr>
        <w:t>investigates</w:t>
      </w:r>
      <w:r w:rsidRPr="00483E28">
        <w:rPr>
          <w:rFonts w:ascii="Palatino Linotype" w:hAnsi="Palatino Linotype"/>
        </w:rPr>
        <w:t xml:space="preserve"> exposure routes to endocrine disrupting chemicals in plastics.</w:t>
      </w:r>
    </w:p>
    <w:p w14:paraId="06406EAF" w14:textId="77777777" w:rsidR="00863E97" w:rsidRPr="00483E28" w:rsidRDefault="00863E97" w:rsidP="003F3E37">
      <w:pPr>
        <w:pStyle w:val="Heading3"/>
        <w:jc w:val="both"/>
        <w:rPr>
          <w:rFonts w:ascii="Palatino Linotype" w:hAnsi="Palatino Linotype"/>
          <w:sz w:val="22"/>
          <w:szCs w:val="22"/>
        </w:rPr>
      </w:pPr>
    </w:p>
    <w:p w14:paraId="5D6F31E6" w14:textId="18CCDCD4" w:rsidR="00EA2EC5" w:rsidRPr="00483E28" w:rsidRDefault="00485514" w:rsidP="003F3E37">
      <w:pPr>
        <w:pStyle w:val="Heading3"/>
        <w:jc w:val="both"/>
        <w:rPr>
          <w:rFonts w:ascii="Palatino Linotype" w:hAnsi="Palatino Linotype"/>
          <w:sz w:val="22"/>
          <w:szCs w:val="22"/>
          <w:u w:val="single"/>
        </w:rPr>
      </w:pPr>
      <w:r w:rsidRPr="00483E28">
        <w:rPr>
          <w:rFonts w:ascii="Palatino Linotype" w:hAnsi="Palatino Linotype"/>
          <w:sz w:val="22"/>
          <w:szCs w:val="22"/>
          <w:u w:val="single"/>
        </w:rPr>
        <w:t xml:space="preserve">Impacts on communities subsisting on fisheries </w:t>
      </w:r>
    </w:p>
    <w:p w14:paraId="2AC01F67" w14:textId="36805387" w:rsidR="00485514" w:rsidRPr="00483E28" w:rsidRDefault="007439F1" w:rsidP="003F3E37">
      <w:pPr>
        <w:tabs>
          <w:tab w:val="left" w:pos="5680"/>
        </w:tabs>
        <w:spacing w:after="0" w:line="240" w:lineRule="auto"/>
        <w:jc w:val="both"/>
        <w:rPr>
          <w:rFonts w:ascii="Palatino Linotype" w:hAnsi="Palatino Linotype"/>
        </w:rPr>
      </w:pPr>
      <w:r w:rsidRPr="00483E28">
        <w:rPr>
          <w:rFonts w:ascii="Palatino Linotype" w:hAnsi="Palatino Linotype"/>
        </w:rPr>
        <w:t>Chemicals are polluting oceans and waterways, not only endangering wildlife and those who rely on seafood for sustenance, but threatening the collapse of many fisheries.</w:t>
      </w:r>
      <w:r w:rsidR="00554789" w:rsidRPr="00483E28">
        <w:rPr>
          <w:rFonts w:ascii="Palatino Linotype" w:hAnsi="Palatino Linotype"/>
        </w:rPr>
        <w:t xml:space="preserve"> </w:t>
      </w:r>
      <w:hyperlink r:id="rId18" w:history="1">
        <w:r w:rsidR="00695536" w:rsidRPr="00483E28">
          <w:rPr>
            <w:rStyle w:val="Hyperlink"/>
            <w:rFonts w:ascii="Palatino Linotype" w:hAnsi="Palatino Linotype"/>
          </w:rPr>
          <w:t>This report</w:t>
        </w:r>
      </w:hyperlink>
      <w:r w:rsidR="00695536" w:rsidRPr="00483E28">
        <w:rPr>
          <w:rFonts w:ascii="Palatino Linotype" w:hAnsi="Palatino Linotype"/>
        </w:rPr>
        <w:t xml:space="preserve"> is the first to begin to detail the numerous ways and places in which chemical pollution and climate change is destabilizing this marine infrastructure and the world's fisheries.</w:t>
      </w:r>
      <w:r w:rsidRPr="00483E28">
        <w:rPr>
          <w:rFonts w:ascii="Palatino Linotype" w:hAnsi="Palatino Linotype"/>
        </w:rPr>
        <w:t xml:space="preserve"> </w:t>
      </w:r>
    </w:p>
    <w:p w14:paraId="74114612" w14:textId="55BA0D2F" w:rsidR="003F3E37" w:rsidRPr="00483E28" w:rsidRDefault="003F3E37" w:rsidP="003F3E37">
      <w:pPr>
        <w:tabs>
          <w:tab w:val="left" w:pos="5680"/>
        </w:tabs>
        <w:spacing w:after="0" w:line="240" w:lineRule="auto"/>
        <w:jc w:val="both"/>
        <w:rPr>
          <w:rFonts w:ascii="Palatino Linotype" w:hAnsi="Palatino Linotype"/>
        </w:rPr>
      </w:pPr>
    </w:p>
    <w:p w14:paraId="5D98AC99" w14:textId="18292CB0" w:rsidR="003F3E37" w:rsidRPr="00483E28" w:rsidRDefault="003F3E37" w:rsidP="003F3E37">
      <w:pPr>
        <w:tabs>
          <w:tab w:val="left" w:pos="5680"/>
        </w:tabs>
        <w:spacing w:after="0" w:line="240" w:lineRule="auto"/>
        <w:jc w:val="both"/>
        <w:rPr>
          <w:rFonts w:ascii="Palatino Linotype" w:hAnsi="Palatino Linotype"/>
          <w:u w:val="single"/>
        </w:rPr>
      </w:pPr>
      <w:r w:rsidRPr="00483E28">
        <w:rPr>
          <w:rFonts w:ascii="Palatino Linotype" w:hAnsi="Palatino Linotype"/>
          <w:u w:val="single"/>
        </w:rPr>
        <w:t>Impacts on Indigenous communities in the Arctic</w:t>
      </w:r>
      <w:r w:rsidR="00FD1E76" w:rsidRPr="00483E28">
        <w:rPr>
          <w:rFonts w:ascii="Palatino Linotype" w:hAnsi="Palatino Linotype"/>
          <w:u w:val="single"/>
        </w:rPr>
        <w:t>—Persistent Organic Pollutants</w:t>
      </w:r>
    </w:p>
    <w:p w14:paraId="2FFCDFD0" w14:textId="40CC556E" w:rsidR="003F3E37" w:rsidRPr="00483E28" w:rsidRDefault="003F3E37" w:rsidP="003F3E37">
      <w:pPr>
        <w:tabs>
          <w:tab w:val="left" w:pos="5680"/>
        </w:tabs>
        <w:spacing w:after="0" w:line="240" w:lineRule="auto"/>
        <w:jc w:val="both"/>
        <w:rPr>
          <w:rFonts w:ascii="Palatino Linotype" w:hAnsi="Palatino Linotype"/>
        </w:rPr>
      </w:pPr>
      <w:r w:rsidRPr="003F3E37">
        <w:rPr>
          <w:rFonts w:ascii="Palatino Linotype" w:hAnsi="Palatino Linotype"/>
        </w:rPr>
        <w:t>Far from pristine, the Arctic contains some of the most highly contaminated animals and people in the world.</w:t>
      </w:r>
      <w:r w:rsidRPr="00483E28">
        <w:rPr>
          <w:rFonts w:ascii="Palatino Linotype" w:hAnsi="Palatino Linotype"/>
        </w:rPr>
        <w:t xml:space="preserve"> </w:t>
      </w:r>
      <w:r w:rsidRPr="003F3E37">
        <w:rPr>
          <w:rFonts w:ascii="Palatino Linotype" w:hAnsi="Palatino Linotype"/>
        </w:rPr>
        <w:t>The Arctic is subject to atmospheric deposition of globally-distilled persistent organic pollutants (POPs), acting as a hemispheric sink for POPs that are transported from lower latitudes.</w:t>
      </w:r>
      <w:r w:rsidRPr="00483E28">
        <w:rPr>
          <w:rFonts w:ascii="Palatino Linotype" w:hAnsi="Palatino Linotype"/>
        </w:rPr>
        <w:t xml:space="preserve"> </w:t>
      </w:r>
      <w:r w:rsidRPr="003F3E37">
        <w:rPr>
          <w:rFonts w:ascii="Palatino Linotype" w:hAnsi="Palatino Linotype"/>
        </w:rPr>
        <w:t>The Arctic is an important indicator region for assessing properties and effects of POPs.</w:t>
      </w:r>
      <w:r w:rsidRPr="00483E28">
        <w:rPr>
          <w:rFonts w:ascii="Palatino Linotype" w:hAnsi="Palatino Linotype"/>
        </w:rPr>
        <w:t xml:space="preserve"> </w:t>
      </w:r>
      <w:r w:rsidRPr="003F3E37">
        <w:rPr>
          <w:rFonts w:ascii="Palatino Linotype" w:hAnsi="Palatino Linotype"/>
        </w:rPr>
        <w:t>Once POPs enter the Arctic, low temperatures and low intensity sunlight slow their deterioration, which makes them available for long-term incorporation into biological systems.</w:t>
      </w:r>
      <w:r w:rsidRPr="00483E28">
        <w:rPr>
          <w:rFonts w:ascii="Palatino Linotype" w:hAnsi="Palatino Linotype"/>
        </w:rPr>
        <w:t xml:space="preserve"> </w:t>
      </w:r>
      <w:r w:rsidRPr="003F3E37">
        <w:rPr>
          <w:rFonts w:ascii="Palatino Linotype" w:hAnsi="Palatino Linotype"/>
        </w:rPr>
        <w:t>POPs bioaccumulate and biomagnify in the lipid-rich arctic food webs, some to dangerous levels.</w:t>
      </w:r>
      <w:r w:rsidRPr="00483E28">
        <w:rPr>
          <w:rFonts w:ascii="Palatino Linotype" w:hAnsi="Palatino Linotype"/>
        </w:rPr>
        <w:t xml:space="preserve"> </w:t>
      </w:r>
      <w:r w:rsidRPr="003F3E37">
        <w:rPr>
          <w:rFonts w:ascii="Palatino Linotype" w:hAnsi="Palatino Linotype"/>
        </w:rPr>
        <w:t xml:space="preserve">These problems are exacerbated by the rapid pace and magnitude of climate change in the Arctic, which is warming at more than </w:t>
      </w:r>
      <w:r w:rsidRPr="00483E28">
        <w:rPr>
          <w:rFonts w:ascii="Palatino Linotype" w:hAnsi="Palatino Linotype"/>
        </w:rPr>
        <w:t xml:space="preserve">three times </w:t>
      </w:r>
      <w:r w:rsidRPr="003F3E37">
        <w:rPr>
          <w:rFonts w:ascii="Palatino Linotype" w:hAnsi="Palatino Linotype"/>
        </w:rPr>
        <w:t xml:space="preserve">the global average. The combination of a warming climate and increased mobilization of POPs, rates of global distillation and deposition in the Arctic are expected to accelerate, causing large-scale ecological </w:t>
      </w:r>
      <w:r w:rsidR="007C134B" w:rsidRPr="003F3E37">
        <w:rPr>
          <w:rFonts w:ascii="Palatino Linotype" w:hAnsi="Palatino Linotype"/>
        </w:rPr>
        <w:t>consequences,</w:t>
      </w:r>
      <w:r w:rsidRPr="003F3E37">
        <w:rPr>
          <w:rFonts w:ascii="Palatino Linotype" w:hAnsi="Palatino Linotype"/>
        </w:rPr>
        <w:t xml:space="preserve"> and increasing health risks for people.</w:t>
      </w:r>
      <w:r w:rsidRPr="00483E28">
        <w:rPr>
          <w:rFonts w:ascii="Palatino Linotype" w:hAnsi="Palatino Linotype"/>
        </w:rPr>
        <w:t xml:space="preserve"> </w:t>
      </w:r>
      <w:r w:rsidRPr="003F3E37">
        <w:rPr>
          <w:rFonts w:ascii="Palatino Linotype" w:hAnsi="Palatino Linotype"/>
        </w:rPr>
        <w:t>Moreover, global change scientists predict that accelerated melting of polar snow, ice, and permafrost will mobilize sequestered contaminants and enhance air-to-sea exchange, rendering greater bioavailability of contaminants within arctic food webs. Additionally, the Arctic contains thousands of contaminated formerly used defense (FUD) sites dating from the Cold War, many of which are significant sources of POPs such as PCBs.</w:t>
      </w:r>
      <w:r w:rsidRPr="00483E28">
        <w:rPr>
          <w:rFonts w:ascii="Palatino Linotype" w:hAnsi="Palatino Linotype"/>
        </w:rPr>
        <w:t xml:space="preserve"> </w:t>
      </w:r>
      <w:r w:rsidRPr="003F3E37">
        <w:rPr>
          <w:rFonts w:ascii="Palatino Linotype" w:hAnsi="Palatino Linotype"/>
        </w:rPr>
        <w:t xml:space="preserve">The Arctic is therefore a significant repository of persistent chemicals that are readily transported through the atmosphere or that are released from FUD sites. Concentrations of some POPs, including PCBs in the blood of people in certain arctic regions, continue to be higher than in general populations of North America and Europe. </w:t>
      </w:r>
    </w:p>
    <w:p w14:paraId="337EF395" w14:textId="77777777" w:rsidR="003F3E37" w:rsidRPr="003F3E37" w:rsidRDefault="003F3E37" w:rsidP="003F3E37">
      <w:pPr>
        <w:tabs>
          <w:tab w:val="left" w:pos="5680"/>
        </w:tabs>
        <w:spacing w:after="0" w:line="240" w:lineRule="auto"/>
        <w:jc w:val="both"/>
        <w:rPr>
          <w:rFonts w:ascii="Palatino Linotype" w:hAnsi="Palatino Linotype"/>
        </w:rPr>
      </w:pPr>
    </w:p>
    <w:p w14:paraId="66CA178C" w14:textId="10A6FE47" w:rsidR="003F3E37" w:rsidRPr="00483E28" w:rsidRDefault="003F3E37" w:rsidP="003F3E37">
      <w:pPr>
        <w:tabs>
          <w:tab w:val="left" w:pos="5680"/>
        </w:tabs>
        <w:spacing w:after="0" w:line="240" w:lineRule="auto"/>
        <w:jc w:val="both"/>
        <w:rPr>
          <w:rFonts w:ascii="Palatino Linotype" w:hAnsi="Palatino Linotype"/>
        </w:rPr>
      </w:pPr>
      <w:r w:rsidRPr="00483E28">
        <w:rPr>
          <w:rFonts w:ascii="Palatino Linotype" w:hAnsi="Palatino Linotype"/>
        </w:rPr>
        <w:t xml:space="preserve">Because most POPs are endocrine disruptors (EDCs) and many are also neurotoxicants, high exposures present an important public health concern for people of the Arctic. The Arctic is the home of many indigenous peoples who rely on a traditional subsistence diet that includes a high proportion of lipid-rich foods such as fish and marine mammals; thus, they are chronically exposed to dangerous levels of POPs. The harvest and consumption of traditional foods is central to the nutritional, cultural, and economic health of arctic indigenous peoples. The preamble of the United Nations Stockholm Convention on POPs states, “Arctic ecosystems and indigenous communities are particularly at risk because of the biomagnification of persistent organic pollutants” and “contamination of their traditional foods is a public </w:t>
      </w:r>
      <w:r w:rsidRPr="00483E28">
        <w:rPr>
          <w:rFonts w:ascii="Palatino Linotype" w:hAnsi="Palatino Linotype"/>
        </w:rPr>
        <w:lastRenderedPageBreak/>
        <w:t>health issue.” Epidemiological studies in the Arctic have shown effects of contaminants on immune system function, oxidative stress, neurodevelopment, and the hypothalamic-pituitary-gonadal (HPG) axis. Additional risks include cancers, metabolic diseases, and disorders of the thyroid and reproductive development.</w:t>
      </w:r>
    </w:p>
    <w:p w14:paraId="7175A7E8" w14:textId="49B75F60" w:rsidR="003F3E37" w:rsidRPr="00483E28" w:rsidRDefault="003F3E37" w:rsidP="003F3E37">
      <w:pPr>
        <w:tabs>
          <w:tab w:val="left" w:pos="5680"/>
        </w:tabs>
        <w:spacing w:after="0" w:line="240" w:lineRule="auto"/>
        <w:jc w:val="both"/>
        <w:rPr>
          <w:rFonts w:ascii="Palatino Linotype" w:hAnsi="Palatino Linotype"/>
        </w:rPr>
      </w:pPr>
    </w:p>
    <w:p w14:paraId="64506FF8" w14:textId="0F4E1CC7" w:rsidR="00247B5B" w:rsidRPr="00483E28" w:rsidRDefault="00FD1E76" w:rsidP="0020553E">
      <w:pPr>
        <w:tabs>
          <w:tab w:val="left" w:pos="5680"/>
        </w:tabs>
        <w:spacing w:after="0" w:line="240" w:lineRule="auto"/>
        <w:rPr>
          <w:rFonts w:ascii="Palatino Linotype" w:hAnsi="Palatino Linotype"/>
        </w:rPr>
      </w:pPr>
      <w:r w:rsidRPr="00483E28">
        <w:rPr>
          <w:rFonts w:ascii="Palatino Linotype" w:hAnsi="Palatino Linotype"/>
          <w:u w:val="single"/>
        </w:rPr>
        <w:t>Impacts on Indigenous communities in the Arctic—Military Contamination on Siv</w:t>
      </w:r>
      <w:r w:rsidR="00FB364D">
        <w:rPr>
          <w:rFonts w:ascii="Palatino Linotype" w:hAnsi="Palatino Linotype"/>
          <w:u w:val="single"/>
        </w:rPr>
        <w:t>u</w:t>
      </w:r>
      <w:r w:rsidRPr="00483E28">
        <w:rPr>
          <w:rFonts w:ascii="Palatino Linotype" w:hAnsi="Palatino Linotype"/>
          <w:u w:val="single"/>
        </w:rPr>
        <w:t xml:space="preserve">qaq </w:t>
      </w:r>
      <w:r w:rsidRPr="00483E28">
        <w:rPr>
          <w:rFonts w:ascii="Palatino Linotype" w:hAnsi="Palatino Linotype"/>
        </w:rPr>
        <w:t>(St. Lawrence Island, Alaska, USA)</w:t>
      </w:r>
    </w:p>
    <w:p w14:paraId="53503392" w14:textId="5439E18C" w:rsidR="00FD1E76" w:rsidRPr="00483E28" w:rsidRDefault="00FD1E76" w:rsidP="00483E28">
      <w:pPr>
        <w:autoSpaceDE w:val="0"/>
        <w:autoSpaceDN w:val="0"/>
        <w:adjustRightInd w:val="0"/>
        <w:spacing w:after="0" w:line="240" w:lineRule="auto"/>
        <w:jc w:val="both"/>
        <w:rPr>
          <w:rFonts w:ascii="Palatino Linotype" w:hAnsi="Palatino Linotype" w:cs="ArialMT"/>
        </w:rPr>
      </w:pPr>
      <w:r w:rsidRPr="00483E28">
        <w:rPr>
          <w:rFonts w:ascii="Palatino Linotype" w:hAnsi="Palatino Linotype" w:cs="ArialMT"/>
        </w:rPr>
        <w:t>St. Lawrence Island (SLI) is home to approximately 1,400 Yupik people residing in two extant communities, Gambell and Savoonga. SLI, with the traditional name of Sivuqaq, is located in the northern Bering Sea, 75 km southeast of the Chukotsk Peninsula of Russia and 190 km southwest of the North American mainland at the tip of Alaska’s Seward Peninsula. The people of SLI rely on a traditional subsistence diet.</w:t>
      </w:r>
      <w:r w:rsidR="00483E28">
        <w:rPr>
          <w:rFonts w:ascii="Palatino Linotype" w:hAnsi="Palatino Linotype" w:cs="ArialMT"/>
        </w:rPr>
        <w:t xml:space="preserve"> </w:t>
      </w:r>
      <w:r w:rsidRPr="00483E28">
        <w:rPr>
          <w:rFonts w:ascii="Palatino Linotype" w:hAnsi="Palatino Linotype" w:cs="ArialMT"/>
        </w:rPr>
        <w:t>Because of the island’s strategic geopolitical location, the U.S. established an Aircraft Control and Warning Station and White Alice Communications System Station at Northeast Cape (NEC) that operated from 1952-1972</w:t>
      </w:r>
      <w:r w:rsidR="00483E28">
        <w:rPr>
          <w:rFonts w:ascii="Palatino Linotype" w:hAnsi="Palatino Linotype" w:cs="ArialMT"/>
        </w:rPr>
        <w:t xml:space="preserve">. </w:t>
      </w:r>
      <w:r w:rsidRPr="00483E28">
        <w:rPr>
          <w:rFonts w:ascii="Palatino Linotype" w:hAnsi="Palatino Linotype" w:cs="ArialMT"/>
        </w:rPr>
        <w:t>The military displaced the traditional community of ~130 residents of NEC that included a governing tribal council, who re-located to Savoonga. Prior to the military occupation, NEC and the Suqitughneq (Suqi) River were an especially important area for subsistence gathering, fishing, and hunting. The Suqi River was abundant with fish and the water was safe to drink. In a letter dated April 7, 1951, the Savoonga Tribal Council granted the U.S. Air Force a land withdrawal for military use at NEC with clear conditions, including the following provision:</w:t>
      </w:r>
      <w:r w:rsidR="00483E28">
        <w:rPr>
          <w:rFonts w:ascii="Palatino Linotype" w:hAnsi="Palatino Linotype" w:cs="ArialMT"/>
        </w:rPr>
        <w:t xml:space="preserve"> </w:t>
      </w:r>
      <w:r w:rsidRPr="00483E28">
        <w:rPr>
          <w:rFonts w:ascii="Palatino Linotype" w:hAnsi="Palatino Linotype" w:cs="ArialMT"/>
        </w:rPr>
        <w:t>“</w:t>
      </w:r>
      <w:r w:rsidRPr="00483E28">
        <w:rPr>
          <w:rFonts w:ascii="Palatino Linotype" w:hAnsi="Palatino Linotype" w:cs="Arial-ItalicMT"/>
          <w:i/>
          <w:iCs/>
        </w:rPr>
        <w:t>Any refuse or garbage will not be dumped in streams or near the beach within the proposed area.</w:t>
      </w:r>
      <w:r w:rsidR="00483E28">
        <w:rPr>
          <w:rFonts w:ascii="Palatino Linotype" w:hAnsi="Palatino Linotype" w:cs="ArialMT"/>
        </w:rPr>
        <w:t xml:space="preserve"> </w:t>
      </w:r>
      <w:r w:rsidRPr="00483E28">
        <w:rPr>
          <w:rFonts w:ascii="Palatino Linotype" w:hAnsi="Palatino Linotype" w:cs="ArialMT"/>
        </w:rPr>
        <w:t>The</w:t>
      </w:r>
      <w:r w:rsidR="00483E28">
        <w:rPr>
          <w:rFonts w:ascii="Palatino Linotype" w:hAnsi="Palatino Linotype" w:cs="ArialMT"/>
        </w:rPr>
        <w:t xml:space="preserve"> </w:t>
      </w:r>
      <w:r w:rsidRPr="00483E28">
        <w:rPr>
          <w:rFonts w:ascii="Palatino Linotype" w:hAnsi="Palatino Linotype" w:cs="ArialMT"/>
        </w:rPr>
        <w:t>military site encompassed ~39 km2 and included 25 industrial buildings, an airstrip, and associated support facilities.</w:t>
      </w:r>
      <w:r w:rsidR="00483E28">
        <w:rPr>
          <w:rFonts w:ascii="Palatino Linotype" w:hAnsi="Palatino Linotype" w:cs="ArialMT"/>
        </w:rPr>
        <w:t xml:space="preserve"> </w:t>
      </w:r>
      <w:r w:rsidRPr="00483E28">
        <w:rPr>
          <w:rFonts w:ascii="Palatino Linotype" w:hAnsi="Palatino Linotype" w:cs="ArialMT"/>
        </w:rPr>
        <w:t>When the military abandoned NEC in 1972, they left extensive debris and hazardous waste in violation of the 1951 agreement. Contamination of soils, sediments, surface waters, groundwater, and biota derives from massive petroleum spills and releases of solvents, polychlorinated biphenyls (PCBs), organochlorine pesticides (OCPs), and heavy metals.</w:t>
      </w:r>
      <w:r w:rsidR="00483E28">
        <w:rPr>
          <w:rFonts w:ascii="Palatino Linotype" w:hAnsi="Palatino Linotype" w:cs="ArialMT"/>
        </w:rPr>
        <w:t xml:space="preserve"> </w:t>
      </w:r>
      <w:r w:rsidRPr="00483E28">
        <w:rPr>
          <w:rFonts w:ascii="Palatino Linotype" w:hAnsi="Palatino Linotype" w:cs="ArialMT"/>
        </w:rPr>
        <w:t>Within the NEC formerly used defense (FUD) site, areas of contamination were identified for investigation and removal actions.</w:t>
      </w:r>
    </w:p>
    <w:p w14:paraId="3A834EA7" w14:textId="77777777" w:rsidR="00483E28" w:rsidRDefault="00483E28" w:rsidP="00483E28">
      <w:pPr>
        <w:autoSpaceDE w:val="0"/>
        <w:autoSpaceDN w:val="0"/>
        <w:adjustRightInd w:val="0"/>
        <w:spacing w:after="0" w:line="240" w:lineRule="auto"/>
        <w:jc w:val="both"/>
        <w:rPr>
          <w:rFonts w:ascii="Palatino Linotype" w:hAnsi="Palatino Linotype" w:cs="ArialMT"/>
        </w:rPr>
      </w:pPr>
    </w:p>
    <w:p w14:paraId="338C165C" w14:textId="4B8EA601" w:rsidR="00FD1E76" w:rsidRPr="00483E28" w:rsidRDefault="00FD1E76" w:rsidP="00483E28">
      <w:pPr>
        <w:autoSpaceDE w:val="0"/>
        <w:autoSpaceDN w:val="0"/>
        <w:adjustRightInd w:val="0"/>
        <w:spacing w:after="0" w:line="240" w:lineRule="auto"/>
        <w:jc w:val="both"/>
        <w:rPr>
          <w:rFonts w:ascii="Palatino Linotype" w:hAnsi="Palatino Linotype" w:cs="ArialMT"/>
        </w:rPr>
      </w:pPr>
      <w:r w:rsidRPr="00483E28">
        <w:rPr>
          <w:rFonts w:ascii="Palatino Linotype" w:hAnsi="Palatino Linotype" w:cs="ArialMT"/>
        </w:rPr>
        <w:t xml:space="preserve">Shortly after the military’s abandonment of the NEC FUD site, Annie Alowa, a respected traditional healer, raised concerns that the hazardous materials at NEC posed a long-term health risk for her people. She was concerned by the high incidence of cancers, miscarriages, and other health problems among the families who lived and worked at NEC. She later developed cancer and continued her work for the health of her people until her death in 1999. </w:t>
      </w:r>
    </w:p>
    <w:p w14:paraId="33268792" w14:textId="77777777" w:rsidR="00FD1E76" w:rsidRPr="00483E28" w:rsidRDefault="00FD1E76" w:rsidP="00483E28">
      <w:pPr>
        <w:autoSpaceDE w:val="0"/>
        <w:autoSpaceDN w:val="0"/>
        <w:adjustRightInd w:val="0"/>
        <w:spacing w:after="0" w:line="240" w:lineRule="auto"/>
        <w:jc w:val="both"/>
        <w:rPr>
          <w:rFonts w:ascii="Palatino Linotype" w:hAnsi="Palatino Linotype" w:cs="ArialMT"/>
        </w:rPr>
      </w:pPr>
    </w:p>
    <w:p w14:paraId="0308A88E" w14:textId="22211F24" w:rsidR="00FD1E76" w:rsidRPr="00483E28" w:rsidRDefault="00FD1E76" w:rsidP="00483E28">
      <w:pPr>
        <w:autoSpaceDE w:val="0"/>
        <w:autoSpaceDN w:val="0"/>
        <w:adjustRightInd w:val="0"/>
        <w:spacing w:after="0" w:line="240" w:lineRule="auto"/>
        <w:jc w:val="both"/>
        <w:rPr>
          <w:rFonts w:ascii="Palatino Linotype" w:hAnsi="Palatino Linotype" w:cs="ArialMT"/>
        </w:rPr>
      </w:pPr>
      <w:r w:rsidRPr="00483E28">
        <w:rPr>
          <w:rFonts w:ascii="Palatino Linotype" w:hAnsi="Palatino Linotype" w:cs="ArialMT"/>
        </w:rPr>
        <w:t>The U.S. Army Corps of Engineers is responsible for monitoring and cleanup of the NEC FUD sites pursuant to section 9604 of the Comprehensive Environmental Response, Compensation, and Liability Act (CERCLA).</w:t>
      </w:r>
      <w:r w:rsidR="00483E28" w:rsidRPr="00483E28">
        <w:rPr>
          <w:rFonts w:ascii="Palatino Linotype" w:hAnsi="Palatino Linotype" w:cs="ArialMT"/>
        </w:rPr>
        <w:t xml:space="preserve"> </w:t>
      </w:r>
      <w:r w:rsidRPr="00483E28">
        <w:rPr>
          <w:rFonts w:ascii="Palatino Linotype" w:hAnsi="Palatino Linotype" w:cs="ArialMT"/>
        </w:rPr>
        <w:t>In 2009, the Corps issued a Record of Decision (ROD) that allowed contamination to</w:t>
      </w:r>
      <w:r w:rsidR="00483E28">
        <w:rPr>
          <w:rFonts w:ascii="Palatino Linotype" w:hAnsi="Palatino Linotype" w:cs="ArialMT"/>
        </w:rPr>
        <w:t xml:space="preserve"> </w:t>
      </w:r>
      <w:r w:rsidRPr="00483E28">
        <w:rPr>
          <w:rFonts w:ascii="Palatino Linotype" w:hAnsi="Palatino Linotype" w:cs="ArialMT"/>
        </w:rPr>
        <w:t>remain in many of the NEC disposal sites.</w:t>
      </w:r>
      <w:r w:rsidR="00483E28">
        <w:rPr>
          <w:rFonts w:ascii="Palatino Linotype" w:hAnsi="Palatino Linotype" w:cs="ArialMT"/>
        </w:rPr>
        <w:t xml:space="preserve"> </w:t>
      </w:r>
      <w:r w:rsidRPr="00483E28">
        <w:rPr>
          <w:rFonts w:ascii="Palatino Linotype" w:hAnsi="Palatino Linotype" w:cs="ArialMT"/>
        </w:rPr>
        <w:t xml:space="preserve">Moreover, the ROD allowed inadequate monitoring plans. </w:t>
      </w:r>
      <w:r w:rsidR="00483E28">
        <w:rPr>
          <w:rFonts w:ascii="Palatino Linotype" w:hAnsi="Palatino Linotype" w:cs="ArialMT"/>
        </w:rPr>
        <w:t>R</w:t>
      </w:r>
      <w:r w:rsidRPr="00483E28">
        <w:rPr>
          <w:rFonts w:ascii="Palatino Linotype" w:hAnsi="Palatino Linotype" w:cs="ArialMT"/>
        </w:rPr>
        <w:t xml:space="preserve">esidents were neither consulted nor party to the ROD and did not concur that the remediation was </w:t>
      </w:r>
      <w:r w:rsidRPr="00483E28">
        <w:rPr>
          <w:rFonts w:ascii="Palatino Linotype" w:hAnsi="Palatino Linotype" w:cs="ArialMT"/>
        </w:rPr>
        <w:lastRenderedPageBreak/>
        <w:t xml:space="preserve">complete or protective of health. </w:t>
      </w:r>
      <w:r w:rsidR="00483E28" w:rsidRPr="00483E28">
        <w:rPr>
          <w:rFonts w:ascii="Palatino Linotype" w:hAnsi="Palatino Linotype" w:cs="ArialMT"/>
        </w:rPr>
        <w:t xml:space="preserve">Our research </w:t>
      </w:r>
      <w:r w:rsidRPr="00483E28">
        <w:rPr>
          <w:rFonts w:ascii="Palatino Linotype" w:hAnsi="Palatino Linotype" w:cs="ArialMT"/>
        </w:rPr>
        <w:t>found that</w:t>
      </w:r>
      <w:r w:rsidR="00483E28" w:rsidRPr="00483E28">
        <w:rPr>
          <w:rFonts w:ascii="Palatino Linotype" w:hAnsi="Palatino Linotype" w:cs="ArialMT"/>
        </w:rPr>
        <w:t xml:space="preserve"> </w:t>
      </w:r>
      <w:r w:rsidRPr="00483E28">
        <w:rPr>
          <w:rFonts w:ascii="Palatino Linotype" w:hAnsi="Palatino Linotype" w:cs="ArialMT"/>
        </w:rPr>
        <w:t>resident freshwater fish in the Suqi River are highly contaminated with PCBs and pesticides from the FUD</w:t>
      </w:r>
      <w:r w:rsidR="00483E28" w:rsidRPr="00483E28">
        <w:rPr>
          <w:rFonts w:ascii="Palatino Linotype" w:hAnsi="Palatino Linotype" w:cs="ArialMT"/>
        </w:rPr>
        <w:t xml:space="preserve"> </w:t>
      </w:r>
      <w:r w:rsidRPr="00483E28">
        <w:rPr>
          <w:rFonts w:ascii="Palatino Linotype" w:hAnsi="Palatino Linotype" w:cs="ArialMT"/>
        </w:rPr>
        <w:t>sites.</w:t>
      </w:r>
    </w:p>
    <w:p w14:paraId="662D8B4B" w14:textId="77777777" w:rsidR="00483E28" w:rsidRPr="00483E28" w:rsidRDefault="00483E28" w:rsidP="00483E28">
      <w:pPr>
        <w:autoSpaceDE w:val="0"/>
        <w:autoSpaceDN w:val="0"/>
        <w:adjustRightInd w:val="0"/>
        <w:spacing w:after="0" w:line="240" w:lineRule="auto"/>
        <w:jc w:val="both"/>
        <w:rPr>
          <w:rFonts w:ascii="Palatino Linotype" w:hAnsi="Palatino Linotype" w:cs="ArialMT"/>
        </w:rPr>
      </w:pPr>
    </w:p>
    <w:p w14:paraId="67CC66D8" w14:textId="443696AE" w:rsidR="00483E28" w:rsidRDefault="00FD1E76" w:rsidP="00483E28">
      <w:pPr>
        <w:autoSpaceDE w:val="0"/>
        <w:autoSpaceDN w:val="0"/>
        <w:adjustRightInd w:val="0"/>
        <w:spacing w:after="0" w:line="240" w:lineRule="auto"/>
        <w:jc w:val="both"/>
        <w:rPr>
          <w:rFonts w:ascii="Palatino Linotype" w:hAnsi="Palatino Linotype" w:cs="ArialMT"/>
        </w:rPr>
      </w:pPr>
      <w:r w:rsidRPr="00483E28">
        <w:rPr>
          <w:rFonts w:ascii="Palatino Linotype" w:hAnsi="Palatino Linotype" w:cs="ArialMT"/>
        </w:rPr>
        <w:t>NEC was once a vital community and gathering place for traditional foods. Residents want to re-establish</w:t>
      </w:r>
      <w:r w:rsidR="00483E28" w:rsidRPr="00483E28">
        <w:rPr>
          <w:rFonts w:ascii="Palatino Linotype" w:hAnsi="Palatino Linotype" w:cs="ArialMT"/>
        </w:rPr>
        <w:t xml:space="preserve"> </w:t>
      </w:r>
      <w:r w:rsidRPr="00483E28">
        <w:rPr>
          <w:rFonts w:ascii="Palatino Linotype" w:hAnsi="Palatino Linotype" w:cs="ArialMT"/>
        </w:rPr>
        <w:t xml:space="preserve">the community at NEC; however, the health and safety of the people, lands, </w:t>
      </w:r>
      <w:r w:rsidR="007C134B" w:rsidRPr="00483E28">
        <w:rPr>
          <w:rFonts w:ascii="Palatino Linotype" w:hAnsi="Palatino Linotype" w:cs="ArialMT"/>
        </w:rPr>
        <w:t>waters,</w:t>
      </w:r>
      <w:r w:rsidRPr="00483E28">
        <w:rPr>
          <w:rFonts w:ascii="Palatino Linotype" w:hAnsi="Palatino Linotype" w:cs="ArialMT"/>
        </w:rPr>
        <w:t xml:space="preserve"> and traditional foods must</w:t>
      </w:r>
      <w:r w:rsidR="00483E28" w:rsidRPr="00483E28">
        <w:rPr>
          <w:rFonts w:ascii="Palatino Linotype" w:hAnsi="Palatino Linotype" w:cs="ArialMT"/>
        </w:rPr>
        <w:t xml:space="preserve"> </w:t>
      </w:r>
      <w:r w:rsidRPr="00483E28">
        <w:rPr>
          <w:rFonts w:ascii="Palatino Linotype" w:hAnsi="Palatino Linotype" w:cs="ArialMT"/>
        </w:rPr>
        <w:t xml:space="preserve">be ensured. The watershed of the Suqi River is still severely </w:t>
      </w:r>
      <w:r w:rsidR="00FB364D" w:rsidRPr="00483E28">
        <w:rPr>
          <w:rFonts w:ascii="Palatino Linotype" w:hAnsi="Palatino Linotype" w:cs="ArialMT"/>
        </w:rPr>
        <w:t>polluted,</w:t>
      </w:r>
      <w:r w:rsidRPr="00483E28">
        <w:rPr>
          <w:rFonts w:ascii="Palatino Linotype" w:hAnsi="Palatino Linotype" w:cs="ArialMT"/>
        </w:rPr>
        <w:t xml:space="preserve"> and the contamination prevents th</w:t>
      </w:r>
      <w:r w:rsidR="00483E28" w:rsidRPr="00483E28">
        <w:rPr>
          <w:rFonts w:ascii="Palatino Linotype" w:hAnsi="Palatino Linotype" w:cs="ArialMT"/>
        </w:rPr>
        <w:t xml:space="preserve">e </w:t>
      </w:r>
      <w:r w:rsidRPr="00483E28">
        <w:rPr>
          <w:rFonts w:ascii="Palatino Linotype" w:hAnsi="Palatino Linotype" w:cs="ArialMT"/>
        </w:rPr>
        <w:t>safe consumption of traditional foods and practicing of cultural activities. Contamination also prevents the</w:t>
      </w:r>
      <w:r w:rsidR="00483E28" w:rsidRPr="00483E28">
        <w:rPr>
          <w:rFonts w:ascii="Palatino Linotype" w:hAnsi="Palatino Linotype" w:cs="ArialMT"/>
        </w:rPr>
        <w:t xml:space="preserve"> </w:t>
      </w:r>
      <w:r w:rsidRPr="00483E28">
        <w:rPr>
          <w:rFonts w:ascii="Palatino Linotype" w:hAnsi="Palatino Linotype" w:cs="ArialMT"/>
        </w:rPr>
        <w:t>recovery of fish populations. Seal haul-outs at the mouth of the river also have not recovered. Collectively, both</w:t>
      </w:r>
      <w:r w:rsidR="00483E28" w:rsidRPr="00483E28">
        <w:rPr>
          <w:rFonts w:ascii="Palatino Linotype" w:hAnsi="Palatino Linotype" w:cs="ArialMT"/>
        </w:rPr>
        <w:t xml:space="preserve"> </w:t>
      </w:r>
      <w:r w:rsidRPr="00483E28">
        <w:rPr>
          <w:rFonts w:ascii="Palatino Linotype" w:hAnsi="Palatino Linotype" w:cs="ArialMT"/>
        </w:rPr>
        <w:t>traditional knowledge and our data suggest that NEC is still unsafe for traditional practices and reestablishment</w:t>
      </w:r>
      <w:r w:rsidR="00483E28" w:rsidRPr="00483E28">
        <w:rPr>
          <w:rFonts w:ascii="Palatino Linotype" w:hAnsi="Palatino Linotype" w:cs="ArialMT"/>
        </w:rPr>
        <w:t xml:space="preserve"> </w:t>
      </w:r>
      <w:r w:rsidRPr="00483E28">
        <w:rPr>
          <w:rFonts w:ascii="Palatino Linotype" w:hAnsi="Palatino Linotype" w:cs="ArialMT"/>
        </w:rPr>
        <w:t>of the traditional community.</w:t>
      </w:r>
      <w:r w:rsidR="00483E28">
        <w:rPr>
          <w:rFonts w:ascii="Palatino Linotype" w:hAnsi="Palatino Linotype" w:cs="ArialMT"/>
        </w:rPr>
        <w:t xml:space="preserve"> </w:t>
      </w:r>
      <w:r w:rsidRPr="00483E28">
        <w:rPr>
          <w:rFonts w:ascii="Palatino Linotype" w:hAnsi="Palatino Linotype" w:cs="ArialMT"/>
        </w:rPr>
        <w:t>As the governing entity, the communities reiterate their right and</w:t>
      </w:r>
      <w:r w:rsidR="00483E28" w:rsidRPr="00483E28">
        <w:rPr>
          <w:rFonts w:ascii="Palatino Linotype" w:hAnsi="Palatino Linotype" w:cs="ArialMT"/>
        </w:rPr>
        <w:t xml:space="preserve"> </w:t>
      </w:r>
      <w:r w:rsidRPr="00483E28">
        <w:rPr>
          <w:rFonts w:ascii="Palatino Linotype" w:hAnsi="Palatino Linotype" w:cs="ArialMT"/>
        </w:rPr>
        <w:t>authority to establish the highest standards that require restoration of the lands and waters damaged by</w:t>
      </w:r>
      <w:r w:rsidR="00483E28">
        <w:rPr>
          <w:rFonts w:ascii="Palatino Linotype" w:hAnsi="Palatino Linotype" w:cs="ArialMT"/>
        </w:rPr>
        <w:t xml:space="preserve"> </w:t>
      </w:r>
      <w:r w:rsidRPr="00483E28">
        <w:rPr>
          <w:rFonts w:ascii="Palatino Linotype" w:hAnsi="Palatino Linotype" w:cs="ArialMT"/>
        </w:rPr>
        <w:t>military activities at NEC.</w:t>
      </w:r>
    </w:p>
    <w:p w14:paraId="32EAA780" w14:textId="77777777" w:rsidR="00483E28" w:rsidRDefault="00483E28" w:rsidP="00483E28">
      <w:pPr>
        <w:autoSpaceDE w:val="0"/>
        <w:autoSpaceDN w:val="0"/>
        <w:adjustRightInd w:val="0"/>
        <w:spacing w:after="0" w:line="240" w:lineRule="auto"/>
        <w:jc w:val="both"/>
        <w:rPr>
          <w:rFonts w:ascii="Palatino Linotype" w:hAnsi="Palatino Linotype" w:cs="ArialMT"/>
        </w:rPr>
      </w:pPr>
    </w:p>
    <w:p w14:paraId="0AD85E15" w14:textId="3D5B821A" w:rsidR="00485514" w:rsidRDefault="00483E28" w:rsidP="00483E28">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 xml:space="preserve">We </w:t>
      </w:r>
      <w:r w:rsidR="00FD1E76" w:rsidRPr="00483E28">
        <w:rPr>
          <w:rFonts w:ascii="Palatino Linotype" w:hAnsi="Palatino Linotype" w:cs="ArialMT"/>
        </w:rPr>
        <w:t>have shown that remediation to date is inadequate to protect public health.</w:t>
      </w:r>
      <w:r>
        <w:rPr>
          <w:rFonts w:ascii="Palatino Linotype" w:hAnsi="Palatino Linotype" w:cs="ArialMT"/>
        </w:rPr>
        <w:t xml:space="preserve"> </w:t>
      </w:r>
      <w:r w:rsidR="00FD1E76" w:rsidRPr="00483E28">
        <w:rPr>
          <w:rFonts w:ascii="Palatino Linotype" w:hAnsi="Palatino Linotype" w:cs="ArialMT"/>
        </w:rPr>
        <w:t>Our</w:t>
      </w:r>
      <w:r w:rsidRPr="00483E28">
        <w:rPr>
          <w:rFonts w:ascii="Palatino Linotype" w:hAnsi="Palatino Linotype" w:cs="ArialMT"/>
        </w:rPr>
        <w:t xml:space="preserve"> </w:t>
      </w:r>
      <w:r w:rsidR="00FD1E76" w:rsidRPr="00483E28">
        <w:rPr>
          <w:rFonts w:ascii="Palatino Linotype" w:hAnsi="Palatino Linotype" w:cs="ArialMT"/>
        </w:rPr>
        <w:t>research established that the people of SLI have concentrations of PCBs in their blood that are six times higher</w:t>
      </w:r>
      <w:r w:rsidRPr="00483E28">
        <w:rPr>
          <w:rFonts w:ascii="Palatino Linotype" w:hAnsi="Palatino Linotype" w:cs="ArialMT"/>
        </w:rPr>
        <w:t xml:space="preserve"> </w:t>
      </w:r>
      <w:r w:rsidR="00FD1E76" w:rsidRPr="00483E28">
        <w:rPr>
          <w:rFonts w:ascii="Palatino Linotype" w:hAnsi="Palatino Linotype" w:cs="ArialMT"/>
        </w:rPr>
        <w:t>than people who live in the lower-48 U.S. states, and residents of Savoonga who have close traditional ties to</w:t>
      </w:r>
      <w:r w:rsidRPr="00483E28">
        <w:rPr>
          <w:rFonts w:ascii="Palatino Linotype" w:hAnsi="Palatino Linotype" w:cs="ArialMT"/>
        </w:rPr>
        <w:t xml:space="preserve"> </w:t>
      </w:r>
      <w:r w:rsidR="00FD1E76" w:rsidRPr="00483E28">
        <w:rPr>
          <w:rFonts w:ascii="Palatino Linotype" w:hAnsi="Palatino Linotype" w:cs="ArialMT"/>
        </w:rPr>
        <w:t>NEC have higher concentrations of PCBs in their blood than do SLI residents who are not associated with</w:t>
      </w:r>
      <w:r w:rsidRPr="00483E28">
        <w:rPr>
          <w:rFonts w:ascii="Palatino Linotype" w:hAnsi="Palatino Linotype" w:cs="ArialMT"/>
        </w:rPr>
        <w:t xml:space="preserve"> </w:t>
      </w:r>
      <w:r w:rsidR="00FD1E76" w:rsidRPr="00483E28">
        <w:rPr>
          <w:rFonts w:ascii="Palatino Linotype" w:hAnsi="Palatino Linotype" w:cs="ArialMT"/>
        </w:rPr>
        <w:t>NEC.</w:t>
      </w:r>
      <w:r w:rsidR="000E2025">
        <w:rPr>
          <w:rFonts w:ascii="Palatino Linotype" w:hAnsi="Palatino Linotype" w:cs="ArialMT"/>
        </w:rPr>
        <w:t xml:space="preserve"> </w:t>
      </w:r>
      <w:r w:rsidR="00FD1E76" w:rsidRPr="00483E28">
        <w:rPr>
          <w:rFonts w:ascii="Palatino Linotype" w:hAnsi="Palatino Linotype" w:cs="ArialMT"/>
        </w:rPr>
        <w:t>We concluded that atmospheric deposition of PCBs coupled with biomagnification into traditional foods</w:t>
      </w:r>
      <w:r w:rsidRPr="00483E28">
        <w:rPr>
          <w:rFonts w:ascii="Palatino Linotype" w:hAnsi="Palatino Linotype" w:cs="ArialMT"/>
        </w:rPr>
        <w:t xml:space="preserve"> </w:t>
      </w:r>
      <w:r w:rsidR="00FD1E76" w:rsidRPr="00483E28">
        <w:rPr>
          <w:rFonts w:ascii="Palatino Linotype" w:hAnsi="Palatino Linotype" w:cs="ArialMT"/>
        </w:rPr>
        <w:t>results in elevated levels of PCBs in SLI residents,</w:t>
      </w:r>
      <w:r>
        <w:rPr>
          <w:rFonts w:ascii="Palatino Linotype" w:hAnsi="Palatino Linotype" w:cs="ArialMT"/>
        </w:rPr>
        <w:t xml:space="preserve"> </w:t>
      </w:r>
      <w:r w:rsidR="00FD1E76" w:rsidRPr="00483E28">
        <w:rPr>
          <w:rFonts w:ascii="Palatino Linotype" w:hAnsi="Palatino Linotype" w:cs="ArialMT"/>
        </w:rPr>
        <w:t>and those residents with traditional association at NEC</w:t>
      </w:r>
      <w:r w:rsidRPr="00483E28">
        <w:rPr>
          <w:rFonts w:ascii="Palatino Linotype" w:hAnsi="Palatino Linotype" w:cs="ArialMT"/>
        </w:rPr>
        <w:t xml:space="preserve"> </w:t>
      </w:r>
      <w:r w:rsidR="00FD1E76" w:rsidRPr="00483E28">
        <w:rPr>
          <w:rFonts w:ascii="Palatino Linotype" w:hAnsi="Palatino Linotype" w:cs="ArialMT"/>
        </w:rPr>
        <w:t>are further exposed.</w:t>
      </w:r>
      <w:r w:rsidR="000E2025">
        <w:rPr>
          <w:rFonts w:ascii="Palatino Linotype" w:hAnsi="Palatino Linotype" w:cs="ArialMT"/>
        </w:rPr>
        <w:t xml:space="preserve"> </w:t>
      </w:r>
      <w:r w:rsidR="00FD1E76" w:rsidRPr="00483E28">
        <w:rPr>
          <w:rFonts w:ascii="Palatino Linotype" w:hAnsi="Palatino Linotype" w:cs="ArialMT"/>
        </w:rPr>
        <w:t>Our research demonstrates that: 1) NEC remains contaminated with PCBs,</w:t>
      </w:r>
      <w:r w:rsidRPr="00483E28">
        <w:rPr>
          <w:rFonts w:ascii="Palatino Linotype" w:hAnsi="Palatino Linotype" w:cs="ArialMT"/>
        </w:rPr>
        <w:t xml:space="preserve"> </w:t>
      </w:r>
      <w:r w:rsidR="00FD1E76" w:rsidRPr="00483E28">
        <w:rPr>
          <w:rFonts w:ascii="Palatino Linotype" w:hAnsi="Palatino Linotype" w:cs="ArialMT"/>
        </w:rPr>
        <w:t>OCPs, and toxic metals, despite remediation efforts;</w:t>
      </w:r>
      <w:r>
        <w:rPr>
          <w:rFonts w:ascii="Palatino Linotype" w:hAnsi="Palatino Linotype" w:cs="ArialMT"/>
        </w:rPr>
        <w:t xml:space="preserve"> </w:t>
      </w:r>
      <w:r w:rsidR="00FD1E76" w:rsidRPr="00483E28">
        <w:rPr>
          <w:rFonts w:ascii="Palatino Linotype" w:hAnsi="Palatino Linotype" w:cs="ArialMT"/>
        </w:rPr>
        <w:t>2) contaminant profiles and biomarkers of disease</w:t>
      </w:r>
      <w:r w:rsidRPr="00483E28">
        <w:rPr>
          <w:rFonts w:ascii="Palatino Linotype" w:hAnsi="Palatino Linotype" w:cs="ArialMT"/>
        </w:rPr>
        <w:t xml:space="preserve"> </w:t>
      </w:r>
      <w:r w:rsidR="00FD1E76" w:rsidRPr="00483E28">
        <w:rPr>
          <w:rFonts w:ascii="Palatino Linotype" w:hAnsi="Palatino Linotype" w:cs="ArialMT"/>
        </w:rPr>
        <w:t>in stickleback closely parallel those of SLI residents; and 3) these chemicals are associated with pathologies</w:t>
      </w:r>
      <w:r w:rsidRPr="00483E28">
        <w:rPr>
          <w:rFonts w:ascii="Palatino Linotype" w:hAnsi="Palatino Linotype" w:cs="ArialMT"/>
        </w:rPr>
        <w:t xml:space="preserve"> </w:t>
      </w:r>
      <w:r w:rsidR="00FD1E76" w:rsidRPr="00483E28">
        <w:rPr>
          <w:rFonts w:ascii="Palatino Linotype" w:hAnsi="Palatino Linotype" w:cs="ArialMT"/>
        </w:rPr>
        <w:t>in stickleback, as reflected in endocrine disruption, histopathology, and altered gene expression. Thus, our</w:t>
      </w:r>
      <w:r w:rsidRPr="00483E28">
        <w:rPr>
          <w:rFonts w:ascii="Palatino Linotype" w:hAnsi="Palatino Linotype" w:cs="ArialMT"/>
        </w:rPr>
        <w:t xml:space="preserve"> </w:t>
      </w:r>
      <w:r w:rsidR="00FD1E76" w:rsidRPr="00483E28">
        <w:rPr>
          <w:rFonts w:ascii="Palatino Linotype" w:hAnsi="Palatino Linotype" w:cs="ArialMT"/>
        </w:rPr>
        <w:t>research indicates that contaminants remaining at NEC represent a continuing risk to human health.</w:t>
      </w:r>
      <w:r w:rsidRPr="00483E28">
        <w:rPr>
          <w:rFonts w:ascii="Palatino Linotype" w:hAnsi="Palatino Linotype" w:cs="ArialMT"/>
        </w:rPr>
        <w:t xml:space="preserve"> </w:t>
      </w:r>
      <w:r w:rsidR="00FD1E76" w:rsidRPr="00483E28">
        <w:rPr>
          <w:rFonts w:ascii="Palatino Linotype" w:hAnsi="Palatino Linotype" w:cs="ArialMT"/>
        </w:rPr>
        <w:t>Furthermore, the predominant contaminants at NEC – PCBs, OCPs, and mercury (Hg) – are well known to</w:t>
      </w:r>
      <w:r w:rsidRPr="00483E28">
        <w:rPr>
          <w:rFonts w:ascii="Palatino Linotype" w:hAnsi="Palatino Linotype" w:cs="ArialMT"/>
        </w:rPr>
        <w:t xml:space="preserve"> </w:t>
      </w:r>
      <w:r w:rsidR="00FD1E76" w:rsidRPr="00483E28">
        <w:rPr>
          <w:rFonts w:ascii="Palatino Linotype" w:hAnsi="Palatino Linotype" w:cs="ArialMT"/>
        </w:rPr>
        <w:t>cause developmental pathologies and disease in humans.</w:t>
      </w:r>
      <w:r w:rsidR="000E2025">
        <w:rPr>
          <w:rFonts w:ascii="Palatino Linotype" w:hAnsi="Palatino Linotype" w:cs="ArialMT"/>
        </w:rPr>
        <w:t xml:space="preserve"> Please find a list of our published papers concerning the community-based research discussed in the last two sections of this submission.</w:t>
      </w:r>
    </w:p>
    <w:p w14:paraId="7A9AF9A8" w14:textId="2668A203" w:rsidR="000E2025" w:rsidRDefault="000E2025" w:rsidP="00483E28">
      <w:pPr>
        <w:autoSpaceDE w:val="0"/>
        <w:autoSpaceDN w:val="0"/>
        <w:adjustRightInd w:val="0"/>
        <w:spacing w:after="0" w:line="240" w:lineRule="auto"/>
        <w:jc w:val="both"/>
        <w:rPr>
          <w:rFonts w:ascii="Palatino Linotype" w:hAnsi="Palatino Linotype" w:cs="ArialMT"/>
        </w:rPr>
      </w:pPr>
    </w:p>
    <w:p w14:paraId="171C09DC" w14:textId="1F1D801E" w:rsidR="000E2025" w:rsidRDefault="000E2025" w:rsidP="00483E28">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 xml:space="preserve">Thank you for your consideration. </w:t>
      </w:r>
    </w:p>
    <w:p w14:paraId="1D265ED7" w14:textId="4E7A4774" w:rsidR="00483E28" w:rsidRDefault="00483E28" w:rsidP="00483E28">
      <w:pPr>
        <w:autoSpaceDE w:val="0"/>
        <w:autoSpaceDN w:val="0"/>
        <w:adjustRightInd w:val="0"/>
        <w:spacing w:after="0" w:line="240" w:lineRule="auto"/>
        <w:jc w:val="both"/>
        <w:rPr>
          <w:rFonts w:ascii="Palatino Linotype" w:hAnsi="Palatino Linotype" w:cs="ArialMT"/>
        </w:rPr>
      </w:pPr>
    </w:p>
    <w:p w14:paraId="3B38E9F1" w14:textId="77777777" w:rsidR="007D2E4A" w:rsidRPr="007D2E4A" w:rsidRDefault="007D2E4A" w:rsidP="007D2E4A">
      <w:pPr>
        <w:autoSpaceDE w:val="0"/>
        <w:autoSpaceDN w:val="0"/>
        <w:adjustRightInd w:val="0"/>
        <w:spacing w:after="0" w:line="240" w:lineRule="auto"/>
        <w:rPr>
          <w:rFonts w:ascii="Palatino Linotype" w:hAnsi="Palatino Linotype" w:cs="ArialMT"/>
        </w:rPr>
      </w:pPr>
      <w:r w:rsidRPr="007D2E4A">
        <w:rPr>
          <w:rFonts w:ascii="Palatino Linotype" w:hAnsi="Palatino Linotype" w:cs="ArialMT"/>
        </w:rPr>
        <w:t>Sara Brosché, PhD</w:t>
      </w:r>
      <w:r w:rsidRPr="007D2E4A">
        <w:rPr>
          <w:rFonts w:ascii="Palatino Linotype" w:hAnsi="Palatino Linotype" w:cs="ArialMT"/>
        </w:rPr>
        <w:br/>
        <w:t>Science Advisor</w:t>
      </w:r>
    </w:p>
    <w:p w14:paraId="17D101B5" w14:textId="13152089" w:rsidR="007D2E4A" w:rsidRDefault="007D2E4A" w:rsidP="007D2E4A">
      <w:pPr>
        <w:autoSpaceDE w:val="0"/>
        <w:autoSpaceDN w:val="0"/>
        <w:adjustRightInd w:val="0"/>
        <w:spacing w:after="0" w:line="240" w:lineRule="auto"/>
        <w:rPr>
          <w:rFonts w:ascii="Palatino Linotype" w:hAnsi="Palatino Linotype" w:cs="ArialMT"/>
        </w:rPr>
      </w:pPr>
      <w:r w:rsidRPr="007D2E4A">
        <w:rPr>
          <w:rFonts w:ascii="Palatino Linotype" w:hAnsi="Palatino Linotype" w:cs="ArialMT"/>
        </w:rPr>
        <w:t>IPEN (International Pollutants Elimination Network)</w:t>
      </w:r>
    </w:p>
    <w:p w14:paraId="2C8DD614" w14:textId="585A7A7B" w:rsidR="007D2E4A" w:rsidRDefault="007D2E4A" w:rsidP="007D2E4A">
      <w:pPr>
        <w:autoSpaceDE w:val="0"/>
        <w:autoSpaceDN w:val="0"/>
        <w:adjustRightInd w:val="0"/>
        <w:spacing w:after="0" w:line="240" w:lineRule="auto"/>
        <w:rPr>
          <w:rFonts w:ascii="Palatino Linotype" w:hAnsi="Palatino Linotype" w:cs="ArialMT"/>
        </w:rPr>
      </w:pPr>
    </w:p>
    <w:p w14:paraId="2219A9E3" w14:textId="535A4EF1" w:rsidR="007D2E4A" w:rsidRDefault="007D2E4A" w:rsidP="007D2E4A">
      <w:pPr>
        <w:autoSpaceDE w:val="0"/>
        <w:autoSpaceDN w:val="0"/>
        <w:adjustRightInd w:val="0"/>
        <w:spacing w:after="0" w:line="240" w:lineRule="auto"/>
        <w:rPr>
          <w:rFonts w:ascii="Palatino Linotype" w:hAnsi="Palatino Linotype" w:cs="ArialMT"/>
        </w:rPr>
      </w:pPr>
      <w:r>
        <w:rPr>
          <w:rFonts w:ascii="Palatino Linotype" w:hAnsi="Palatino Linotype" w:cs="ArialMT"/>
        </w:rPr>
        <w:t>Pamela Miller</w:t>
      </w:r>
    </w:p>
    <w:p w14:paraId="4A934B5E" w14:textId="7AF904EE" w:rsidR="007D2E4A" w:rsidRDefault="007D2E4A" w:rsidP="007D2E4A">
      <w:pPr>
        <w:autoSpaceDE w:val="0"/>
        <w:autoSpaceDN w:val="0"/>
        <w:adjustRightInd w:val="0"/>
        <w:spacing w:after="0" w:line="240" w:lineRule="auto"/>
        <w:rPr>
          <w:rFonts w:ascii="Palatino Linotype" w:hAnsi="Palatino Linotype" w:cs="ArialMT"/>
        </w:rPr>
      </w:pPr>
      <w:r>
        <w:rPr>
          <w:rFonts w:ascii="Palatino Linotype" w:hAnsi="Palatino Linotype" w:cs="ArialMT"/>
        </w:rPr>
        <w:t>Co-Chair, IPEN</w:t>
      </w:r>
    </w:p>
    <w:p w14:paraId="3E3F1898" w14:textId="1CCE1734" w:rsidR="007D2E4A" w:rsidRPr="007D2E4A" w:rsidRDefault="007D2E4A" w:rsidP="007D2E4A">
      <w:pPr>
        <w:autoSpaceDE w:val="0"/>
        <w:autoSpaceDN w:val="0"/>
        <w:adjustRightInd w:val="0"/>
        <w:spacing w:after="0" w:line="240" w:lineRule="auto"/>
        <w:rPr>
          <w:rFonts w:ascii="Palatino Linotype" w:hAnsi="Palatino Linotype" w:cs="ArialMT"/>
        </w:rPr>
      </w:pPr>
      <w:r>
        <w:rPr>
          <w:rFonts w:ascii="Palatino Linotype" w:hAnsi="Palatino Linotype" w:cs="ArialMT"/>
        </w:rPr>
        <w:t>Executive Director, Alaska Community Action on Toxics</w:t>
      </w:r>
    </w:p>
    <w:p w14:paraId="483B2EF5" w14:textId="77777777" w:rsidR="007D2E4A" w:rsidRPr="007D2E4A" w:rsidRDefault="007D2E4A" w:rsidP="007D2E4A">
      <w:pPr>
        <w:autoSpaceDE w:val="0"/>
        <w:autoSpaceDN w:val="0"/>
        <w:adjustRightInd w:val="0"/>
        <w:spacing w:after="0" w:line="240" w:lineRule="auto"/>
        <w:jc w:val="both"/>
        <w:rPr>
          <w:rFonts w:ascii="Palatino Linotype" w:hAnsi="Palatino Linotype" w:cs="ArialMT"/>
        </w:rPr>
      </w:pPr>
    </w:p>
    <w:p w14:paraId="37A06578" w14:textId="5CC9A376" w:rsidR="000E2025" w:rsidRDefault="000E2025" w:rsidP="000E2025">
      <w:pPr>
        <w:autoSpaceDE w:val="0"/>
        <w:autoSpaceDN w:val="0"/>
        <w:adjustRightInd w:val="0"/>
        <w:spacing w:after="0" w:line="240" w:lineRule="auto"/>
        <w:jc w:val="both"/>
        <w:rPr>
          <w:rFonts w:ascii="Palatino Linotype" w:hAnsi="Palatino Linotype" w:cs="ArialMT"/>
        </w:rPr>
      </w:pPr>
    </w:p>
    <w:p w14:paraId="5839F56D" w14:textId="6ED09C32" w:rsidR="000E2025" w:rsidRPr="000E2025" w:rsidRDefault="000E2025" w:rsidP="000E2025">
      <w:p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lastRenderedPageBreak/>
        <w:t>Published papers</w:t>
      </w:r>
    </w:p>
    <w:p w14:paraId="42894305"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 xml:space="preserve">Carpenter, David O. Anthony P. DeCaprio, David O. Hehir, Farooq Akhtar, Glenn Johnson, Ronald J. Scrudato, Lucy Apatiki, Jane Kava, Jesse Gologergen, Pamela K. Miller, Lorraine Eckstein. 2005. Polychlorinated Biphenyls in Serum of the Siberian Yupik People from St. Lawrence Island, Alaska. </w:t>
      </w:r>
      <w:r w:rsidRPr="000E2025">
        <w:rPr>
          <w:rFonts w:ascii="Palatino Linotype" w:hAnsi="Palatino Linotype" w:cs="ArialMT"/>
          <w:i/>
          <w:iCs/>
          <w:sz w:val="20"/>
          <w:szCs w:val="20"/>
        </w:rPr>
        <w:t xml:space="preserve">International Journal of Circumpolar Health </w:t>
      </w:r>
      <w:r w:rsidRPr="000E2025">
        <w:rPr>
          <w:rFonts w:ascii="Palatino Linotype" w:hAnsi="Palatino Linotype" w:cs="ArialMT"/>
          <w:sz w:val="20"/>
          <w:szCs w:val="20"/>
        </w:rPr>
        <w:t>64:4.  </w:t>
      </w:r>
    </w:p>
    <w:p w14:paraId="26DCEA4A"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 xml:space="preserve">Welfinger-Smith, Gretchen. Judith L. Minholz, Sam Byrne, Vi Waghiyi, Jesse Gologergen, Jane Kava, Morgan Apatiki, Eddie Ungott, Pamela K. Miller, John G. Arnason, David O. Carpenter. 2011. Organochlorine and Metal Contaminants in Traditional Foods from St. Lawrence Island, Alaska. </w:t>
      </w:r>
      <w:r w:rsidRPr="000E2025">
        <w:rPr>
          <w:rFonts w:ascii="Palatino Linotype" w:hAnsi="Palatino Linotype" w:cs="ArialMT"/>
          <w:i/>
          <w:iCs/>
          <w:sz w:val="20"/>
          <w:szCs w:val="20"/>
        </w:rPr>
        <w:t>Journal of Toxicology and Environmental Health</w:t>
      </w:r>
      <w:r w:rsidRPr="000E2025">
        <w:rPr>
          <w:rFonts w:ascii="Palatino Linotype" w:hAnsi="Palatino Linotype" w:cs="ArialMT"/>
          <w:sz w:val="20"/>
          <w:szCs w:val="20"/>
        </w:rPr>
        <w:t>, Part A.74:1195-1214 </w:t>
      </w:r>
    </w:p>
    <w:p w14:paraId="0414D9B3"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 xml:space="preserve">Hoover, Elizabeth. Katsi Cook, Ron Plain, Kathy Sanchez, Vi Waghiyi, Pamela Miller, Renee Dufault, Caitlin Sislin, David O. Carpenter. Indigenous Peoples of North America: Environmental Exposures and Reproductive Justice.  2012.  </w:t>
      </w:r>
      <w:r w:rsidRPr="000E2025">
        <w:rPr>
          <w:rFonts w:ascii="Palatino Linotype" w:hAnsi="Palatino Linotype" w:cs="ArialMT"/>
          <w:i/>
          <w:iCs/>
          <w:sz w:val="20"/>
          <w:szCs w:val="20"/>
        </w:rPr>
        <w:t>Environmental Health Perspectives 120(12):1645-1649.</w:t>
      </w:r>
    </w:p>
    <w:p w14:paraId="2EF06013"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Scrudato, Ronald J.  J.R.Chiarenzelli, P.K. Miller, C.R. Alexander, J. Arnason, K. Zamzow, K. Zweifel, J. Kava, V. Waghiyi, D.O. Carpenter. 2012. Contaminants at Arctic formerly used defense sites</w:t>
      </w:r>
      <w:r w:rsidRPr="000E2025">
        <w:rPr>
          <w:rFonts w:ascii="Palatino Linotype" w:hAnsi="Palatino Linotype" w:cs="ArialMT"/>
          <w:i/>
          <w:iCs/>
          <w:sz w:val="20"/>
          <w:szCs w:val="20"/>
        </w:rPr>
        <w:t>. Journal of Local and Global Health Sciences</w:t>
      </w:r>
      <w:r w:rsidRPr="000E2025">
        <w:rPr>
          <w:rFonts w:ascii="Palatino Linotype" w:hAnsi="Palatino Linotype" w:cs="ArialMT"/>
          <w:sz w:val="20"/>
          <w:szCs w:val="20"/>
        </w:rPr>
        <w:t xml:space="preserve">, Vol. 2012, 2. </w:t>
      </w:r>
    </w:p>
    <w:p w14:paraId="56A28DA5"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 xml:space="preserve">Miller, Pamela K. Viola Waghiyi, Gretchen Welfinger-Smith, Samuel Carter Byrne, Jane Kava, Jesse Gologergen, Lorraine Eckstein, Ronald Scrudato, Jeff Chiarenzelli, David O. Carpenter, Samarys Seguinot-Medina. 2013. Community-based participatory research projects and policy engagement to Protect Environmental Health on St. Lawrence Island, Alaska. </w:t>
      </w:r>
      <w:r w:rsidRPr="000E2025">
        <w:rPr>
          <w:rFonts w:ascii="Palatino Linotype" w:hAnsi="Palatino Linotype" w:cs="ArialMT"/>
          <w:i/>
          <w:iCs/>
          <w:sz w:val="20"/>
          <w:szCs w:val="20"/>
        </w:rPr>
        <w:t xml:space="preserve">International Journal of Circumpolar Health; Circumpolar Health Supplement </w:t>
      </w:r>
      <w:r w:rsidRPr="000E2025">
        <w:rPr>
          <w:rFonts w:ascii="Palatino Linotype" w:hAnsi="Palatino Linotype" w:cs="ArialMT"/>
          <w:sz w:val="20"/>
          <w:szCs w:val="20"/>
        </w:rPr>
        <w:t>72: 21656</w:t>
      </w:r>
    </w:p>
    <w:p w14:paraId="3520DD7E"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 xml:space="preserve">Byrne, Samuel. Pamela Miller, Viola Waghiyi, C. Loren Buck, Frank A. von Hippel, David O. Carpenter. 2015. Persistent Organochlorine Pesticide Exposure Related to a Formerly Used Defense Site on St. Lawrence Island, Alaska: Data from Sentinel Fish and Human Sera, </w:t>
      </w:r>
      <w:r w:rsidRPr="000E2025">
        <w:rPr>
          <w:rFonts w:ascii="Palatino Linotype" w:hAnsi="Palatino Linotype" w:cs="ArialMT"/>
          <w:i/>
          <w:iCs/>
          <w:sz w:val="20"/>
          <w:szCs w:val="20"/>
        </w:rPr>
        <w:t>Journal of Toxicology and Environmental Health,</w:t>
      </w:r>
      <w:r w:rsidRPr="000E2025">
        <w:rPr>
          <w:rFonts w:ascii="Palatino Linotype" w:hAnsi="Palatino Linotype" w:cs="ArialMT"/>
          <w:sz w:val="20"/>
          <w:szCs w:val="20"/>
        </w:rPr>
        <w:t xml:space="preserve"> Part A: 78:15, 976-992. </w:t>
      </w:r>
    </w:p>
    <w:p w14:paraId="48DDE97D"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 xml:space="preserve">Byrne, S.  S Seguinot-Medina, P Miller, V Waghiyi, FA von Hippel, CL Buck, DO Carpenter. 2017. Exposure to polybrominated diphenyl ethers and perfluoroalkyl substances in a remote population of Alaska Natives. </w:t>
      </w:r>
      <w:r w:rsidRPr="000E2025">
        <w:rPr>
          <w:rFonts w:ascii="Palatino Linotype" w:hAnsi="Palatino Linotype" w:cs="ArialMT"/>
          <w:i/>
          <w:iCs/>
          <w:sz w:val="20"/>
          <w:szCs w:val="20"/>
        </w:rPr>
        <w:t>Environ Pollut</w:t>
      </w:r>
      <w:r w:rsidRPr="000E2025">
        <w:rPr>
          <w:rFonts w:ascii="Palatino Linotype" w:hAnsi="Palatino Linotype" w:cs="ArialMT"/>
          <w:sz w:val="20"/>
          <w:szCs w:val="20"/>
        </w:rPr>
        <w:t xml:space="preserve"> 2017 Aug 14,231(Pt 1) 387-395. </w:t>
      </w:r>
    </w:p>
    <w:p w14:paraId="04533B87"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 xml:space="preserve">Byrne, SC, PK Miller, S Seguinot-Medina, V. Waghiyi, CL Buck, FA von Hippel, DO Carpenter. 2017. Associations between serum polybrominated diphenyl ethers and thyroid hormones in a remote Alaska Native population. Environmental Pollution 231 (2017) 387-305.  </w:t>
      </w:r>
    </w:p>
    <w:p w14:paraId="081F58BA"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von Hippel FA, PK Miller, DO Carpenter, D Dillon, L Smayda, I Katsiadaki, T Titus, P Batzel, JH Postlethwait, CL Buck. 2018. Endocrine disruption and differential gene expression in sentinel fish on St. Lawrence Island, Alaska: health implications for indigenous residents. Environ Pollut. 2018 Mar;234:279-287.</w:t>
      </w:r>
    </w:p>
    <w:p w14:paraId="359B9144"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Byrne, s et al. 2018 Exposure to perfluoroalkyl substances and associations with serum thyroid hormones in a remote population of Alaska natives. Scientific Reports 8:2198-2207.</w:t>
      </w:r>
    </w:p>
    <w:p w14:paraId="2C20B24C"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 xml:space="preserve">Zheng, Guomao. Pamela K. Miller, Frank von Hippel, C. Loren Buck, David O. Carpenter, Amina Salamova. 2020. Legacy and emerging semi-volatile organic compounds in sentinel fish from an Arctic formerly used defense site in Alaska. </w:t>
      </w:r>
      <w:r w:rsidRPr="000E2025">
        <w:rPr>
          <w:rFonts w:ascii="Palatino Linotype" w:hAnsi="Palatino Linotype" w:cs="ArialMT"/>
          <w:i/>
          <w:iCs/>
          <w:sz w:val="20"/>
          <w:szCs w:val="20"/>
        </w:rPr>
        <w:t xml:space="preserve">Environmental Pollution </w:t>
      </w:r>
      <w:r w:rsidRPr="000E2025">
        <w:rPr>
          <w:rFonts w:ascii="Palatino Linotype" w:hAnsi="Palatino Linotype" w:cs="ArialMT"/>
          <w:sz w:val="20"/>
          <w:szCs w:val="20"/>
        </w:rPr>
        <w:t xml:space="preserve">259: 113872. </w:t>
      </w:r>
    </w:p>
    <w:p w14:paraId="7D64EA38" w14:textId="77777777" w:rsidR="000E2025" w:rsidRPr="000E2025" w:rsidRDefault="000E2025" w:rsidP="000E2025">
      <w:pPr>
        <w:numPr>
          <w:ilvl w:val="0"/>
          <w:numId w:val="3"/>
        </w:numPr>
        <w:autoSpaceDE w:val="0"/>
        <w:autoSpaceDN w:val="0"/>
        <w:adjustRightInd w:val="0"/>
        <w:spacing w:after="0" w:line="240" w:lineRule="auto"/>
        <w:jc w:val="both"/>
        <w:rPr>
          <w:rFonts w:ascii="Palatino Linotype" w:hAnsi="Palatino Linotype" w:cs="ArialMT"/>
          <w:sz w:val="20"/>
          <w:szCs w:val="20"/>
        </w:rPr>
      </w:pPr>
      <w:r w:rsidRPr="000E2025">
        <w:rPr>
          <w:rFonts w:ascii="Palatino Linotype" w:hAnsi="Palatino Linotype" w:cs="ArialMT"/>
          <w:sz w:val="20"/>
          <w:szCs w:val="20"/>
        </w:rPr>
        <w:t>Byrne, et al. 2021. PFAS in traditional foods of the Yupik people of Sivuqaq. Submitted for review.</w:t>
      </w:r>
    </w:p>
    <w:p w14:paraId="1190757D" w14:textId="77777777" w:rsidR="000E2025" w:rsidRPr="000E2025" w:rsidRDefault="000E2025" w:rsidP="00483E28">
      <w:pPr>
        <w:autoSpaceDE w:val="0"/>
        <w:autoSpaceDN w:val="0"/>
        <w:adjustRightInd w:val="0"/>
        <w:spacing w:after="0" w:line="240" w:lineRule="auto"/>
        <w:jc w:val="both"/>
        <w:rPr>
          <w:rFonts w:ascii="Palatino Linotype" w:hAnsi="Palatino Linotype" w:cs="ArialMT"/>
        </w:rPr>
      </w:pPr>
    </w:p>
    <w:sectPr w:rsidR="000E2025" w:rsidRPr="000E2025" w:rsidSect="00F34B75">
      <w:headerReference w:type="default" r:id="rId19"/>
      <w:footerReference w:type="default" r:id="rId20"/>
      <w:pgSz w:w="12240" w:h="15840"/>
      <w:pgMar w:top="2250" w:right="1008"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9135" w14:textId="77777777" w:rsidR="002B57FE" w:rsidRDefault="002B57FE" w:rsidP="00D26444">
      <w:pPr>
        <w:spacing w:after="0" w:line="240" w:lineRule="auto"/>
      </w:pPr>
      <w:r>
        <w:separator/>
      </w:r>
    </w:p>
  </w:endnote>
  <w:endnote w:type="continuationSeparator" w:id="0">
    <w:p w14:paraId="7BD87DAD" w14:textId="77777777" w:rsidR="002B57FE" w:rsidRDefault="002B57FE" w:rsidP="00D2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0F4" w14:textId="77777777" w:rsidR="001E06F8" w:rsidRDefault="001E06F8" w:rsidP="003C74FD">
    <w:pPr>
      <w:pStyle w:val="Footer"/>
      <w:rPr>
        <w:rFonts w:ascii="Arial" w:hAnsi="Arial" w:cs="Arial"/>
        <w:color w:val="7AC143"/>
        <w:sz w:val="17"/>
        <w:szCs w:val="17"/>
      </w:rPr>
    </w:pPr>
  </w:p>
  <w:p w14:paraId="73D920C5" w14:textId="77777777" w:rsidR="001E06F8" w:rsidRPr="001229BD" w:rsidRDefault="00D7680B" w:rsidP="000D5027">
    <w:pPr>
      <w:pStyle w:val="Footer"/>
      <w:jc w:val="center"/>
      <w:rPr>
        <w:rFonts w:ascii="Arial" w:hAnsi="Arial" w:cs="Arial"/>
        <w:color w:val="7AC143"/>
        <w:sz w:val="17"/>
        <w:szCs w:val="17"/>
      </w:rPr>
    </w:pPr>
    <w:r>
      <w:rPr>
        <w:rFonts w:ascii="Arial" w:hAnsi="Arial" w:cs="Arial"/>
        <w:noProof/>
        <w:color w:val="7AC143"/>
        <w:sz w:val="17"/>
        <w:szCs w:val="17"/>
      </w:rPr>
      <w:t>.</w:t>
    </w:r>
    <w:r>
      <w:rPr>
        <w:rFonts w:ascii="Arial" w:hAnsi="Arial" w:cs="Arial"/>
        <w:noProof/>
        <w:color w:val="7AC143"/>
        <w:sz w:val="17"/>
        <w:szCs w:val="17"/>
      </w:rPr>
      <w:drawing>
        <wp:inline distT="0" distB="0" distL="0" distR="0" wp14:anchorId="7DD5AB2E" wp14:editId="09150411">
          <wp:extent cx="6446520" cy="490220"/>
          <wp:effectExtent l="25400" t="0" r="5080" b="0"/>
          <wp:docPr id="3" name="Picture 2" descr="ipen_letterhead_foo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etterhead_footer3.jpg"/>
                  <pic:cNvPicPr/>
                </pic:nvPicPr>
                <pic:blipFill>
                  <a:blip r:embed="rId1"/>
                  <a:stretch>
                    <a:fillRect/>
                  </a:stretch>
                </pic:blipFill>
                <pic:spPr>
                  <a:xfrm>
                    <a:off x="0" y="0"/>
                    <a:ext cx="6446520" cy="490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B1C2" w14:textId="77777777" w:rsidR="002B57FE" w:rsidRDefault="002B57FE" w:rsidP="00D26444">
      <w:pPr>
        <w:spacing w:after="0" w:line="240" w:lineRule="auto"/>
      </w:pPr>
      <w:r>
        <w:separator/>
      </w:r>
    </w:p>
  </w:footnote>
  <w:footnote w:type="continuationSeparator" w:id="0">
    <w:p w14:paraId="431F7650" w14:textId="77777777" w:rsidR="002B57FE" w:rsidRDefault="002B57FE" w:rsidP="00D2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919F" w14:textId="77777777" w:rsidR="001E06F8" w:rsidRDefault="00724F00" w:rsidP="00D40B81">
    <w:pPr>
      <w:pStyle w:val="Header"/>
      <w:rPr>
        <w:rFonts w:ascii="Arial Narrow" w:hAnsi="Arial Narrow"/>
        <w:color w:val="5F6062"/>
        <w:sz w:val="15"/>
      </w:rPr>
    </w:pPr>
    <w:r>
      <w:rPr>
        <w:noProof/>
      </w:rPr>
      <w:drawing>
        <wp:inline distT="0" distB="0" distL="0" distR="0" wp14:anchorId="628BE8D9" wp14:editId="2C70C8D7">
          <wp:extent cx="1434272" cy="896400"/>
          <wp:effectExtent l="0" t="0" r="1270" b="571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stretch>
                    <a:fillRect/>
                  </a:stretch>
                </pic:blipFill>
                <pic:spPr>
                  <a:xfrm>
                    <a:off x="0" y="0"/>
                    <a:ext cx="1434272" cy="896400"/>
                  </a:xfrm>
                  <a:prstGeom prst="rect">
                    <a:avLst/>
                  </a:prstGeom>
                </pic:spPr>
              </pic:pic>
            </a:graphicData>
          </a:graphic>
        </wp:inline>
      </w:drawing>
    </w:r>
  </w:p>
  <w:p w14:paraId="298D4ED7" w14:textId="77777777" w:rsidR="001E06F8" w:rsidRPr="00D26444" w:rsidRDefault="001E06F8" w:rsidP="00261675">
    <w:pPr>
      <w:pStyle w:val="Header"/>
      <w:ind w:left="8370" w:hanging="90"/>
      <w:rPr>
        <w:rFonts w:ascii="Arial Narrow" w:hAnsi="Arial Narrow"/>
        <w:b/>
        <w:color w:val="5F6062"/>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7633C"/>
    <w:multiLevelType w:val="hybridMultilevel"/>
    <w:tmpl w:val="EA6CE09E"/>
    <w:lvl w:ilvl="0" w:tplc="CB56211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45801"/>
    <w:multiLevelType w:val="hybridMultilevel"/>
    <w:tmpl w:val="F42CF03A"/>
    <w:lvl w:ilvl="0" w:tplc="5FCEB932">
      <w:start w:val="1"/>
      <w:numFmt w:val="bullet"/>
      <w:lvlText w:val=""/>
      <w:lvlJc w:val="left"/>
      <w:pPr>
        <w:tabs>
          <w:tab w:val="num" w:pos="720"/>
        </w:tabs>
        <w:ind w:left="720" w:hanging="360"/>
      </w:pPr>
      <w:rPr>
        <w:rFonts w:ascii="Wingdings" w:hAnsi="Wingdings" w:hint="default"/>
      </w:rPr>
    </w:lvl>
    <w:lvl w:ilvl="1" w:tplc="259AF03E" w:tentative="1">
      <w:start w:val="1"/>
      <w:numFmt w:val="bullet"/>
      <w:lvlText w:val=""/>
      <w:lvlJc w:val="left"/>
      <w:pPr>
        <w:tabs>
          <w:tab w:val="num" w:pos="1440"/>
        </w:tabs>
        <w:ind w:left="1440" w:hanging="360"/>
      </w:pPr>
      <w:rPr>
        <w:rFonts w:ascii="Wingdings" w:hAnsi="Wingdings" w:hint="default"/>
      </w:rPr>
    </w:lvl>
    <w:lvl w:ilvl="2" w:tplc="0B181C80" w:tentative="1">
      <w:start w:val="1"/>
      <w:numFmt w:val="bullet"/>
      <w:lvlText w:val=""/>
      <w:lvlJc w:val="left"/>
      <w:pPr>
        <w:tabs>
          <w:tab w:val="num" w:pos="2160"/>
        </w:tabs>
        <w:ind w:left="2160" w:hanging="360"/>
      </w:pPr>
      <w:rPr>
        <w:rFonts w:ascii="Wingdings" w:hAnsi="Wingdings" w:hint="default"/>
      </w:rPr>
    </w:lvl>
    <w:lvl w:ilvl="3" w:tplc="9F563EBC" w:tentative="1">
      <w:start w:val="1"/>
      <w:numFmt w:val="bullet"/>
      <w:lvlText w:val=""/>
      <w:lvlJc w:val="left"/>
      <w:pPr>
        <w:tabs>
          <w:tab w:val="num" w:pos="2880"/>
        </w:tabs>
        <w:ind w:left="2880" w:hanging="360"/>
      </w:pPr>
      <w:rPr>
        <w:rFonts w:ascii="Wingdings" w:hAnsi="Wingdings" w:hint="default"/>
      </w:rPr>
    </w:lvl>
    <w:lvl w:ilvl="4" w:tplc="FF34FD58" w:tentative="1">
      <w:start w:val="1"/>
      <w:numFmt w:val="bullet"/>
      <w:lvlText w:val=""/>
      <w:lvlJc w:val="left"/>
      <w:pPr>
        <w:tabs>
          <w:tab w:val="num" w:pos="3600"/>
        </w:tabs>
        <w:ind w:left="3600" w:hanging="360"/>
      </w:pPr>
      <w:rPr>
        <w:rFonts w:ascii="Wingdings" w:hAnsi="Wingdings" w:hint="default"/>
      </w:rPr>
    </w:lvl>
    <w:lvl w:ilvl="5" w:tplc="B29A4D78" w:tentative="1">
      <w:start w:val="1"/>
      <w:numFmt w:val="bullet"/>
      <w:lvlText w:val=""/>
      <w:lvlJc w:val="left"/>
      <w:pPr>
        <w:tabs>
          <w:tab w:val="num" w:pos="4320"/>
        </w:tabs>
        <w:ind w:left="4320" w:hanging="360"/>
      </w:pPr>
      <w:rPr>
        <w:rFonts w:ascii="Wingdings" w:hAnsi="Wingdings" w:hint="default"/>
      </w:rPr>
    </w:lvl>
    <w:lvl w:ilvl="6" w:tplc="715C6EC6" w:tentative="1">
      <w:start w:val="1"/>
      <w:numFmt w:val="bullet"/>
      <w:lvlText w:val=""/>
      <w:lvlJc w:val="left"/>
      <w:pPr>
        <w:tabs>
          <w:tab w:val="num" w:pos="5040"/>
        </w:tabs>
        <w:ind w:left="5040" w:hanging="360"/>
      </w:pPr>
      <w:rPr>
        <w:rFonts w:ascii="Wingdings" w:hAnsi="Wingdings" w:hint="default"/>
      </w:rPr>
    </w:lvl>
    <w:lvl w:ilvl="7" w:tplc="436E48B8" w:tentative="1">
      <w:start w:val="1"/>
      <w:numFmt w:val="bullet"/>
      <w:lvlText w:val=""/>
      <w:lvlJc w:val="left"/>
      <w:pPr>
        <w:tabs>
          <w:tab w:val="num" w:pos="5760"/>
        </w:tabs>
        <w:ind w:left="5760" w:hanging="360"/>
      </w:pPr>
      <w:rPr>
        <w:rFonts w:ascii="Wingdings" w:hAnsi="Wingdings" w:hint="default"/>
      </w:rPr>
    </w:lvl>
    <w:lvl w:ilvl="8" w:tplc="07D494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7D7FEC"/>
    <w:multiLevelType w:val="multilevel"/>
    <w:tmpl w:val="9D04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C5"/>
    <w:rsid w:val="00020505"/>
    <w:rsid w:val="00043B40"/>
    <w:rsid w:val="00074CB2"/>
    <w:rsid w:val="00075380"/>
    <w:rsid w:val="000C7E82"/>
    <w:rsid w:val="000D4D43"/>
    <w:rsid w:val="000D5027"/>
    <w:rsid w:val="000E2025"/>
    <w:rsid w:val="000E6D2B"/>
    <w:rsid w:val="001044A6"/>
    <w:rsid w:val="001074D7"/>
    <w:rsid w:val="00115457"/>
    <w:rsid w:val="00117ECC"/>
    <w:rsid w:val="001229BD"/>
    <w:rsid w:val="00123A67"/>
    <w:rsid w:val="00145C70"/>
    <w:rsid w:val="00173865"/>
    <w:rsid w:val="0018201B"/>
    <w:rsid w:val="0018335E"/>
    <w:rsid w:val="001A7CE1"/>
    <w:rsid w:val="001D598B"/>
    <w:rsid w:val="001E06F8"/>
    <w:rsid w:val="0020553E"/>
    <w:rsid w:val="002130B7"/>
    <w:rsid w:val="00223BFA"/>
    <w:rsid w:val="00230073"/>
    <w:rsid w:val="0023742C"/>
    <w:rsid w:val="00247B5B"/>
    <w:rsid w:val="00250E7D"/>
    <w:rsid w:val="00256995"/>
    <w:rsid w:val="00261675"/>
    <w:rsid w:val="002644FB"/>
    <w:rsid w:val="0028152B"/>
    <w:rsid w:val="002B57FE"/>
    <w:rsid w:val="002C6D6B"/>
    <w:rsid w:val="002E0B60"/>
    <w:rsid w:val="002F31C6"/>
    <w:rsid w:val="002F47A4"/>
    <w:rsid w:val="00324CF8"/>
    <w:rsid w:val="00344188"/>
    <w:rsid w:val="003604DB"/>
    <w:rsid w:val="003954AF"/>
    <w:rsid w:val="003C29E5"/>
    <w:rsid w:val="003C74FD"/>
    <w:rsid w:val="003F3E37"/>
    <w:rsid w:val="00402C03"/>
    <w:rsid w:val="00420E3C"/>
    <w:rsid w:val="00483E28"/>
    <w:rsid w:val="00485514"/>
    <w:rsid w:val="004934AD"/>
    <w:rsid w:val="004E2D48"/>
    <w:rsid w:val="0051121B"/>
    <w:rsid w:val="00554789"/>
    <w:rsid w:val="00561B70"/>
    <w:rsid w:val="00574700"/>
    <w:rsid w:val="005E19A3"/>
    <w:rsid w:val="005F1AEF"/>
    <w:rsid w:val="006023A3"/>
    <w:rsid w:val="00614244"/>
    <w:rsid w:val="00655AFC"/>
    <w:rsid w:val="00660D27"/>
    <w:rsid w:val="00671A67"/>
    <w:rsid w:val="006738E1"/>
    <w:rsid w:val="00695536"/>
    <w:rsid w:val="006B0E75"/>
    <w:rsid w:val="006B2D6B"/>
    <w:rsid w:val="006B3C79"/>
    <w:rsid w:val="006C56E7"/>
    <w:rsid w:val="006E1D95"/>
    <w:rsid w:val="006F17BD"/>
    <w:rsid w:val="00717DF2"/>
    <w:rsid w:val="00724F00"/>
    <w:rsid w:val="007334C1"/>
    <w:rsid w:val="007439F1"/>
    <w:rsid w:val="00794C0F"/>
    <w:rsid w:val="007B577A"/>
    <w:rsid w:val="007C134B"/>
    <w:rsid w:val="007C3582"/>
    <w:rsid w:val="007D2E4A"/>
    <w:rsid w:val="007D4DE8"/>
    <w:rsid w:val="00863E97"/>
    <w:rsid w:val="00867468"/>
    <w:rsid w:val="00872E02"/>
    <w:rsid w:val="00876DD5"/>
    <w:rsid w:val="00890802"/>
    <w:rsid w:val="008C1392"/>
    <w:rsid w:val="008D2206"/>
    <w:rsid w:val="008D6920"/>
    <w:rsid w:val="008F2C3E"/>
    <w:rsid w:val="008F3762"/>
    <w:rsid w:val="00901DC7"/>
    <w:rsid w:val="00937DA2"/>
    <w:rsid w:val="0094617B"/>
    <w:rsid w:val="00967884"/>
    <w:rsid w:val="0098659B"/>
    <w:rsid w:val="00997D36"/>
    <w:rsid w:val="009A291E"/>
    <w:rsid w:val="009D5F26"/>
    <w:rsid w:val="009E228E"/>
    <w:rsid w:val="00A31B32"/>
    <w:rsid w:val="00A32208"/>
    <w:rsid w:val="00A442DA"/>
    <w:rsid w:val="00A535EC"/>
    <w:rsid w:val="00A641BE"/>
    <w:rsid w:val="00A648B3"/>
    <w:rsid w:val="00A75CAB"/>
    <w:rsid w:val="00A85593"/>
    <w:rsid w:val="00AA03EA"/>
    <w:rsid w:val="00AA611A"/>
    <w:rsid w:val="00AB6F1C"/>
    <w:rsid w:val="00AC136D"/>
    <w:rsid w:val="00AE17BD"/>
    <w:rsid w:val="00B424C7"/>
    <w:rsid w:val="00B60CDD"/>
    <w:rsid w:val="00B93DCF"/>
    <w:rsid w:val="00BA329A"/>
    <w:rsid w:val="00BC2CC7"/>
    <w:rsid w:val="00BE26AD"/>
    <w:rsid w:val="00C01284"/>
    <w:rsid w:val="00C53831"/>
    <w:rsid w:val="00C77968"/>
    <w:rsid w:val="00CA6971"/>
    <w:rsid w:val="00CD2526"/>
    <w:rsid w:val="00CD6453"/>
    <w:rsid w:val="00CF1549"/>
    <w:rsid w:val="00D14940"/>
    <w:rsid w:val="00D26444"/>
    <w:rsid w:val="00D40B81"/>
    <w:rsid w:val="00D40D42"/>
    <w:rsid w:val="00D52A0F"/>
    <w:rsid w:val="00D7680B"/>
    <w:rsid w:val="00D93BE6"/>
    <w:rsid w:val="00DC44C4"/>
    <w:rsid w:val="00DD3D90"/>
    <w:rsid w:val="00E17930"/>
    <w:rsid w:val="00E17F3B"/>
    <w:rsid w:val="00E206A6"/>
    <w:rsid w:val="00E32C71"/>
    <w:rsid w:val="00E3749F"/>
    <w:rsid w:val="00E81D92"/>
    <w:rsid w:val="00E96C22"/>
    <w:rsid w:val="00EA2EC5"/>
    <w:rsid w:val="00EB0E36"/>
    <w:rsid w:val="00EB2241"/>
    <w:rsid w:val="00EC3324"/>
    <w:rsid w:val="00EE2C78"/>
    <w:rsid w:val="00F049F3"/>
    <w:rsid w:val="00F140E5"/>
    <w:rsid w:val="00F315AE"/>
    <w:rsid w:val="00F33A09"/>
    <w:rsid w:val="00F34B75"/>
    <w:rsid w:val="00F40CD7"/>
    <w:rsid w:val="00F851B2"/>
    <w:rsid w:val="00F96EC4"/>
    <w:rsid w:val="00F9726E"/>
    <w:rsid w:val="00FB364D"/>
    <w:rsid w:val="00FD1E76"/>
    <w:rsid w:val="00FD40C8"/>
    <w:rsid w:val="00FF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5E1540"/>
  <w15:docId w15:val="{1C9E5D69-4915-D845-9D90-D050FC8D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67"/>
  </w:style>
  <w:style w:type="paragraph" w:styleId="Heading1">
    <w:name w:val="heading 1"/>
    <w:basedOn w:val="Normal"/>
    <w:next w:val="Normal"/>
    <w:link w:val="Heading1Char"/>
    <w:uiPriority w:val="9"/>
    <w:qFormat/>
    <w:rsid w:val="008D2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6D2B"/>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44"/>
    <w:rPr>
      <w:rFonts w:ascii="Tahoma" w:hAnsi="Tahoma" w:cs="Tahoma"/>
      <w:sz w:val="16"/>
      <w:szCs w:val="16"/>
    </w:rPr>
  </w:style>
  <w:style w:type="paragraph" w:styleId="Header">
    <w:name w:val="header"/>
    <w:basedOn w:val="Normal"/>
    <w:link w:val="HeaderChar"/>
    <w:uiPriority w:val="99"/>
    <w:unhideWhenUsed/>
    <w:rsid w:val="00D2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44"/>
  </w:style>
  <w:style w:type="paragraph" w:styleId="Footer">
    <w:name w:val="footer"/>
    <w:basedOn w:val="Normal"/>
    <w:link w:val="FooterChar"/>
    <w:uiPriority w:val="99"/>
    <w:unhideWhenUsed/>
    <w:rsid w:val="00D2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44"/>
  </w:style>
  <w:style w:type="character" w:styleId="Hyperlink">
    <w:name w:val="Hyperlink"/>
    <w:basedOn w:val="DefaultParagraphFont"/>
    <w:uiPriority w:val="99"/>
    <w:unhideWhenUsed/>
    <w:rsid w:val="002E0B60"/>
    <w:rPr>
      <w:color w:val="0000FF" w:themeColor="hyperlink"/>
      <w:u w:val="single"/>
    </w:rPr>
  </w:style>
  <w:style w:type="character" w:styleId="UnresolvedMention">
    <w:name w:val="Unresolved Mention"/>
    <w:basedOn w:val="DefaultParagraphFont"/>
    <w:uiPriority w:val="99"/>
    <w:semiHidden/>
    <w:unhideWhenUsed/>
    <w:rsid w:val="002E0B60"/>
    <w:rPr>
      <w:color w:val="605E5C"/>
      <w:shd w:val="clear" w:color="auto" w:fill="E1DFDD"/>
    </w:rPr>
  </w:style>
  <w:style w:type="character" w:customStyle="1" w:styleId="Heading1Char">
    <w:name w:val="Heading 1 Char"/>
    <w:basedOn w:val="DefaultParagraphFont"/>
    <w:link w:val="Heading1"/>
    <w:uiPriority w:val="9"/>
    <w:rsid w:val="008D22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2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E6D2B"/>
    <w:rPr>
      <w:rFonts w:asciiTheme="majorHAnsi" w:eastAsiaTheme="majorEastAsia" w:hAnsiTheme="majorHAnsi" w:cstheme="majorBidi"/>
      <w:color w:val="000000" w:themeColor="text1"/>
      <w:sz w:val="24"/>
      <w:szCs w:val="24"/>
    </w:rPr>
  </w:style>
  <w:style w:type="character" w:styleId="FollowedHyperlink">
    <w:name w:val="FollowedHyperlink"/>
    <w:basedOn w:val="DefaultParagraphFont"/>
    <w:uiPriority w:val="99"/>
    <w:semiHidden/>
    <w:unhideWhenUsed/>
    <w:rsid w:val="002C6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241">
      <w:bodyDiv w:val="1"/>
      <w:marLeft w:val="0"/>
      <w:marRight w:val="0"/>
      <w:marTop w:val="0"/>
      <w:marBottom w:val="0"/>
      <w:divBdr>
        <w:top w:val="none" w:sz="0" w:space="0" w:color="auto"/>
        <w:left w:val="none" w:sz="0" w:space="0" w:color="auto"/>
        <w:bottom w:val="none" w:sz="0" w:space="0" w:color="auto"/>
        <w:right w:val="none" w:sz="0" w:space="0" w:color="auto"/>
      </w:divBdr>
    </w:div>
    <w:div w:id="80104188">
      <w:bodyDiv w:val="1"/>
      <w:marLeft w:val="0"/>
      <w:marRight w:val="0"/>
      <w:marTop w:val="0"/>
      <w:marBottom w:val="0"/>
      <w:divBdr>
        <w:top w:val="none" w:sz="0" w:space="0" w:color="auto"/>
        <w:left w:val="none" w:sz="0" w:space="0" w:color="auto"/>
        <w:bottom w:val="none" w:sz="0" w:space="0" w:color="auto"/>
        <w:right w:val="none" w:sz="0" w:space="0" w:color="auto"/>
      </w:divBdr>
    </w:div>
    <w:div w:id="156963381">
      <w:bodyDiv w:val="1"/>
      <w:marLeft w:val="0"/>
      <w:marRight w:val="0"/>
      <w:marTop w:val="0"/>
      <w:marBottom w:val="0"/>
      <w:divBdr>
        <w:top w:val="none" w:sz="0" w:space="0" w:color="auto"/>
        <w:left w:val="none" w:sz="0" w:space="0" w:color="auto"/>
        <w:bottom w:val="none" w:sz="0" w:space="0" w:color="auto"/>
        <w:right w:val="none" w:sz="0" w:space="0" w:color="auto"/>
      </w:divBdr>
    </w:div>
    <w:div w:id="218321923">
      <w:bodyDiv w:val="1"/>
      <w:marLeft w:val="0"/>
      <w:marRight w:val="0"/>
      <w:marTop w:val="0"/>
      <w:marBottom w:val="0"/>
      <w:divBdr>
        <w:top w:val="none" w:sz="0" w:space="0" w:color="auto"/>
        <w:left w:val="none" w:sz="0" w:space="0" w:color="auto"/>
        <w:bottom w:val="none" w:sz="0" w:space="0" w:color="auto"/>
        <w:right w:val="none" w:sz="0" w:space="0" w:color="auto"/>
      </w:divBdr>
    </w:div>
    <w:div w:id="453595015">
      <w:bodyDiv w:val="1"/>
      <w:marLeft w:val="0"/>
      <w:marRight w:val="0"/>
      <w:marTop w:val="0"/>
      <w:marBottom w:val="0"/>
      <w:divBdr>
        <w:top w:val="none" w:sz="0" w:space="0" w:color="auto"/>
        <w:left w:val="none" w:sz="0" w:space="0" w:color="auto"/>
        <w:bottom w:val="none" w:sz="0" w:space="0" w:color="auto"/>
        <w:right w:val="none" w:sz="0" w:space="0" w:color="auto"/>
      </w:divBdr>
    </w:div>
    <w:div w:id="604965986">
      <w:bodyDiv w:val="1"/>
      <w:marLeft w:val="0"/>
      <w:marRight w:val="0"/>
      <w:marTop w:val="0"/>
      <w:marBottom w:val="0"/>
      <w:divBdr>
        <w:top w:val="none" w:sz="0" w:space="0" w:color="auto"/>
        <w:left w:val="none" w:sz="0" w:space="0" w:color="auto"/>
        <w:bottom w:val="none" w:sz="0" w:space="0" w:color="auto"/>
        <w:right w:val="none" w:sz="0" w:space="0" w:color="auto"/>
      </w:divBdr>
    </w:div>
    <w:div w:id="658197683">
      <w:bodyDiv w:val="1"/>
      <w:marLeft w:val="0"/>
      <w:marRight w:val="0"/>
      <w:marTop w:val="0"/>
      <w:marBottom w:val="0"/>
      <w:divBdr>
        <w:top w:val="none" w:sz="0" w:space="0" w:color="auto"/>
        <w:left w:val="none" w:sz="0" w:space="0" w:color="auto"/>
        <w:bottom w:val="none" w:sz="0" w:space="0" w:color="auto"/>
        <w:right w:val="none" w:sz="0" w:space="0" w:color="auto"/>
      </w:divBdr>
      <w:divsChild>
        <w:div w:id="595408398">
          <w:marLeft w:val="0"/>
          <w:marRight w:val="0"/>
          <w:marTop w:val="0"/>
          <w:marBottom w:val="0"/>
          <w:divBdr>
            <w:top w:val="none" w:sz="0" w:space="0" w:color="auto"/>
            <w:left w:val="none" w:sz="0" w:space="0" w:color="auto"/>
            <w:bottom w:val="none" w:sz="0" w:space="0" w:color="auto"/>
            <w:right w:val="none" w:sz="0" w:space="0" w:color="auto"/>
          </w:divBdr>
        </w:div>
        <w:div w:id="1012491687">
          <w:marLeft w:val="0"/>
          <w:marRight w:val="0"/>
          <w:marTop w:val="0"/>
          <w:marBottom w:val="0"/>
          <w:divBdr>
            <w:top w:val="none" w:sz="0" w:space="0" w:color="auto"/>
            <w:left w:val="none" w:sz="0" w:space="0" w:color="auto"/>
            <w:bottom w:val="none" w:sz="0" w:space="0" w:color="auto"/>
            <w:right w:val="none" w:sz="0" w:space="0" w:color="auto"/>
          </w:divBdr>
        </w:div>
        <w:div w:id="1405759207">
          <w:marLeft w:val="0"/>
          <w:marRight w:val="0"/>
          <w:marTop w:val="0"/>
          <w:marBottom w:val="0"/>
          <w:divBdr>
            <w:top w:val="none" w:sz="0" w:space="0" w:color="auto"/>
            <w:left w:val="none" w:sz="0" w:space="0" w:color="auto"/>
            <w:bottom w:val="none" w:sz="0" w:space="0" w:color="auto"/>
            <w:right w:val="none" w:sz="0" w:space="0" w:color="auto"/>
          </w:divBdr>
        </w:div>
        <w:div w:id="2047944090">
          <w:marLeft w:val="0"/>
          <w:marRight w:val="0"/>
          <w:marTop w:val="0"/>
          <w:marBottom w:val="0"/>
          <w:divBdr>
            <w:top w:val="none" w:sz="0" w:space="0" w:color="auto"/>
            <w:left w:val="none" w:sz="0" w:space="0" w:color="auto"/>
            <w:bottom w:val="none" w:sz="0" w:space="0" w:color="auto"/>
            <w:right w:val="none" w:sz="0" w:space="0" w:color="auto"/>
          </w:divBdr>
        </w:div>
      </w:divsChild>
    </w:div>
    <w:div w:id="1315135661">
      <w:bodyDiv w:val="1"/>
      <w:marLeft w:val="0"/>
      <w:marRight w:val="0"/>
      <w:marTop w:val="0"/>
      <w:marBottom w:val="0"/>
      <w:divBdr>
        <w:top w:val="none" w:sz="0" w:space="0" w:color="auto"/>
        <w:left w:val="none" w:sz="0" w:space="0" w:color="auto"/>
        <w:bottom w:val="none" w:sz="0" w:space="0" w:color="auto"/>
        <w:right w:val="none" w:sz="0" w:space="0" w:color="auto"/>
      </w:divBdr>
    </w:div>
    <w:div w:id="1394891404">
      <w:bodyDiv w:val="1"/>
      <w:marLeft w:val="0"/>
      <w:marRight w:val="0"/>
      <w:marTop w:val="0"/>
      <w:marBottom w:val="0"/>
      <w:divBdr>
        <w:top w:val="none" w:sz="0" w:space="0" w:color="auto"/>
        <w:left w:val="none" w:sz="0" w:space="0" w:color="auto"/>
        <w:bottom w:val="none" w:sz="0" w:space="0" w:color="auto"/>
        <w:right w:val="none" w:sz="0" w:space="0" w:color="auto"/>
      </w:divBdr>
    </w:div>
    <w:div w:id="1408069201">
      <w:bodyDiv w:val="1"/>
      <w:marLeft w:val="0"/>
      <w:marRight w:val="0"/>
      <w:marTop w:val="0"/>
      <w:marBottom w:val="0"/>
      <w:divBdr>
        <w:top w:val="none" w:sz="0" w:space="0" w:color="auto"/>
        <w:left w:val="none" w:sz="0" w:space="0" w:color="auto"/>
        <w:bottom w:val="none" w:sz="0" w:space="0" w:color="auto"/>
        <w:right w:val="none" w:sz="0" w:space="0" w:color="auto"/>
      </w:divBdr>
    </w:div>
    <w:div w:id="1565333995">
      <w:bodyDiv w:val="1"/>
      <w:marLeft w:val="0"/>
      <w:marRight w:val="0"/>
      <w:marTop w:val="0"/>
      <w:marBottom w:val="0"/>
      <w:divBdr>
        <w:top w:val="none" w:sz="0" w:space="0" w:color="auto"/>
        <w:left w:val="none" w:sz="0" w:space="0" w:color="auto"/>
        <w:bottom w:val="none" w:sz="0" w:space="0" w:color="auto"/>
        <w:right w:val="none" w:sz="0" w:space="0" w:color="auto"/>
      </w:divBdr>
    </w:div>
    <w:div w:id="1872104006">
      <w:bodyDiv w:val="1"/>
      <w:marLeft w:val="0"/>
      <w:marRight w:val="0"/>
      <w:marTop w:val="0"/>
      <w:marBottom w:val="0"/>
      <w:divBdr>
        <w:top w:val="none" w:sz="0" w:space="0" w:color="auto"/>
        <w:left w:val="none" w:sz="0" w:space="0" w:color="auto"/>
        <w:bottom w:val="none" w:sz="0" w:space="0" w:color="auto"/>
        <w:right w:val="none" w:sz="0" w:space="0" w:color="auto"/>
      </w:divBdr>
      <w:divsChild>
        <w:div w:id="770473885">
          <w:marLeft w:val="547"/>
          <w:marRight w:val="0"/>
          <w:marTop w:val="53"/>
          <w:marBottom w:val="0"/>
          <w:divBdr>
            <w:top w:val="none" w:sz="0" w:space="0" w:color="auto"/>
            <w:left w:val="none" w:sz="0" w:space="0" w:color="auto"/>
            <w:bottom w:val="none" w:sz="0" w:space="0" w:color="auto"/>
            <w:right w:val="none" w:sz="0" w:space="0" w:color="auto"/>
          </w:divBdr>
        </w:div>
        <w:div w:id="1837111039">
          <w:marLeft w:val="547"/>
          <w:marRight w:val="0"/>
          <w:marTop w:val="53"/>
          <w:marBottom w:val="0"/>
          <w:divBdr>
            <w:top w:val="none" w:sz="0" w:space="0" w:color="auto"/>
            <w:left w:val="none" w:sz="0" w:space="0" w:color="auto"/>
            <w:bottom w:val="none" w:sz="0" w:space="0" w:color="auto"/>
            <w:right w:val="none" w:sz="0" w:space="0" w:color="auto"/>
          </w:divBdr>
        </w:div>
        <w:div w:id="1932857159">
          <w:marLeft w:val="547"/>
          <w:marRight w:val="0"/>
          <w:marTop w:val="53"/>
          <w:marBottom w:val="0"/>
          <w:divBdr>
            <w:top w:val="none" w:sz="0" w:space="0" w:color="auto"/>
            <w:left w:val="none" w:sz="0" w:space="0" w:color="auto"/>
            <w:bottom w:val="none" w:sz="0" w:space="0" w:color="auto"/>
            <w:right w:val="none" w:sz="0" w:space="0" w:color="auto"/>
          </w:divBdr>
        </w:div>
        <w:div w:id="1339960513">
          <w:marLeft w:val="547"/>
          <w:marRight w:val="0"/>
          <w:marTop w:val="53"/>
          <w:marBottom w:val="0"/>
          <w:divBdr>
            <w:top w:val="none" w:sz="0" w:space="0" w:color="auto"/>
            <w:left w:val="none" w:sz="0" w:space="0" w:color="auto"/>
            <w:bottom w:val="none" w:sz="0" w:space="0" w:color="auto"/>
            <w:right w:val="none" w:sz="0" w:space="0" w:color="auto"/>
          </w:divBdr>
        </w:div>
        <w:div w:id="1329752860">
          <w:marLeft w:val="547"/>
          <w:marRight w:val="0"/>
          <w:marTop w:val="53"/>
          <w:marBottom w:val="0"/>
          <w:divBdr>
            <w:top w:val="none" w:sz="0" w:space="0" w:color="auto"/>
            <w:left w:val="none" w:sz="0" w:space="0" w:color="auto"/>
            <w:bottom w:val="none" w:sz="0" w:space="0" w:color="auto"/>
            <w:right w:val="none" w:sz="0" w:space="0" w:color="auto"/>
          </w:divBdr>
        </w:div>
        <w:div w:id="31879399">
          <w:marLeft w:val="547"/>
          <w:marRight w:val="0"/>
          <w:marTop w:val="53"/>
          <w:marBottom w:val="0"/>
          <w:divBdr>
            <w:top w:val="none" w:sz="0" w:space="0" w:color="auto"/>
            <w:left w:val="none" w:sz="0" w:space="0" w:color="auto"/>
            <w:bottom w:val="none" w:sz="0" w:space="0" w:color="auto"/>
            <w:right w:val="none" w:sz="0" w:space="0" w:color="auto"/>
          </w:divBdr>
        </w:div>
        <w:div w:id="1506624512">
          <w:marLeft w:val="547"/>
          <w:marRight w:val="0"/>
          <w:marTop w:val="53"/>
          <w:marBottom w:val="0"/>
          <w:divBdr>
            <w:top w:val="none" w:sz="0" w:space="0" w:color="auto"/>
            <w:left w:val="none" w:sz="0" w:space="0" w:color="auto"/>
            <w:bottom w:val="none" w:sz="0" w:space="0" w:color="auto"/>
            <w:right w:val="none" w:sz="0" w:space="0" w:color="auto"/>
          </w:divBdr>
        </w:div>
        <w:div w:id="695279303">
          <w:marLeft w:val="547"/>
          <w:marRight w:val="0"/>
          <w:marTop w:val="53"/>
          <w:marBottom w:val="0"/>
          <w:divBdr>
            <w:top w:val="none" w:sz="0" w:space="0" w:color="auto"/>
            <w:left w:val="none" w:sz="0" w:space="0" w:color="auto"/>
            <w:bottom w:val="none" w:sz="0" w:space="0" w:color="auto"/>
            <w:right w:val="none" w:sz="0" w:space="0" w:color="auto"/>
          </w:divBdr>
        </w:div>
        <w:div w:id="326251645">
          <w:marLeft w:val="547"/>
          <w:marRight w:val="0"/>
          <w:marTop w:val="53"/>
          <w:marBottom w:val="0"/>
          <w:divBdr>
            <w:top w:val="none" w:sz="0" w:space="0" w:color="auto"/>
            <w:left w:val="none" w:sz="0" w:space="0" w:color="auto"/>
            <w:bottom w:val="none" w:sz="0" w:space="0" w:color="auto"/>
            <w:right w:val="none" w:sz="0" w:space="0" w:color="auto"/>
          </w:divBdr>
        </w:div>
        <w:div w:id="1421876704">
          <w:marLeft w:val="547"/>
          <w:marRight w:val="0"/>
          <w:marTop w:val="53"/>
          <w:marBottom w:val="0"/>
          <w:divBdr>
            <w:top w:val="none" w:sz="0" w:space="0" w:color="auto"/>
            <w:left w:val="none" w:sz="0" w:space="0" w:color="auto"/>
            <w:bottom w:val="none" w:sz="0" w:space="0" w:color="auto"/>
            <w:right w:val="none" w:sz="0" w:space="0" w:color="auto"/>
          </w:divBdr>
        </w:div>
        <w:div w:id="627316188">
          <w:marLeft w:val="547"/>
          <w:marRight w:val="0"/>
          <w:marTop w:val="53"/>
          <w:marBottom w:val="0"/>
          <w:divBdr>
            <w:top w:val="none" w:sz="0" w:space="0" w:color="auto"/>
            <w:left w:val="none" w:sz="0" w:space="0" w:color="auto"/>
            <w:bottom w:val="none" w:sz="0" w:space="0" w:color="auto"/>
            <w:right w:val="none" w:sz="0" w:space="0" w:color="auto"/>
          </w:divBdr>
        </w:div>
        <w:div w:id="297958795">
          <w:marLeft w:val="547"/>
          <w:marRight w:val="0"/>
          <w:marTop w:val="53"/>
          <w:marBottom w:val="0"/>
          <w:divBdr>
            <w:top w:val="none" w:sz="0" w:space="0" w:color="auto"/>
            <w:left w:val="none" w:sz="0" w:space="0" w:color="auto"/>
            <w:bottom w:val="none" w:sz="0" w:space="0" w:color="auto"/>
            <w:right w:val="none" w:sz="0" w:space="0" w:color="auto"/>
          </w:divBdr>
        </w:div>
      </w:divsChild>
    </w:div>
    <w:div w:id="21331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en.org/projects/mercury-fish-and-human-hair" TargetMode="External"/><Relationship Id="rId13" Type="http://schemas.openxmlformats.org/officeDocument/2006/relationships/hyperlink" Target="https://ipen.org/sites/default/files/documents/toxic_toy_report_2017_update_v1_5-en.pdf" TargetMode="External"/><Relationship Id="rId18" Type="http://schemas.openxmlformats.org/officeDocument/2006/relationships/hyperlink" Target="https://ipen.org/documents/aquatic-pollutants-oceans-and-fisher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pen.org/documents/global-mercury-hotspots" TargetMode="External"/><Relationship Id="rId12" Type="http://schemas.openxmlformats.org/officeDocument/2006/relationships/hyperlink" Target="https://ipen.org/sites/default/files/documents/final_ghana-egg-report-v1_6-web_copy.pdf" TargetMode="External"/><Relationship Id="rId17" Type="http://schemas.openxmlformats.org/officeDocument/2006/relationships/hyperlink" Target="https://ipen.org/documents/plastics-edcs-health" TargetMode="External"/><Relationship Id="rId2" Type="http://schemas.openxmlformats.org/officeDocument/2006/relationships/styles" Target="styles.xml"/><Relationship Id="rId16" Type="http://schemas.openxmlformats.org/officeDocument/2006/relationships/hyperlink" Target="https://ipen.org/documents/women-chemicals-and-sdg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en.org/documents/mercury-exposure-women-four-latin-american-gold-mining-countries" TargetMode="External"/><Relationship Id="rId5" Type="http://schemas.openxmlformats.org/officeDocument/2006/relationships/footnotes" Target="footnotes.xml"/><Relationship Id="rId15" Type="http://schemas.openxmlformats.org/officeDocument/2006/relationships/hyperlink" Target="https://ipen.org/documents/plastic-waste-poisoning-food-and-threatening-communities-africa-asia-central-eastern" TargetMode="External"/><Relationship Id="rId10" Type="http://schemas.openxmlformats.org/officeDocument/2006/relationships/hyperlink" Target="https://ipen.org/project-reports/inventory-and-mapping-mercury-use-artisanal-small-scale-gold-mining-asgm-sit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xus3foundation.org/mercury" TargetMode="External"/><Relationship Id="rId14" Type="http://schemas.openxmlformats.org/officeDocument/2006/relationships/hyperlink" Target="https://ipen.org/documents/toxic-soup-dioxins-plastic-toy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IPEN</dc:creator>
  <cp:lastModifiedBy>Pamela Miller</cp:lastModifiedBy>
  <cp:revision>3</cp:revision>
  <cp:lastPrinted>2012-04-19T17:58:00Z</cp:lastPrinted>
  <dcterms:created xsi:type="dcterms:W3CDTF">2021-11-03T05:20:00Z</dcterms:created>
  <dcterms:modified xsi:type="dcterms:W3CDTF">2021-11-03T05:21:00Z</dcterms:modified>
</cp:coreProperties>
</file>