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BB" w:rsidRPr="0066373F" w:rsidRDefault="00DF0EBB" w:rsidP="00DF0EBB">
      <w:pPr>
        <w:jc w:val="center"/>
        <w:rPr>
          <w:rFonts w:ascii="Times New Roman" w:hAnsi="Times New Roman" w:cs="Times New Roman"/>
          <w:b/>
          <w:bCs/>
          <w:lang w:val="en-US"/>
        </w:rPr>
      </w:pPr>
      <w:r w:rsidRPr="0066373F">
        <w:rPr>
          <w:rFonts w:ascii="Times New Roman" w:hAnsi="Times New Roman" w:cs="Times New Roman"/>
          <w:b/>
          <w:bCs/>
          <w:lang w:val="en-US"/>
        </w:rPr>
        <w:t>Answer to the Questionnaire provided by the</w:t>
      </w:r>
      <w:r w:rsidRPr="0066373F">
        <w:rPr>
          <w:rFonts w:ascii="Times New Roman" w:hAnsi="Times New Roman" w:cs="Times New Roman"/>
          <w:b/>
          <w:bCs/>
          <w:lang w:val="en-US"/>
        </w:rPr>
        <w:br/>
        <w:t xml:space="preserve"> Hungarian Ombudsman for Future Generations</w:t>
      </w:r>
    </w:p>
    <w:p w:rsidR="00311E0F" w:rsidRPr="0066373F" w:rsidRDefault="00311E0F" w:rsidP="00DF0EBB">
      <w:pPr>
        <w:jc w:val="center"/>
        <w:rPr>
          <w:rFonts w:ascii="Times New Roman" w:hAnsi="Times New Roman" w:cs="Times New Roman"/>
          <w:b/>
          <w:bCs/>
          <w:lang w:val="en-US"/>
        </w:rPr>
      </w:pPr>
    </w:p>
    <w:p w:rsidR="00311E0F" w:rsidRPr="0066373F" w:rsidRDefault="00311E0F" w:rsidP="00311E0F">
      <w:pPr>
        <w:jc w:val="both"/>
        <w:rPr>
          <w:rFonts w:ascii="Times New Roman" w:hAnsi="Times New Roman" w:cs="Times New Roman"/>
          <w:bCs/>
          <w:lang w:val="en-US"/>
        </w:rPr>
      </w:pPr>
      <w:r w:rsidRPr="0066373F">
        <w:rPr>
          <w:rFonts w:ascii="Times New Roman" w:hAnsi="Times New Roman" w:cs="Times New Roman"/>
          <w:bCs/>
          <w:lang w:val="en-US"/>
        </w:rPr>
        <w:t>The Hungarian Ombudsman for Future Generations (</w:t>
      </w:r>
      <w:r w:rsidR="0066373F" w:rsidRPr="0066373F">
        <w:rPr>
          <w:rFonts w:ascii="Times New Roman" w:hAnsi="Times New Roman" w:cs="Times New Roman"/>
          <w:bCs/>
          <w:lang w:val="en-US"/>
        </w:rPr>
        <w:t>FGO</w:t>
      </w:r>
      <w:r w:rsidRPr="0066373F">
        <w:rPr>
          <w:rFonts w:ascii="Times New Roman" w:hAnsi="Times New Roman" w:cs="Times New Roman"/>
          <w:bCs/>
          <w:lang w:val="en-US"/>
        </w:rPr>
        <w:t xml:space="preserve">) </w:t>
      </w:r>
      <w:r w:rsidR="001075F1" w:rsidRPr="0066373F">
        <w:rPr>
          <w:rFonts w:ascii="Times New Roman" w:hAnsi="Times New Roman" w:cs="Times New Roman"/>
          <w:bCs/>
          <w:lang w:val="en-US"/>
        </w:rPr>
        <w:t>is a Deputy to the Commissioner for Fundamental Rights</w:t>
      </w:r>
      <w:r w:rsidR="008C1F1C">
        <w:rPr>
          <w:rFonts w:ascii="Times New Roman" w:hAnsi="Times New Roman" w:cs="Times New Roman"/>
          <w:bCs/>
          <w:lang w:val="en-US"/>
        </w:rPr>
        <w:t xml:space="preserve"> (</w:t>
      </w:r>
      <w:r w:rsidR="001075F1" w:rsidRPr="0066373F">
        <w:rPr>
          <w:rFonts w:ascii="Times New Roman" w:hAnsi="Times New Roman" w:cs="Times New Roman"/>
          <w:bCs/>
          <w:lang w:val="en-US"/>
        </w:rPr>
        <w:t>the Hungarian NHRI</w:t>
      </w:r>
      <w:r w:rsidR="008C1F1C">
        <w:rPr>
          <w:rFonts w:ascii="Times New Roman" w:hAnsi="Times New Roman" w:cs="Times New Roman"/>
          <w:bCs/>
          <w:lang w:val="en-US"/>
        </w:rPr>
        <w:t>)</w:t>
      </w:r>
      <w:r w:rsidR="001075F1" w:rsidRPr="0066373F">
        <w:rPr>
          <w:rFonts w:ascii="Times New Roman" w:hAnsi="Times New Roman" w:cs="Times New Roman"/>
          <w:bCs/>
          <w:lang w:val="en-US"/>
        </w:rPr>
        <w:t xml:space="preserve">, </w:t>
      </w:r>
      <w:r w:rsidRPr="0066373F">
        <w:rPr>
          <w:rFonts w:ascii="Times New Roman" w:hAnsi="Times New Roman" w:cs="Times New Roman"/>
          <w:bCs/>
          <w:lang w:val="en-US"/>
        </w:rPr>
        <w:t xml:space="preserve">a </w:t>
      </w:r>
      <w:r w:rsidR="001075F1" w:rsidRPr="0066373F">
        <w:rPr>
          <w:rFonts w:ascii="Times New Roman" w:hAnsi="Times New Roman" w:cs="Times New Roman"/>
          <w:bCs/>
          <w:lang w:val="en-US"/>
        </w:rPr>
        <w:t xml:space="preserve">supervisory </w:t>
      </w:r>
      <w:r w:rsidRPr="0066373F">
        <w:rPr>
          <w:rFonts w:ascii="Times New Roman" w:hAnsi="Times New Roman" w:cs="Times New Roman"/>
          <w:bCs/>
          <w:lang w:val="en-US"/>
        </w:rPr>
        <w:t xml:space="preserve">organ </w:t>
      </w:r>
      <w:r w:rsidR="008C1F1C">
        <w:rPr>
          <w:rFonts w:ascii="Times New Roman" w:hAnsi="Times New Roman" w:cs="Times New Roman"/>
          <w:bCs/>
          <w:lang w:val="en-US"/>
        </w:rPr>
        <w:t>attached to</w:t>
      </w:r>
      <w:r w:rsidR="008C1F1C" w:rsidRPr="0066373F">
        <w:rPr>
          <w:rFonts w:ascii="Times New Roman" w:hAnsi="Times New Roman" w:cs="Times New Roman"/>
          <w:bCs/>
          <w:lang w:val="en-US"/>
        </w:rPr>
        <w:t xml:space="preserve"> </w:t>
      </w:r>
      <w:r w:rsidRPr="0066373F">
        <w:rPr>
          <w:rFonts w:ascii="Times New Roman" w:hAnsi="Times New Roman" w:cs="Times New Roman"/>
          <w:bCs/>
          <w:lang w:val="en-US"/>
        </w:rPr>
        <w:t>the Hungarian Parliament</w:t>
      </w:r>
      <w:r w:rsidR="001075F1" w:rsidRPr="0066373F">
        <w:rPr>
          <w:rFonts w:ascii="Times New Roman" w:hAnsi="Times New Roman" w:cs="Times New Roman"/>
          <w:bCs/>
          <w:lang w:val="en-US"/>
        </w:rPr>
        <w:t>. The FGO has</w:t>
      </w:r>
      <w:r w:rsidRPr="0066373F">
        <w:rPr>
          <w:rFonts w:ascii="Times New Roman" w:hAnsi="Times New Roman" w:cs="Times New Roman"/>
          <w:bCs/>
          <w:lang w:val="en-US"/>
        </w:rPr>
        <w:t xml:space="preserve"> </w:t>
      </w:r>
      <w:r w:rsidR="001075F1" w:rsidRPr="0066373F">
        <w:rPr>
          <w:rFonts w:ascii="Times New Roman" w:hAnsi="Times New Roman" w:cs="Times New Roman"/>
          <w:bCs/>
          <w:lang w:val="en-US"/>
        </w:rPr>
        <w:t xml:space="preserve">a </w:t>
      </w:r>
      <w:r w:rsidRPr="0066373F">
        <w:rPr>
          <w:rFonts w:ascii="Times New Roman" w:hAnsi="Times New Roman" w:cs="Times New Roman"/>
          <w:bCs/>
          <w:lang w:val="en-US"/>
        </w:rPr>
        <w:t xml:space="preserve">specific constitutional mandate </w:t>
      </w:r>
      <w:r w:rsidR="005B6286" w:rsidRPr="0066373F">
        <w:rPr>
          <w:rFonts w:ascii="Times New Roman" w:hAnsi="Times New Roman" w:cs="Times New Roman"/>
          <w:bCs/>
          <w:lang w:val="en-US"/>
        </w:rPr>
        <w:t xml:space="preserve">anchored in three </w:t>
      </w:r>
      <w:r w:rsidR="001075F1" w:rsidRPr="0066373F">
        <w:rPr>
          <w:rFonts w:ascii="Times New Roman" w:hAnsi="Times New Roman" w:cs="Times New Roman"/>
          <w:bCs/>
          <w:lang w:val="en-US"/>
        </w:rPr>
        <w:t xml:space="preserve">different </w:t>
      </w:r>
      <w:r w:rsidR="005B6286" w:rsidRPr="0066373F">
        <w:rPr>
          <w:rFonts w:ascii="Times New Roman" w:hAnsi="Times New Roman" w:cs="Times New Roman"/>
          <w:bCs/>
          <w:lang w:val="en-US"/>
        </w:rPr>
        <w:t>clauses of the Fundamental Law:</w:t>
      </w:r>
      <w:r w:rsidR="001075F1" w:rsidRPr="0066373F">
        <w:rPr>
          <w:rFonts w:ascii="Times New Roman" w:hAnsi="Times New Roman" w:cs="Times New Roman"/>
          <w:bCs/>
          <w:lang w:val="en-US"/>
        </w:rPr>
        <w:t xml:space="preserve"> (i)</w:t>
      </w:r>
      <w:r w:rsidR="005B6286" w:rsidRPr="0066373F">
        <w:rPr>
          <w:rFonts w:ascii="Times New Roman" w:hAnsi="Times New Roman" w:cs="Times New Roman"/>
          <w:bCs/>
          <w:lang w:val="en-US"/>
        </w:rPr>
        <w:t xml:space="preserve"> </w:t>
      </w:r>
      <w:r w:rsidRPr="0066373F">
        <w:rPr>
          <w:rFonts w:ascii="Times New Roman" w:hAnsi="Times New Roman" w:cs="Times New Roman"/>
          <w:bCs/>
          <w:lang w:val="en-US"/>
        </w:rPr>
        <w:t xml:space="preserve">to safeguard the </w:t>
      </w:r>
      <w:r w:rsidR="005B6286" w:rsidRPr="0066373F">
        <w:rPr>
          <w:rFonts w:ascii="Times New Roman" w:hAnsi="Times New Roman" w:cs="Times New Roman"/>
          <w:bCs/>
          <w:lang w:val="en-US"/>
        </w:rPr>
        <w:t>common heritage of the nation (meaning environmental and cultural heritage) for</w:t>
      </w:r>
      <w:r w:rsidR="0066373F" w:rsidRPr="0066373F">
        <w:rPr>
          <w:rFonts w:ascii="Times New Roman" w:hAnsi="Times New Roman" w:cs="Times New Roman"/>
          <w:bCs/>
          <w:lang w:val="en-US"/>
        </w:rPr>
        <w:t xml:space="preserve"> </w:t>
      </w:r>
      <w:r w:rsidRPr="0066373F">
        <w:rPr>
          <w:rFonts w:ascii="Times New Roman" w:hAnsi="Times New Roman" w:cs="Times New Roman"/>
          <w:bCs/>
          <w:lang w:val="en-US"/>
        </w:rPr>
        <w:t xml:space="preserve">future generations, </w:t>
      </w:r>
      <w:r w:rsidR="0066373F" w:rsidRPr="0066373F">
        <w:rPr>
          <w:rFonts w:ascii="Times New Roman" w:hAnsi="Times New Roman" w:cs="Times New Roman"/>
          <w:bCs/>
          <w:lang w:val="en-US"/>
        </w:rPr>
        <w:t xml:space="preserve">(ii) </w:t>
      </w:r>
      <w:r w:rsidRPr="0066373F">
        <w:rPr>
          <w:rFonts w:ascii="Times New Roman" w:hAnsi="Times New Roman" w:cs="Times New Roman"/>
          <w:bCs/>
          <w:lang w:val="en-US"/>
        </w:rPr>
        <w:t>to oversee</w:t>
      </w:r>
      <w:r w:rsidR="001075F1" w:rsidRPr="0066373F">
        <w:rPr>
          <w:rFonts w:ascii="Times New Roman" w:hAnsi="Times New Roman" w:cs="Times New Roman"/>
          <w:bCs/>
          <w:lang w:val="en-US"/>
        </w:rPr>
        <w:t xml:space="preserve"> </w:t>
      </w:r>
      <w:r w:rsidRPr="0066373F">
        <w:rPr>
          <w:rFonts w:ascii="Times New Roman" w:hAnsi="Times New Roman" w:cs="Times New Roman"/>
          <w:bCs/>
          <w:lang w:val="en-US"/>
        </w:rPr>
        <w:t xml:space="preserve">the enforcement of the right to a healthy environment </w:t>
      </w:r>
      <w:r w:rsidR="005B6286" w:rsidRPr="0066373F">
        <w:rPr>
          <w:rFonts w:ascii="Times New Roman" w:hAnsi="Times New Roman" w:cs="Times New Roman"/>
          <w:bCs/>
          <w:lang w:val="en-US"/>
        </w:rPr>
        <w:t xml:space="preserve">and </w:t>
      </w:r>
      <w:r w:rsidR="001075F1" w:rsidRPr="0066373F">
        <w:rPr>
          <w:rFonts w:ascii="Times New Roman" w:hAnsi="Times New Roman" w:cs="Times New Roman"/>
          <w:bCs/>
          <w:lang w:val="en-US"/>
        </w:rPr>
        <w:t xml:space="preserve">(iii) </w:t>
      </w:r>
      <w:r w:rsidR="005B6286" w:rsidRPr="0066373F">
        <w:rPr>
          <w:rFonts w:ascii="Times New Roman" w:hAnsi="Times New Roman" w:cs="Times New Roman"/>
          <w:bCs/>
          <w:lang w:val="en-US"/>
        </w:rPr>
        <w:t xml:space="preserve">the right to physical </w:t>
      </w:r>
      <w:r w:rsidR="00311695" w:rsidRPr="0066373F">
        <w:rPr>
          <w:rFonts w:ascii="Times New Roman" w:hAnsi="Times New Roman" w:cs="Times New Roman"/>
          <w:bCs/>
          <w:lang w:val="en-US"/>
        </w:rPr>
        <w:t>and mental health</w:t>
      </w:r>
      <w:r w:rsidRPr="0066373F">
        <w:rPr>
          <w:rFonts w:ascii="Times New Roman" w:hAnsi="Times New Roman" w:cs="Times New Roman"/>
          <w:bCs/>
          <w:lang w:val="en-US"/>
        </w:rPr>
        <w:t xml:space="preserve">. The </w:t>
      </w:r>
      <w:r w:rsidR="0066373F" w:rsidRPr="0066373F">
        <w:rPr>
          <w:rFonts w:ascii="Times New Roman" w:hAnsi="Times New Roman" w:cs="Times New Roman"/>
          <w:bCs/>
          <w:lang w:val="en-US"/>
        </w:rPr>
        <w:t>FGO</w:t>
      </w:r>
      <w:r w:rsidRPr="0066373F">
        <w:rPr>
          <w:rFonts w:ascii="Times New Roman" w:hAnsi="Times New Roman" w:cs="Times New Roman"/>
          <w:bCs/>
          <w:lang w:val="en-US"/>
        </w:rPr>
        <w:t xml:space="preserve"> is independent from the government and is tasked with reviewing the conduct of state authorities in environmental matters</w:t>
      </w:r>
      <w:r w:rsidR="00BC3202" w:rsidRPr="0066373F">
        <w:rPr>
          <w:rFonts w:ascii="Times New Roman" w:hAnsi="Times New Roman" w:cs="Times New Roman"/>
          <w:bCs/>
          <w:lang w:val="en-US"/>
        </w:rPr>
        <w:t xml:space="preserve"> and can also act as a general “watchdog” for any sustainability issues it deems significant for future generations</w:t>
      </w:r>
      <w:r w:rsidRPr="0066373F">
        <w:rPr>
          <w:rFonts w:ascii="Times New Roman" w:hAnsi="Times New Roman" w:cs="Times New Roman"/>
          <w:bCs/>
          <w:lang w:val="en-US"/>
        </w:rPr>
        <w:t xml:space="preserve">. A more detailed description of the powers and institutional structure of </w:t>
      </w:r>
      <w:r w:rsidR="0066373F" w:rsidRPr="0066373F">
        <w:rPr>
          <w:rFonts w:ascii="Times New Roman" w:hAnsi="Times New Roman" w:cs="Times New Roman"/>
          <w:bCs/>
          <w:lang w:val="en-US"/>
        </w:rPr>
        <w:t>FGO</w:t>
      </w:r>
      <w:r w:rsidRPr="0066373F">
        <w:rPr>
          <w:rFonts w:ascii="Times New Roman" w:hAnsi="Times New Roman" w:cs="Times New Roman"/>
          <w:bCs/>
          <w:lang w:val="en-US"/>
        </w:rPr>
        <w:t xml:space="preserve"> can be found in Annex I to this questionnaire.</w:t>
      </w:r>
    </w:p>
    <w:p w:rsidR="002E1EFD" w:rsidRPr="0066373F" w:rsidRDefault="00311E0F" w:rsidP="00311E0F">
      <w:pPr>
        <w:spacing w:line="240" w:lineRule="auto"/>
        <w:jc w:val="both"/>
        <w:rPr>
          <w:rFonts w:ascii="Times New Roman" w:hAnsi="Times New Roman" w:cs="Times New Roman"/>
          <w:b/>
          <w:lang w:val="en-US"/>
        </w:rPr>
      </w:pPr>
      <w:r w:rsidRPr="0066373F">
        <w:rPr>
          <w:rFonts w:ascii="Times New Roman" w:hAnsi="Times New Roman" w:cs="Times New Roman"/>
          <w:b/>
          <w:lang w:val="en-US"/>
        </w:rPr>
        <w:t xml:space="preserve">1. </w:t>
      </w:r>
      <w:r w:rsidR="00BA1850" w:rsidRPr="0066373F">
        <w:rPr>
          <w:rFonts w:ascii="Times New Roman" w:hAnsi="Times New Roman" w:cs="Times New Roman"/>
          <w:b/>
          <w:lang w:val="en-US"/>
        </w:rPr>
        <w:t xml:space="preserve">Please provide examples of ways in which toxic environments—characterized by unhealthy levels of pollution and high risks of exposure to toxic substances—are having adverse impacts on human rights. </w:t>
      </w:r>
    </w:p>
    <w:p w:rsidR="00DF0EBB" w:rsidRPr="0066373F" w:rsidRDefault="00DE3FF6" w:rsidP="00F7396C">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i) </w:t>
      </w:r>
      <w:r w:rsidR="00DF0EBB" w:rsidRPr="0066373F">
        <w:rPr>
          <w:rFonts w:ascii="Times New Roman" w:hAnsi="Times New Roman" w:cs="Times New Roman"/>
          <w:lang w:val="en-US"/>
        </w:rPr>
        <w:t xml:space="preserve">The </w:t>
      </w:r>
      <w:r w:rsidR="00BC3202" w:rsidRPr="0066373F">
        <w:rPr>
          <w:rFonts w:ascii="Times New Roman" w:hAnsi="Times New Roman" w:cs="Times New Roman"/>
          <w:lang w:val="en-US"/>
        </w:rPr>
        <w:t xml:space="preserve">Fundamental </w:t>
      </w:r>
      <w:r w:rsidR="00DF0EBB" w:rsidRPr="0066373F">
        <w:rPr>
          <w:rFonts w:ascii="Times New Roman" w:hAnsi="Times New Roman" w:cs="Times New Roman"/>
          <w:lang w:val="en-US"/>
        </w:rPr>
        <w:t xml:space="preserve">Law stipulates that providing access to drinking water is one of the tools ensuring the right to physical and mental health. For that </w:t>
      </w:r>
      <w:r w:rsidR="0066373F" w:rsidRPr="0066373F">
        <w:rPr>
          <w:rFonts w:ascii="Times New Roman" w:hAnsi="Times New Roman" w:cs="Times New Roman"/>
          <w:lang w:val="en-US"/>
        </w:rPr>
        <w:t>reason,</w:t>
      </w:r>
      <w:r w:rsidR="00DF0EBB" w:rsidRPr="0066373F">
        <w:rPr>
          <w:rFonts w:ascii="Times New Roman" w:hAnsi="Times New Roman" w:cs="Times New Roman"/>
          <w:lang w:val="en-US"/>
        </w:rPr>
        <w:t xml:space="preserve"> </w:t>
      </w:r>
      <w:r w:rsidR="00C92C40" w:rsidRPr="0066373F">
        <w:rPr>
          <w:rFonts w:ascii="Times New Roman" w:hAnsi="Times New Roman" w:cs="Times New Roman"/>
          <w:lang w:val="en-US"/>
        </w:rPr>
        <w:t xml:space="preserve">the </w:t>
      </w:r>
      <w:r w:rsidR="0066373F" w:rsidRPr="0066373F">
        <w:rPr>
          <w:rFonts w:ascii="Times New Roman" w:hAnsi="Times New Roman" w:cs="Times New Roman"/>
          <w:lang w:val="en-US"/>
        </w:rPr>
        <w:t>FGO</w:t>
      </w:r>
      <w:r w:rsidR="00DF0EBB" w:rsidRPr="0066373F">
        <w:rPr>
          <w:rFonts w:ascii="Times New Roman" w:hAnsi="Times New Roman" w:cs="Times New Roman"/>
          <w:lang w:val="en-US"/>
        </w:rPr>
        <w:t xml:space="preserve"> </w:t>
      </w:r>
      <w:r w:rsidR="00BC3202" w:rsidRPr="0066373F">
        <w:rPr>
          <w:rFonts w:ascii="Times New Roman" w:hAnsi="Times New Roman" w:cs="Times New Roman"/>
          <w:lang w:val="en-US"/>
        </w:rPr>
        <w:t xml:space="preserve">in its practice </w:t>
      </w:r>
      <w:r w:rsidR="00DF0EBB" w:rsidRPr="0066373F">
        <w:rPr>
          <w:rFonts w:ascii="Times New Roman" w:hAnsi="Times New Roman" w:cs="Times New Roman"/>
          <w:lang w:val="en-US"/>
        </w:rPr>
        <w:t>regards ensuring an access to safe and clean drinking water to be an essential element to the right to health and the right to a healthy environment. The pipeline systems of old residential buildings connecting to the public pipeline grid still contain lead and asbestos and constitute a typical source of pollution endangering access to safe drinking water. In certain districts of cities such private pipelines have not yet been replaced, which causes a major public health risk threatening with a violation of the right to health and to a healthy environment.</w:t>
      </w:r>
      <w:r w:rsidR="00DF0EBB" w:rsidRPr="0066373F">
        <w:rPr>
          <w:rStyle w:val="FootnoteReference"/>
          <w:rFonts w:ascii="Times New Roman" w:hAnsi="Times New Roman"/>
          <w:lang w:val="en-US"/>
        </w:rPr>
        <w:footnoteReference w:id="1"/>
      </w:r>
    </w:p>
    <w:p w:rsidR="00DF0EBB" w:rsidRPr="0066373F" w:rsidRDefault="00DE3FF6" w:rsidP="00311E0F">
      <w:pPr>
        <w:jc w:val="both"/>
        <w:rPr>
          <w:rFonts w:ascii="Times New Roman" w:hAnsi="Times New Roman" w:cs="Times New Roman"/>
          <w:lang w:val="en-US"/>
        </w:rPr>
      </w:pPr>
      <w:r w:rsidRPr="0066373F">
        <w:rPr>
          <w:rFonts w:ascii="Times New Roman" w:hAnsi="Times New Roman" w:cs="Times New Roman"/>
          <w:lang w:val="en-US"/>
        </w:rPr>
        <w:t xml:space="preserve">ii) </w:t>
      </w:r>
      <w:r w:rsidR="00DF0EBB" w:rsidRPr="0066373F">
        <w:rPr>
          <w:rFonts w:ascii="Times New Roman" w:hAnsi="Times New Roman" w:cs="Times New Roman"/>
          <w:lang w:val="en-US"/>
        </w:rPr>
        <w:t xml:space="preserve">Relaxing regulatory oversight of access to common water resources may also violate the right to a healthy environment. </w:t>
      </w:r>
      <w:r w:rsidR="00BC3202" w:rsidRPr="0066373F">
        <w:rPr>
          <w:rFonts w:ascii="Times New Roman" w:hAnsi="Times New Roman" w:cs="Times New Roman"/>
          <w:lang w:val="en-US"/>
        </w:rPr>
        <w:t>An example from our cases:</w:t>
      </w:r>
      <w:r w:rsidR="00DF0EBB" w:rsidRPr="0066373F">
        <w:rPr>
          <w:rFonts w:ascii="Times New Roman" w:hAnsi="Times New Roman" w:cs="Times New Roman"/>
          <w:lang w:val="en-US"/>
        </w:rPr>
        <w:t xml:space="preserve"> the </w:t>
      </w:r>
      <w:r w:rsidR="0066373F" w:rsidRPr="0066373F">
        <w:rPr>
          <w:rFonts w:ascii="Times New Roman" w:hAnsi="Times New Roman" w:cs="Times New Roman"/>
          <w:lang w:val="en-US"/>
        </w:rPr>
        <w:t>FGO</w:t>
      </w:r>
      <w:r w:rsidR="00DF0EBB" w:rsidRPr="0066373F">
        <w:rPr>
          <w:rFonts w:ascii="Times New Roman" w:hAnsi="Times New Roman" w:cs="Times New Roman"/>
          <w:lang w:val="en-US"/>
        </w:rPr>
        <w:t xml:space="preserve"> submitted </w:t>
      </w:r>
      <w:r w:rsidR="0066373F" w:rsidRPr="0066373F">
        <w:rPr>
          <w:rFonts w:ascii="Times New Roman" w:hAnsi="Times New Roman" w:cs="Times New Roman"/>
          <w:i/>
          <w:iCs/>
          <w:lang w:val="en-US"/>
        </w:rPr>
        <w:t>amicus curiae</w:t>
      </w:r>
      <w:r w:rsidR="00DF0EBB" w:rsidRPr="0066373F">
        <w:rPr>
          <w:rFonts w:ascii="Times New Roman" w:hAnsi="Times New Roman" w:cs="Times New Roman"/>
          <w:lang w:val="en-US"/>
        </w:rPr>
        <w:t xml:space="preserve"> brief to the Constitutional Court in an </w:t>
      </w:r>
      <w:r w:rsidR="0066373F" w:rsidRPr="0066373F">
        <w:rPr>
          <w:rFonts w:ascii="Times New Roman" w:hAnsi="Times New Roman" w:cs="Times New Roman"/>
          <w:i/>
          <w:lang w:val="en-US"/>
        </w:rPr>
        <w:t>ex-ante</w:t>
      </w:r>
      <w:r w:rsidR="00DF0EBB" w:rsidRPr="0066373F">
        <w:rPr>
          <w:rFonts w:ascii="Times New Roman" w:hAnsi="Times New Roman" w:cs="Times New Roman"/>
          <w:lang w:val="en-US"/>
        </w:rPr>
        <w:t xml:space="preserve"> constitutional review procedure initiated by the Head of State against an amendment to the Water Management Act. The amendment sought to abolish the statutory permitting requirement for drilling wells even down to 80m in order to relax liability for not meeting permitting obligations in the past and to reduce co</w:t>
      </w:r>
      <w:r w:rsidR="002E1EFD" w:rsidRPr="0066373F">
        <w:rPr>
          <w:rFonts w:ascii="Times New Roman" w:hAnsi="Times New Roman" w:cs="Times New Roman"/>
          <w:lang w:val="en-US"/>
        </w:rPr>
        <w:t xml:space="preserve">sts and administrative burdens </w:t>
      </w:r>
      <w:r w:rsidR="00DF0EBB" w:rsidRPr="0066373F">
        <w:rPr>
          <w:rFonts w:ascii="Times New Roman" w:hAnsi="Times New Roman" w:cs="Times New Roman"/>
          <w:lang w:val="en-US"/>
        </w:rPr>
        <w:t xml:space="preserve">of households. In the amicus brief, the </w:t>
      </w:r>
      <w:r w:rsidR="0066373F" w:rsidRPr="0066373F">
        <w:rPr>
          <w:rFonts w:ascii="Times New Roman" w:hAnsi="Times New Roman" w:cs="Times New Roman"/>
          <w:lang w:val="en-US"/>
        </w:rPr>
        <w:t>FGO</w:t>
      </w:r>
      <w:r w:rsidR="00DF0EBB" w:rsidRPr="0066373F">
        <w:rPr>
          <w:rFonts w:ascii="Times New Roman" w:hAnsi="Times New Roman" w:cs="Times New Roman"/>
          <w:lang w:val="en-US"/>
        </w:rPr>
        <w:t xml:space="preserve"> stressed that the intended relaxed regulatory oversight of the drilling process would </w:t>
      </w:r>
      <w:r w:rsidR="00BC3202" w:rsidRPr="0066373F">
        <w:rPr>
          <w:rFonts w:ascii="Times New Roman" w:hAnsi="Times New Roman" w:cs="Times New Roman"/>
          <w:lang w:val="en-US"/>
        </w:rPr>
        <w:t xml:space="preserve">greatly endanger the quality and quantity of groundwater resources. </w:t>
      </w:r>
      <w:r w:rsidR="00DF0EBB" w:rsidRPr="0066373F">
        <w:rPr>
          <w:rFonts w:ascii="Times New Roman" w:hAnsi="Times New Roman" w:cs="Times New Roman"/>
          <w:lang w:val="en-US"/>
        </w:rPr>
        <w:t xml:space="preserve"> The Constitutional Court decision No. 13/2018 (4. IX.) found a violation of the right to a healthy environment and declared the amendment to be contrary to the </w:t>
      </w:r>
      <w:r w:rsidR="0066373F" w:rsidRPr="0066373F">
        <w:rPr>
          <w:rFonts w:ascii="Times New Roman" w:hAnsi="Times New Roman" w:cs="Times New Roman"/>
          <w:lang w:val="en-US"/>
        </w:rPr>
        <w:t xml:space="preserve">Fundamental </w:t>
      </w:r>
      <w:r w:rsidR="00DF0EBB" w:rsidRPr="0066373F">
        <w:rPr>
          <w:rFonts w:ascii="Times New Roman" w:hAnsi="Times New Roman" w:cs="Times New Roman"/>
          <w:lang w:val="en-US"/>
        </w:rPr>
        <w:t xml:space="preserve">Law confirming the arguments of the amicus brief. </w:t>
      </w:r>
    </w:p>
    <w:p w:rsidR="000031F6" w:rsidRPr="0066373F" w:rsidRDefault="00BA1850" w:rsidP="00DE290D">
      <w:pPr>
        <w:spacing w:line="240" w:lineRule="auto"/>
        <w:jc w:val="both"/>
        <w:rPr>
          <w:rFonts w:ascii="Times New Roman" w:hAnsi="Times New Roman" w:cs="Times New Roman"/>
          <w:b/>
          <w:lang w:val="en-US"/>
        </w:rPr>
      </w:pPr>
      <w:r w:rsidRPr="0066373F">
        <w:rPr>
          <w:rFonts w:ascii="Times New Roman" w:hAnsi="Times New Roman" w:cs="Times New Roman"/>
          <w:b/>
          <w:lang w:val="en-US"/>
        </w:rPr>
        <w:t>2. What are the most heavily polluted places in your State? Are any areas in your State designated as “sacrifice zones” because of extreme pollution? Are there any examples of heavily polluted places that have been comprehensively cleaned up and rehabilitated? If not, what are the barriers to cleanup and rehabilitation.</w:t>
      </w:r>
    </w:p>
    <w:p w:rsidR="007E260B" w:rsidRPr="0066373F" w:rsidRDefault="00DE3FF6" w:rsidP="00DF0EBB">
      <w:pPr>
        <w:pStyle w:val="ListParagraph"/>
        <w:ind w:left="0"/>
        <w:jc w:val="both"/>
        <w:rPr>
          <w:rFonts w:ascii="Times New Roman" w:hAnsi="Times New Roman" w:cs="Times New Roman"/>
          <w:lang w:val="en-US"/>
        </w:rPr>
      </w:pPr>
      <w:r w:rsidRPr="0066373F">
        <w:rPr>
          <w:rFonts w:ascii="Times New Roman" w:hAnsi="Times New Roman" w:cs="Times New Roman"/>
          <w:lang w:val="en-US"/>
        </w:rPr>
        <w:t xml:space="preserve">i) </w:t>
      </w:r>
      <w:r w:rsidR="00DF0EBB" w:rsidRPr="0066373F">
        <w:rPr>
          <w:rFonts w:ascii="Times New Roman" w:hAnsi="Times New Roman" w:cs="Times New Roman"/>
          <w:lang w:val="en-US"/>
        </w:rPr>
        <w:t xml:space="preserve">A leading water </w:t>
      </w:r>
      <w:r w:rsidR="00302B65" w:rsidRPr="0066373F">
        <w:rPr>
          <w:rFonts w:ascii="Times New Roman" w:hAnsi="Times New Roman" w:cs="Times New Roman"/>
          <w:lang w:val="en-US"/>
        </w:rPr>
        <w:t xml:space="preserve">and soil </w:t>
      </w:r>
      <w:r w:rsidR="00DF0EBB" w:rsidRPr="0066373F">
        <w:rPr>
          <w:rFonts w:ascii="Times New Roman" w:hAnsi="Times New Roman" w:cs="Times New Roman"/>
          <w:lang w:val="en-US"/>
        </w:rPr>
        <w:t xml:space="preserve">pollution problem in Hungary lies in contaminated sites that are waiting to be remediated. The </w:t>
      </w:r>
      <w:r w:rsidR="007E260B" w:rsidRPr="0066373F">
        <w:rPr>
          <w:rFonts w:ascii="Times New Roman" w:hAnsi="Times New Roman" w:cs="Times New Roman"/>
          <w:lang w:val="en-US"/>
        </w:rPr>
        <w:t>majority of such sites has seen</w:t>
      </w:r>
      <w:r w:rsidR="00DF0EBB" w:rsidRPr="0066373F">
        <w:rPr>
          <w:rFonts w:ascii="Times New Roman" w:hAnsi="Times New Roman" w:cs="Times New Roman"/>
          <w:lang w:val="en-US"/>
        </w:rPr>
        <w:t xml:space="preserve"> heavy industry and </w:t>
      </w:r>
      <w:r w:rsidR="008C1F1C">
        <w:rPr>
          <w:rFonts w:ascii="Times New Roman" w:hAnsi="Times New Roman" w:cs="Times New Roman"/>
          <w:lang w:val="en-US"/>
        </w:rPr>
        <w:t xml:space="preserve">also </w:t>
      </w:r>
      <w:r w:rsidR="00DF0EBB" w:rsidRPr="0066373F">
        <w:rPr>
          <w:rFonts w:ascii="Times New Roman" w:hAnsi="Times New Roman" w:cs="Times New Roman"/>
          <w:lang w:val="en-US"/>
        </w:rPr>
        <w:t>Soviet military bases operating in the country between the ‘50s and ‘80s. Toxic chemicals deposited without pr</w:t>
      </w:r>
      <w:r w:rsidR="000031F6" w:rsidRPr="0066373F">
        <w:rPr>
          <w:rFonts w:ascii="Times New Roman" w:hAnsi="Times New Roman" w:cs="Times New Roman"/>
          <w:lang w:val="en-US"/>
        </w:rPr>
        <w:t xml:space="preserve">oper </w:t>
      </w:r>
      <w:r w:rsidR="00995643" w:rsidRPr="0066373F">
        <w:rPr>
          <w:rFonts w:ascii="Times New Roman" w:hAnsi="Times New Roman" w:cs="Times New Roman"/>
          <w:lang w:val="en-US"/>
        </w:rPr>
        <w:t>containment</w:t>
      </w:r>
      <w:r w:rsidR="00DF0EBB" w:rsidRPr="0066373F">
        <w:rPr>
          <w:rFonts w:ascii="Times New Roman" w:hAnsi="Times New Roman" w:cs="Times New Roman"/>
          <w:lang w:val="en-US"/>
        </w:rPr>
        <w:t xml:space="preserve"> seep into the ground and reach aquifers contaminating drinking water reserves and thereby causing a violation of the right to a healthy environment and the right to health. The </w:t>
      </w:r>
      <w:r w:rsidR="0066373F" w:rsidRPr="0066373F">
        <w:rPr>
          <w:rFonts w:ascii="Times New Roman" w:hAnsi="Times New Roman" w:cs="Times New Roman"/>
          <w:lang w:val="en-US"/>
        </w:rPr>
        <w:t>FGO</w:t>
      </w:r>
      <w:r w:rsidR="00DF0EBB" w:rsidRPr="0066373F">
        <w:rPr>
          <w:rFonts w:ascii="Times New Roman" w:hAnsi="Times New Roman" w:cs="Times New Roman"/>
          <w:lang w:val="en-US"/>
        </w:rPr>
        <w:t xml:space="preserve"> found that such violations occurred when the state failed to abate such pollution in an effective way.</w:t>
      </w:r>
      <w:r w:rsidR="00DF0EBB" w:rsidRPr="0066373F">
        <w:rPr>
          <w:rStyle w:val="FootnoteReference"/>
          <w:rFonts w:ascii="Times New Roman" w:hAnsi="Times New Roman"/>
          <w:lang w:val="en-US"/>
        </w:rPr>
        <w:footnoteReference w:id="2"/>
      </w:r>
      <w:r w:rsidR="00DF0EBB" w:rsidRPr="0066373F">
        <w:rPr>
          <w:rFonts w:ascii="Times New Roman" w:hAnsi="Times New Roman" w:cs="Times New Roman"/>
          <w:lang w:val="en-US"/>
        </w:rPr>
        <w:t xml:space="preserve"> </w:t>
      </w:r>
    </w:p>
    <w:p w:rsidR="00BA1850" w:rsidRPr="0066373F" w:rsidRDefault="00DE3FF6" w:rsidP="00311E0F">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ii) </w:t>
      </w:r>
      <w:r w:rsidR="00311E0F" w:rsidRPr="0066373F">
        <w:rPr>
          <w:rFonts w:ascii="Times New Roman" w:hAnsi="Times New Roman" w:cs="Times New Roman"/>
          <w:lang w:val="en-US"/>
        </w:rPr>
        <w:t xml:space="preserve">Air pollution is also a serious environmental health issue in Hungary. The PM10 air quality index in Budapest and its suburbs, in the north-east </w:t>
      </w:r>
      <w:proofErr w:type="spellStart"/>
      <w:r w:rsidR="00311E0F" w:rsidRPr="0066373F">
        <w:rPr>
          <w:rFonts w:ascii="Times New Roman" w:hAnsi="Times New Roman" w:cs="Times New Roman"/>
          <w:lang w:val="en-US"/>
        </w:rPr>
        <w:t>Sajó</w:t>
      </w:r>
      <w:proofErr w:type="spellEnd"/>
      <w:r w:rsidR="00311E0F" w:rsidRPr="0066373F">
        <w:rPr>
          <w:rFonts w:ascii="Times New Roman" w:hAnsi="Times New Roman" w:cs="Times New Roman"/>
          <w:lang w:val="en-US"/>
        </w:rPr>
        <w:t xml:space="preserve">-valley, the northwest area of </w:t>
      </w:r>
      <w:proofErr w:type="spellStart"/>
      <w:r w:rsidR="00311E0F" w:rsidRPr="0066373F">
        <w:rPr>
          <w:rFonts w:ascii="Times New Roman" w:hAnsi="Times New Roman" w:cs="Times New Roman"/>
          <w:lang w:val="en-US"/>
        </w:rPr>
        <w:t>Győr-Mosonmagyaróvár</w:t>
      </w:r>
      <w:proofErr w:type="spellEnd"/>
      <w:r w:rsidR="00311E0F" w:rsidRPr="0066373F">
        <w:rPr>
          <w:rFonts w:ascii="Times New Roman" w:hAnsi="Times New Roman" w:cs="Times New Roman"/>
          <w:lang w:val="en-US"/>
        </w:rPr>
        <w:t xml:space="preserve">, in towns Baja, </w:t>
      </w:r>
      <w:proofErr w:type="spellStart"/>
      <w:r w:rsidR="00311E0F" w:rsidRPr="0066373F">
        <w:rPr>
          <w:rFonts w:ascii="Times New Roman" w:hAnsi="Times New Roman" w:cs="Times New Roman"/>
          <w:lang w:val="en-US"/>
        </w:rPr>
        <w:t>Kecskemét</w:t>
      </w:r>
      <w:proofErr w:type="spellEnd"/>
      <w:r w:rsidR="00311E0F" w:rsidRPr="0066373F">
        <w:rPr>
          <w:rFonts w:ascii="Times New Roman" w:hAnsi="Times New Roman" w:cs="Times New Roman"/>
          <w:lang w:val="en-US"/>
        </w:rPr>
        <w:t xml:space="preserve">, </w:t>
      </w:r>
      <w:proofErr w:type="spellStart"/>
      <w:r w:rsidR="00311E0F" w:rsidRPr="0066373F">
        <w:rPr>
          <w:rFonts w:ascii="Times New Roman" w:hAnsi="Times New Roman" w:cs="Times New Roman"/>
          <w:lang w:val="en-US"/>
        </w:rPr>
        <w:t>Békéscsaba</w:t>
      </w:r>
      <w:proofErr w:type="spellEnd"/>
      <w:r w:rsidR="00311E0F" w:rsidRPr="0066373F">
        <w:rPr>
          <w:rFonts w:ascii="Times New Roman" w:hAnsi="Times New Roman" w:cs="Times New Roman"/>
          <w:lang w:val="en-US"/>
        </w:rPr>
        <w:t xml:space="preserve"> and Szeged regularly exceed the legal limitations – affecting approximately 3 million people. The major </w:t>
      </w:r>
      <w:r w:rsidR="00DE290D" w:rsidRPr="0066373F">
        <w:rPr>
          <w:rFonts w:ascii="Times New Roman" w:hAnsi="Times New Roman" w:cs="Times New Roman"/>
          <w:lang w:val="en-US"/>
        </w:rPr>
        <w:t>anthropogenic</w:t>
      </w:r>
      <w:r w:rsidR="00311E0F" w:rsidRPr="0066373F">
        <w:rPr>
          <w:rFonts w:ascii="Times New Roman" w:hAnsi="Times New Roman" w:cs="Times New Roman"/>
          <w:lang w:val="en-US"/>
        </w:rPr>
        <w:t xml:space="preserve"> sources are</w:t>
      </w:r>
      <w:r w:rsidR="00966EA6" w:rsidRPr="0066373F">
        <w:rPr>
          <w:rFonts w:ascii="Times New Roman" w:hAnsi="Times New Roman" w:cs="Times New Roman"/>
          <w:lang w:val="en-US"/>
        </w:rPr>
        <w:t xml:space="preserve"> </w:t>
      </w:r>
      <w:r w:rsidR="006A5C07" w:rsidRPr="0066373F">
        <w:rPr>
          <w:rFonts w:ascii="Times New Roman" w:hAnsi="Times New Roman" w:cs="Times New Roman"/>
          <w:lang w:val="en-US"/>
        </w:rPr>
        <w:t xml:space="preserve">low-chimney emissions of </w:t>
      </w:r>
      <w:r w:rsidR="00966EA6" w:rsidRPr="0066373F">
        <w:rPr>
          <w:rFonts w:ascii="Times New Roman" w:hAnsi="Times New Roman" w:cs="Times New Roman"/>
          <w:lang w:val="en-US"/>
        </w:rPr>
        <w:t>traffic</w:t>
      </w:r>
      <w:r w:rsidR="00311E0F" w:rsidRPr="0066373F">
        <w:rPr>
          <w:rFonts w:ascii="Times New Roman" w:hAnsi="Times New Roman" w:cs="Times New Roman"/>
          <w:lang w:val="en-US"/>
        </w:rPr>
        <w:t xml:space="preserve"> </w:t>
      </w:r>
      <w:r w:rsidR="006A5C07" w:rsidRPr="0066373F">
        <w:rPr>
          <w:rFonts w:ascii="Times New Roman" w:hAnsi="Times New Roman" w:cs="Times New Roman"/>
          <w:lang w:val="en-US"/>
        </w:rPr>
        <w:t>and</w:t>
      </w:r>
      <w:r w:rsidR="00DE290D" w:rsidRPr="0066373F">
        <w:rPr>
          <w:rFonts w:ascii="Times New Roman" w:hAnsi="Times New Roman" w:cs="Times New Roman"/>
          <w:lang w:val="en-US"/>
        </w:rPr>
        <w:t xml:space="preserve"> </w:t>
      </w:r>
      <w:r w:rsidR="00995643" w:rsidRPr="0066373F">
        <w:rPr>
          <w:rFonts w:ascii="Times New Roman" w:hAnsi="Times New Roman" w:cs="Times New Roman"/>
          <w:lang w:val="en-US"/>
        </w:rPr>
        <w:t xml:space="preserve">inappropriate </w:t>
      </w:r>
      <w:r w:rsidR="00DE290D" w:rsidRPr="0066373F">
        <w:rPr>
          <w:rFonts w:ascii="Times New Roman" w:hAnsi="Times New Roman" w:cs="Times New Roman"/>
          <w:lang w:val="en-US"/>
        </w:rPr>
        <w:t xml:space="preserve">household </w:t>
      </w:r>
      <w:r w:rsidR="00966EA6" w:rsidRPr="0066373F">
        <w:rPr>
          <w:rFonts w:ascii="Times New Roman" w:hAnsi="Times New Roman" w:cs="Times New Roman"/>
          <w:lang w:val="en-US"/>
        </w:rPr>
        <w:t>heating</w:t>
      </w:r>
      <w:r w:rsidR="00995643" w:rsidRPr="0066373F">
        <w:rPr>
          <w:rFonts w:ascii="Times New Roman" w:hAnsi="Times New Roman" w:cs="Times New Roman"/>
          <w:lang w:val="en-US"/>
        </w:rPr>
        <w:t xml:space="preserve"> practices, in particular burning of wastes</w:t>
      </w:r>
      <w:r w:rsidR="00311E0F" w:rsidRPr="0066373F">
        <w:rPr>
          <w:rFonts w:ascii="Times New Roman" w:hAnsi="Times New Roman" w:cs="Times New Roman"/>
          <w:lang w:val="en-US"/>
        </w:rPr>
        <w:t>.</w:t>
      </w:r>
      <w:r w:rsidRPr="0066373F">
        <w:rPr>
          <w:rFonts w:ascii="Times New Roman" w:hAnsi="Times New Roman" w:cs="Times New Roman"/>
          <w:lang w:val="en-US"/>
        </w:rPr>
        <w:t xml:space="preserve"> </w:t>
      </w:r>
      <w:r w:rsidR="00311E0F" w:rsidRPr="0066373F">
        <w:rPr>
          <w:rFonts w:ascii="Times New Roman" w:hAnsi="Times New Roman" w:cs="Times New Roman"/>
          <w:lang w:val="en-US"/>
        </w:rPr>
        <w:t xml:space="preserve">One of the main </w:t>
      </w:r>
      <w:r w:rsidR="0066373F" w:rsidRPr="0066373F">
        <w:rPr>
          <w:rFonts w:ascii="Times New Roman" w:hAnsi="Times New Roman" w:cs="Times New Roman"/>
          <w:lang w:val="en-US"/>
        </w:rPr>
        <w:t>problems</w:t>
      </w:r>
      <w:r w:rsidR="00311E0F" w:rsidRPr="0066373F">
        <w:rPr>
          <w:rFonts w:ascii="Times New Roman" w:hAnsi="Times New Roman" w:cs="Times New Roman"/>
          <w:lang w:val="en-US"/>
        </w:rPr>
        <w:t xml:space="preserve"> is the lack of proper </w:t>
      </w:r>
      <w:r w:rsidR="00966EA6" w:rsidRPr="0066373F">
        <w:rPr>
          <w:rFonts w:ascii="Times New Roman" w:hAnsi="Times New Roman" w:cs="Times New Roman"/>
          <w:lang w:val="en-US"/>
        </w:rPr>
        <w:t>analytic</w:t>
      </w:r>
      <w:r w:rsidR="00311E0F" w:rsidRPr="0066373F">
        <w:rPr>
          <w:rFonts w:ascii="Times New Roman" w:hAnsi="Times New Roman" w:cs="Times New Roman"/>
          <w:lang w:val="en-US"/>
        </w:rPr>
        <w:t xml:space="preserve"> data, which would be essential of any effective air quality plan. The </w:t>
      </w:r>
      <w:r w:rsidR="0066373F" w:rsidRPr="0066373F">
        <w:rPr>
          <w:rFonts w:ascii="Times New Roman" w:hAnsi="Times New Roman" w:cs="Times New Roman"/>
          <w:lang w:val="en-US"/>
        </w:rPr>
        <w:t>FGO</w:t>
      </w:r>
      <w:r w:rsidR="00DE290D" w:rsidRPr="0066373F">
        <w:rPr>
          <w:rFonts w:ascii="Times New Roman" w:hAnsi="Times New Roman" w:cs="Times New Roman"/>
          <w:lang w:val="en-US"/>
        </w:rPr>
        <w:t xml:space="preserve"> has extensively worked on these </w:t>
      </w:r>
      <w:r w:rsidR="00966EA6" w:rsidRPr="0066373F">
        <w:rPr>
          <w:rFonts w:ascii="Times New Roman" w:hAnsi="Times New Roman" w:cs="Times New Roman"/>
          <w:lang w:val="en-US"/>
        </w:rPr>
        <w:t>problems and</w:t>
      </w:r>
      <w:r w:rsidR="00DE290D" w:rsidRPr="0066373F">
        <w:rPr>
          <w:rFonts w:ascii="Times New Roman" w:hAnsi="Times New Roman" w:cs="Times New Roman"/>
          <w:lang w:val="en-US"/>
        </w:rPr>
        <w:t xml:space="preserve"> </w:t>
      </w:r>
      <w:r w:rsidR="00311E0F" w:rsidRPr="0066373F">
        <w:rPr>
          <w:rFonts w:ascii="Times New Roman" w:hAnsi="Times New Roman" w:cs="Times New Roman"/>
          <w:lang w:val="en-US"/>
        </w:rPr>
        <w:t>issued</w:t>
      </w:r>
      <w:r w:rsidR="00DE290D" w:rsidRPr="0066373F">
        <w:rPr>
          <w:rFonts w:ascii="Times New Roman" w:hAnsi="Times New Roman" w:cs="Times New Roman"/>
          <w:lang w:val="en-US"/>
        </w:rPr>
        <w:t xml:space="preserve"> two comprehensive reports</w:t>
      </w:r>
      <w:r w:rsidR="00DE290D" w:rsidRPr="0066373F">
        <w:rPr>
          <w:rStyle w:val="FootnoteReference"/>
          <w:rFonts w:ascii="Times New Roman" w:hAnsi="Times New Roman"/>
          <w:lang w:val="en-US"/>
        </w:rPr>
        <w:footnoteReference w:id="3"/>
      </w:r>
      <w:r w:rsidR="00DE290D" w:rsidRPr="0066373F">
        <w:rPr>
          <w:rFonts w:ascii="Times New Roman" w:hAnsi="Times New Roman" w:cs="Times New Roman"/>
          <w:lang w:val="en-US"/>
        </w:rPr>
        <w:t xml:space="preserve">. As </w:t>
      </w:r>
      <w:r w:rsidR="00311E0F" w:rsidRPr="0066373F">
        <w:rPr>
          <w:rFonts w:ascii="Times New Roman" w:hAnsi="Times New Roman" w:cs="Times New Roman"/>
          <w:lang w:val="en-US"/>
        </w:rPr>
        <w:t xml:space="preserve">a result of his initiations, one new automatic air quality monitoring station has been already </w:t>
      </w:r>
      <w:r w:rsidR="00DE290D" w:rsidRPr="0066373F">
        <w:rPr>
          <w:rFonts w:ascii="Times New Roman" w:hAnsi="Times New Roman" w:cs="Times New Roman"/>
          <w:lang w:val="en-US"/>
        </w:rPr>
        <w:t>established</w:t>
      </w:r>
      <w:r w:rsidR="00311E0F" w:rsidRPr="0066373F">
        <w:rPr>
          <w:rFonts w:ascii="Times New Roman" w:hAnsi="Times New Roman" w:cs="Times New Roman"/>
          <w:lang w:val="en-US"/>
        </w:rPr>
        <w:t xml:space="preserve"> in </w:t>
      </w:r>
      <w:proofErr w:type="spellStart"/>
      <w:r w:rsidR="00311E0F" w:rsidRPr="0066373F">
        <w:rPr>
          <w:rFonts w:ascii="Times New Roman" w:hAnsi="Times New Roman" w:cs="Times New Roman"/>
          <w:lang w:val="en-US"/>
        </w:rPr>
        <w:t>Szentgotthárd</w:t>
      </w:r>
      <w:proofErr w:type="spellEnd"/>
      <w:r w:rsidR="00311E0F" w:rsidRPr="0066373F">
        <w:rPr>
          <w:rFonts w:ascii="Times New Roman" w:hAnsi="Times New Roman" w:cs="Times New Roman"/>
          <w:lang w:val="en-US"/>
        </w:rPr>
        <w:t xml:space="preserve">, and one other </w:t>
      </w:r>
      <w:r w:rsidR="00DE290D" w:rsidRPr="0066373F">
        <w:rPr>
          <w:rFonts w:ascii="Times New Roman" w:hAnsi="Times New Roman" w:cs="Times New Roman"/>
          <w:lang w:val="en-US"/>
        </w:rPr>
        <w:t xml:space="preserve">is being </w:t>
      </w:r>
      <w:r w:rsidR="00966EA6" w:rsidRPr="0066373F">
        <w:rPr>
          <w:rFonts w:ascii="Times New Roman" w:hAnsi="Times New Roman" w:cs="Times New Roman"/>
          <w:lang w:val="en-US"/>
        </w:rPr>
        <w:t>put</w:t>
      </w:r>
      <w:r w:rsidR="00DE290D" w:rsidRPr="0066373F">
        <w:rPr>
          <w:rFonts w:ascii="Times New Roman" w:hAnsi="Times New Roman" w:cs="Times New Roman"/>
          <w:lang w:val="en-US"/>
        </w:rPr>
        <w:t xml:space="preserve"> </w:t>
      </w:r>
      <w:r w:rsidR="00311E0F" w:rsidRPr="0066373F">
        <w:rPr>
          <w:rFonts w:ascii="Times New Roman" w:hAnsi="Times New Roman" w:cs="Times New Roman"/>
          <w:lang w:val="en-US"/>
        </w:rPr>
        <w:t xml:space="preserve">in </w:t>
      </w:r>
      <w:r w:rsidR="00966EA6" w:rsidRPr="0066373F">
        <w:rPr>
          <w:rFonts w:ascii="Times New Roman" w:hAnsi="Times New Roman" w:cs="Times New Roman"/>
          <w:lang w:val="en-US"/>
        </w:rPr>
        <w:t xml:space="preserve">place in </w:t>
      </w:r>
      <w:proofErr w:type="spellStart"/>
      <w:r w:rsidR="00311E0F" w:rsidRPr="0066373F">
        <w:rPr>
          <w:rFonts w:ascii="Times New Roman" w:hAnsi="Times New Roman" w:cs="Times New Roman"/>
          <w:lang w:val="en-US"/>
        </w:rPr>
        <w:t>Békéscsaba</w:t>
      </w:r>
      <w:proofErr w:type="spellEnd"/>
      <w:r w:rsidR="00311E0F" w:rsidRPr="0066373F">
        <w:rPr>
          <w:rFonts w:ascii="Times New Roman" w:hAnsi="Times New Roman" w:cs="Times New Roman"/>
          <w:lang w:val="en-US"/>
        </w:rPr>
        <w:t>.</w:t>
      </w:r>
    </w:p>
    <w:p w:rsidR="00BA1850" w:rsidRPr="0066373F" w:rsidRDefault="00BA1850" w:rsidP="00BA1850">
      <w:pPr>
        <w:spacing w:line="240" w:lineRule="auto"/>
        <w:jc w:val="both"/>
        <w:rPr>
          <w:rFonts w:ascii="Times New Roman" w:hAnsi="Times New Roman" w:cs="Times New Roman"/>
          <w:b/>
          <w:lang w:val="en-US"/>
        </w:rPr>
      </w:pPr>
      <w:r w:rsidRPr="0066373F">
        <w:rPr>
          <w:rFonts w:ascii="Times New Roman" w:hAnsi="Times New Roman" w:cs="Times New Roman"/>
          <w:b/>
          <w:lang w:val="en-US"/>
        </w:rPr>
        <w:t>3. What are the specific obligations of States and responsibilities of businesses in terms of preventing exposures to unhealthy levels of pollution and toxic substances, rehabilitating toxic sites, and providing compensation to adversely impacted individuals?</w:t>
      </w:r>
    </w:p>
    <w:p w:rsidR="00542B1E" w:rsidRPr="0066373F" w:rsidRDefault="0068348B" w:rsidP="00BA1850">
      <w:pPr>
        <w:spacing w:line="240" w:lineRule="auto"/>
        <w:jc w:val="both"/>
        <w:rPr>
          <w:rFonts w:ascii="Times New Roman" w:hAnsi="Times New Roman" w:cs="Times New Roman"/>
          <w:lang w:val="en-US"/>
        </w:rPr>
      </w:pPr>
      <w:r w:rsidRPr="0066373F">
        <w:rPr>
          <w:rFonts w:ascii="Times New Roman" w:hAnsi="Times New Roman" w:cs="Times New Roman"/>
          <w:lang w:val="en-US"/>
        </w:rPr>
        <w:t>The</w:t>
      </w:r>
      <w:r w:rsidR="00542B1E" w:rsidRPr="0066373F">
        <w:rPr>
          <w:rFonts w:ascii="Times New Roman" w:hAnsi="Times New Roman" w:cs="Times New Roman"/>
          <w:lang w:val="en-US"/>
        </w:rPr>
        <w:t xml:space="preserve"> Hungarian Environmental Protection Act imposes a joint and several liability on the owner and the user of a particular land for any environmental damage found on the premises. This constitutes an effective legal tool to allocate liability for </w:t>
      </w:r>
      <w:r w:rsidR="00995643" w:rsidRPr="0066373F">
        <w:rPr>
          <w:rFonts w:ascii="Times New Roman" w:hAnsi="Times New Roman" w:cs="Times New Roman"/>
          <w:lang w:val="en-US"/>
        </w:rPr>
        <w:t xml:space="preserve">soil and </w:t>
      </w:r>
      <w:r w:rsidR="00542B1E" w:rsidRPr="0066373F">
        <w:rPr>
          <w:rFonts w:ascii="Times New Roman" w:hAnsi="Times New Roman" w:cs="Times New Roman"/>
          <w:lang w:val="en-US"/>
        </w:rPr>
        <w:t>groundwater pollution that can be causally linked to that part</w:t>
      </w:r>
      <w:r w:rsidR="00DE290D" w:rsidRPr="0066373F">
        <w:rPr>
          <w:rFonts w:ascii="Times New Roman" w:hAnsi="Times New Roman" w:cs="Times New Roman"/>
          <w:lang w:val="en-US"/>
        </w:rPr>
        <w:t xml:space="preserve">icular land and without naming </w:t>
      </w:r>
      <w:r w:rsidR="00542B1E" w:rsidRPr="0066373F">
        <w:rPr>
          <w:rFonts w:ascii="Times New Roman" w:hAnsi="Times New Roman" w:cs="Times New Roman"/>
          <w:lang w:val="en-US"/>
        </w:rPr>
        <w:t>economic operator</w:t>
      </w:r>
      <w:r w:rsidR="00542B1E" w:rsidRPr="00154C5F">
        <w:rPr>
          <w:rFonts w:ascii="Times New Roman" w:hAnsi="Times New Roman" w:cs="Times New Roman"/>
          <w:lang w:val="en-US"/>
        </w:rPr>
        <w:t xml:space="preserve">. </w:t>
      </w:r>
      <w:r w:rsidR="003F009E" w:rsidRPr="00154C5F">
        <w:rPr>
          <w:rFonts w:ascii="Times New Roman" w:hAnsi="Times New Roman" w:cs="Times New Roman"/>
          <w:lang w:val="en-US"/>
        </w:rPr>
        <w:t>T</w:t>
      </w:r>
      <w:r w:rsidR="00B40FFC" w:rsidRPr="00154C5F">
        <w:rPr>
          <w:rFonts w:ascii="Times New Roman" w:hAnsi="Times New Roman" w:cs="Times New Roman"/>
          <w:lang w:val="en-US"/>
        </w:rPr>
        <w:t xml:space="preserve">he landowner </w:t>
      </w:r>
      <w:r w:rsidR="003F009E" w:rsidRPr="00154C5F">
        <w:rPr>
          <w:rFonts w:ascii="Times New Roman" w:hAnsi="Times New Roman" w:cs="Times New Roman"/>
          <w:lang w:val="en-US"/>
        </w:rPr>
        <w:t>is able to free itself from liability if he/she can identify the operator responsible and prove</w:t>
      </w:r>
      <w:r w:rsidR="00154C5F" w:rsidRPr="00154C5F">
        <w:rPr>
          <w:rFonts w:ascii="Times New Roman" w:hAnsi="Times New Roman" w:cs="Times New Roman"/>
          <w:lang w:val="en-US"/>
        </w:rPr>
        <w:t>s</w:t>
      </w:r>
      <w:r w:rsidR="003F009E" w:rsidRPr="00154C5F">
        <w:rPr>
          <w:rFonts w:ascii="Times New Roman" w:hAnsi="Times New Roman" w:cs="Times New Roman"/>
          <w:lang w:val="en-US"/>
        </w:rPr>
        <w:t xml:space="preserve"> beyond doubt that </w:t>
      </w:r>
      <w:r w:rsidR="00154C5F" w:rsidRPr="00154C5F">
        <w:rPr>
          <w:rFonts w:ascii="Times New Roman" w:hAnsi="Times New Roman" w:cs="Times New Roman"/>
          <w:lang w:val="en-US"/>
        </w:rPr>
        <w:t>responsibility does not lie with the owner</w:t>
      </w:r>
      <w:r w:rsidR="00B40FFC" w:rsidRPr="00154C5F">
        <w:rPr>
          <w:rFonts w:ascii="Times New Roman" w:hAnsi="Times New Roman" w:cs="Times New Roman"/>
          <w:lang w:val="en-US"/>
        </w:rPr>
        <w:t xml:space="preserve">. </w:t>
      </w:r>
      <w:r w:rsidR="00542B1E" w:rsidRPr="00154C5F">
        <w:rPr>
          <w:rFonts w:ascii="Times New Roman" w:hAnsi="Times New Roman" w:cs="Times New Roman"/>
          <w:lang w:val="en-US"/>
        </w:rPr>
        <w:t xml:space="preserve">The </w:t>
      </w:r>
      <w:r w:rsidR="00B40FFC" w:rsidRPr="00154C5F">
        <w:rPr>
          <w:rFonts w:ascii="Times New Roman" w:hAnsi="Times New Roman" w:cs="Times New Roman"/>
          <w:lang w:val="en-US"/>
        </w:rPr>
        <w:t xml:space="preserve">jurisprudence of the </w:t>
      </w:r>
      <w:r w:rsidR="00542B1E" w:rsidRPr="00154C5F">
        <w:rPr>
          <w:rFonts w:ascii="Times New Roman" w:hAnsi="Times New Roman" w:cs="Times New Roman"/>
          <w:lang w:val="en-US"/>
        </w:rPr>
        <w:t xml:space="preserve">Court of Justice of the European Union </w:t>
      </w:r>
      <w:r w:rsidR="00B40FFC" w:rsidRPr="00154C5F">
        <w:rPr>
          <w:rFonts w:ascii="Times New Roman" w:hAnsi="Times New Roman" w:cs="Times New Roman"/>
          <w:lang w:val="en-US"/>
        </w:rPr>
        <w:t xml:space="preserve">in several cases </w:t>
      </w:r>
      <w:r w:rsidR="00542B1E" w:rsidRPr="00154C5F">
        <w:rPr>
          <w:rFonts w:ascii="Times New Roman" w:hAnsi="Times New Roman" w:cs="Times New Roman"/>
          <w:lang w:val="en-US"/>
        </w:rPr>
        <w:t>confirmed that this scheme is compatible wit</w:t>
      </w:r>
      <w:r w:rsidR="00542B1E" w:rsidRPr="0066373F">
        <w:rPr>
          <w:rFonts w:ascii="Times New Roman" w:hAnsi="Times New Roman" w:cs="Times New Roman"/>
          <w:lang w:val="en-US"/>
        </w:rPr>
        <w:t xml:space="preserve">h the EU Environmental Liability Directive.  Yet, the </w:t>
      </w:r>
      <w:r w:rsidR="004F47CF" w:rsidRPr="0066373F">
        <w:rPr>
          <w:rFonts w:ascii="Times New Roman" w:hAnsi="Times New Roman" w:cs="Times New Roman"/>
          <w:lang w:val="en-US"/>
        </w:rPr>
        <w:t>efficiency</w:t>
      </w:r>
      <w:r w:rsidR="00542B1E" w:rsidRPr="0066373F">
        <w:rPr>
          <w:rFonts w:ascii="Times New Roman" w:hAnsi="Times New Roman" w:cs="Times New Roman"/>
          <w:lang w:val="en-US"/>
        </w:rPr>
        <w:t xml:space="preserve"> of this liability regime is hindered by the fact that the owner can escape financial liability if it is insolvent or under liquidation.</w:t>
      </w:r>
    </w:p>
    <w:p w:rsidR="00542B1E" w:rsidRPr="0066373F" w:rsidRDefault="00542B1E" w:rsidP="00BA1850">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Aiming to elaborate and strengthen the application of the polluter pays principle and the general environmental liability scheme in line with international legal norms, amongst other the Environmental Liability Directive, </w:t>
      </w:r>
      <w:r w:rsidR="00C92C40" w:rsidRPr="0066373F">
        <w:rPr>
          <w:rFonts w:ascii="Times New Roman" w:hAnsi="Times New Roman" w:cs="Times New Roman"/>
          <w:lang w:val="en-US"/>
        </w:rPr>
        <w:t xml:space="preserve">the </w:t>
      </w:r>
      <w:r w:rsidR="0066373F" w:rsidRPr="0066373F">
        <w:rPr>
          <w:rFonts w:ascii="Times New Roman" w:hAnsi="Times New Roman" w:cs="Times New Roman"/>
          <w:lang w:val="en-US"/>
        </w:rPr>
        <w:t>FGO</w:t>
      </w:r>
      <w:r w:rsidR="00C92C40" w:rsidRPr="0066373F">
        <w:rPr>
          <w:rFonts w:ascii="Times New Roman" w:hAnsi="Times New Roman" w:cs="Times New Roman"/>
          <w:lang w:val="en-US"/>
        </w:rPr>
        <w:t xml:space="preserve"> has</w:t>
      </w:r>
      <w:r w:rsidRPr="0066373F">
        <w:rPr>
          <w:rFonts w:ascii="Times New Roman" w:hAnsi="Times New Roman" w:cs="Times New Roman"/>
          <w:lang w:val="en-US"/>
        </w:rPr>
        <w:t xml:space="preserve"> developed </w:t>
      </w:r>
      <w:r w:rsidR="00B70983">
        <w:rPr>
          <w:rFonts w:ascii="Times New Roman" w:hAnsi="Times New Roman" w:cs="Times New Roman"/>
          <w:lang w:val="en-US"/>
        </w:rPr>
        <w:t xml:space="preserve">– in cooperation with environmental NGOs, business associations and legal experts - </w:t>
      </w:r>
      <w:r w:rsidRPr="0066373F">
        <w:rPr>
          <w:rFonts w:ascii="Times New Roman" w:hAnsi="Times New Roman" w:cs="Times New Roman"/>
          <w:lang w:val="en-US"/>
        </w:rPr>
        <w:t xml:space="preserve">and sent to the competent ministries at the end of 2019 a complex legislative proposal. One of the fundamental elements of this legislative initiative is to make the actors of the economy interested in the prevention of environmental damages and to </w:t>
      </w:r>
      <w:r w:rsidR="00995643" w:rsidRPr="0066373F">
        <w:rPr>
          <w:rFonts w:ascii="Times New Roman" w:hAnsi="Times New Roman" w:cs="Times New Roman"/>
          <w:lang w:val="en-US"/>
        </w:rPr>
        <w:t xml:space="preserve">introduce a scheme that ensures </w:t>
      </w:r>
      <w:r w:rsidRPr="0066373F">
        <w:rPr>
          <w:rFonts w:ascii="Times New Roman" w:hAnsi="Times New Roman" w:cs="Times New Roman"/>
          <w:lang w:val="en-US"/>
        </w:rPr>
        <w:t>tak</w:t>
      </w:r>
      <w:r w:rsidR="00995643" w:rsidRPr="0066373F">
        <w:rPr>
          <w:rFonts w:ascii="Times New Roman" w:hAnsi="Times New Roman" w:cs="Times New Roman"/>
          <w:lang w:val="en-US"/>
        </w:rPr>
        <w:t>ing</w:t>
      </w:r>
      <w:r w:rsidRPr="0066373F">
        <w:rPr>
          <w:rFonts w:ascii="Times New Roman" w:hAnsi="Times New Roman" w:cs="Times New Roman"/>
          <w:lang w:val="en-US"/>
        </w:rPr>
        <w:t xml:space="preserve"> financial responsibility for the environmental damages that they have caused.</w:t>
      </w:r>
      <w:r w:rsidR="00966EA6" w:rsidRPr="0066373F">
        <w:rPr>
          <w:rStyle w:val="FootnoteReference"/>
          <w:rFonts w:ascii="Times New Roman" w:hAnsi="Times New Roman"/>
          <w:lang w:val="en-US"/>
        </w:rPr>
        <w:footnoteReference w:id="4"/>
      </w:r>
    </w:p>
    <w:p w:rsidR="00BA1850" w:rsidRPr="0066373F" w:rsidRDefault="00BA1850" w:rsidP="00BA1850">
      <w:pPr>
        <w:spacing w:line="240" w:lineRule="auto"/>
        <w:jc w:val="both"/>
        <w:rPr>
          <w:rFonts w:ascii="Times New Roman" w:hAnsi="Times New Roman" w:cs="Times New Roman"/>
          <w:lang w:val="en-US"/>
        </w:rPr>
      </w:pPr>
      <w:r w:rsidRPr="0066373F">
        <w:rPr>
          <w:rFonts w:ascii="Times New Roman" w:hAnsi="Times New Roman" w:cs="Times New Roman"/>
          <w:b/>
          <w:lang w:val="en-US"/>
        </w:rPr>
        <w:t xml:space="preserve">4. Please provide specific examples of constitutional provisions, legislation, institutions, regulations, standards, jurisprudence, policies and </w:t>
      </w:r>
      <w:proofErr w:type="spellStart"/>
      <w:r w:rsidRPr="0066373F">
        <w:rPr>
          <w:rFonts w:ascii="Times New Roman" w:hAnsi="Times New Roman" w:cs="Times New Roman"/>
          <w:b/>
          <w:lang w:val="en-US"/>
        </w:rPr>
        <w:t>programmes</w:t>
      </w:r>
      <w:proofErr w:type="spellEnd"/>
      <w:r w:rsidRPr="0066373F">
        <w:rPr>
          <w:rFonts w:ascii="Times New Roman" w:hAnsi="Times New Roman" w:cs="Times New Roman"/>
          <w:b/>
          <w:lang w:val="en-US"/>
        </w:rPr>
        <w:t xml:space="preserve"> that apply a rights-based approach to ensuring toxic-free environments</w:t>
      </w:r>
      <w:r w:rsidRPr="0066373F">
        <w:rPr>
          <w:rFonts w:ascii="Times New Roman" w:hAnsi="Times New Roman" w:cs="Times New Roman"/>
          <w:lang w:val="en-US"/>
        </w:rPr>
        <w:t>.</w:t>
      </w:r>
    </w:p>
    <w:p w:rsidR="000C18C8" w:rsidRPr="0066373F" w:rsidRDefault="000C18C8" w:rsidP="000C18C8">
      <w:pPr>
        <w:spacing w:line="240" w:lineRule="auto"/>
        <w:jc w:val="both"/>
        <w:rPr>
          <w:rFonts w:ascii="Times New Roman" w:hAnsi="Times New Roman" w:cs="Times New Roman"/>
          <w:u w:val="single"/>
          <w:lang w:val="en-US"/>
        </w:rPr>
      </w:pPr>
      <w:r w:rsidRPr="0066373F">
        <w:rPr>
          <w:rFonts w:ascii="Times New Roman" w:hAnsi="Times New Roman" w:cs="Times New Roman"/>
          <w:u w:val="single"/>
          <w:lang w:val="en-US"/>
        </w:rPr>
        <w:t xml:space="preserve">i. Constitutional provisions in the Fundamental Law </w:t>
      </w:r>
    </w:p>
    <w:p w:rsidR="000C18C8" w:rsidRPr="0066373F" w:rsidRDefault="000C18C8" w:rsidP="000C18C8">
      <w:pPr>
        <w:spacing w:line="240" w:lineRule="auto"/>
        <w:jc w:val="both"/>
        <w:rPr>
          <w:rFonts w:ascii="Times New Roman" w:hAnsi="Times New Roman" w:cs="Times New Roman"/>
          <w:lang w:val="en-US"/>
        </w:rPr>
      </w:pPr>
      <w:r w:rsidRPr="0066373F">
        <w:rPr>
          <w:rFonts w:ascii="Times New Roman" w:hAnsi="Times New Roman" w:cs="Times New Roman"/>
          <w:lang w:val="en-US"/>
        </w:rPr>
        <w:t>The Fundamental Law in its Preamble (National Avowal) states that “we bear responsibility for our descendants and therefore we shall protect the living conditions of future generations by making prudent use of our material, intellectual and natural resources.”</w:t>
      </w:r>
    </w:p>
    <w:p w:rsidR="000C18C8" w:rsidRPr="0066373F" w:rsidRDefault="000C18C8" w:rsidP="000C18C8">
      <w:pPr>
        <w:spacing w:line="240" w:lineRule="auto"/>
        <w:jc w:val="both"/>
        <w:rPr>
          <w:rFonts w:ascii="Times New Roman" w:hAnsi="Times New Roman" w:cs="Times New Roman"/>
          <w:lang w:val="en-US"/>
        </w:rPr>
      </w:pPr>
      <w:r w:rsidRPr="0066373F">
        <w:rPr>
          <w:rFonts w:ascii="Times New Roman" w:hAnsi="Times New Roman" w:cs="Times New Roman"/>
          <w:lang w:val="en-US"/>
        </w:rPr>
        <w:t>Article P) enshrines the concept of “the common heritage of the nation”, including in this concept natural resources, in particular arable land, forests and the reserves of water, biodiversity, in particular native plant and animal species, as well as cultural assets. The protection, maintenance and preservation of such common heritage for future generations should be the obligation of the State and everyone else. This concept is less couched as a human right, but rather as a state objective. It is increasingly cited as a strong basis for enacting biodiversity related measures.</w:t>
      </w:r>
    </w:p>
    <w:p w:rsidR="00550FE0" w:rsidRPr="0066373F" w:rsidRDefault="00550FE0" w:rsidP="00550FE0">
      <w:pPr>
        <w:spacing w:line="240" w:lineRule="auto"/>
        <w:jc w:val="both"/>
        <w:rPr>
          <w:rFonts w:ascii="Times New Roman" w:hAnsi="Times New Roman" w:cs="Times New Roman"/>
          <w:lang w:val="en-US"/>
        </w:rPr>
      </w:pPr>
      <w:r w:rsidRPr="0066373F">
        <w:rPr>
          <w:rFonts w:ascii="Times New Roman" w:hAnsi="Times New Roman" w:cs="Times New Roman"/>
          <w:lang w:val="en-US"/>
        </w:rPr>
        <w:t>Article XX spells out the right to physical and mental health and one of the tools for ensuring this fundamental right lies in ensuring the protection of the environment.</w:t>
      </w:r>
    </w:p>
    <w:p w:rsidR="00550FE0" w:rsidRPr="0066373F" w:rsidRDefault="000C18C8" w:rsidP="000C18C8">
      <w:pPr>
        <w:spacing w:line="240" w:lineRule="auto"/>
        <w:jc w:val="both"/>
        <w:rPr>
          <w:rFonts w:ascii="Times New Roman" w:hAnsi="Times New Roman" w:cs="Times New Roman"/>
          <w:lang w:val="en-US"/>
        </w:rPr>
      </w:pPr>
      <w:r w:rsidRPr="0066373F">
        <w:rPr>
          <w:rFonts w:ascii="Times New Roman" w:hAnsi="Times New Roman" w:cs="Times New Roman"/>
          <w:lang w:val="en-US"/>
        </w:rPr>
        <w:t>Article XXI includes a right to a healthy environment as a human right. The C</w:t>
      </w:r>
      <w:r w:rsidR="00550FE0" w:rsidRPr="0066373F">
        <w:rPr>
          <w:rFonts w:ascii="Times New Roman" w:hAnsi="Times New Roman" w:cs="Times New Roman"/>
          <w:lang w:val="en-US"/>
        </w:rPr>
        <w:t xml:space="preserve">onstitutional </w:t>
      </w:r>
      <w:r w:rsidRPr="0066373F">
        <w:rPr>
          <w:rFonts w:ascii="Times New Roman" w:hAnsi="Times New Roman" w:cs="Times New Roman"/>
          <w:lang w:val="en-US"/>
        </w:rPr>
        <w:t>C</w:t>
      </w:r>
      <w:r w:rsidR="00550FE0" w:rsidRPr="0066373F">
        <w:rPr>
          <w:rFonts w:ascii="Times New Roman" w:hAnsi="Times New Roman" w:cs="Times New Roman"/>
          <w:lang w:val="en-US"/>
        </w:rPr>
        <w:t>ourt</w:t>
      </w:r>
      <w:r w:rsidRPr="0066373F">
        <w:rPr>
          <w:rFonts w:ascii="Times New Roman" w:hAnsi="Times New Roman" w:cs="Times New Roman"/>
          <w:lang w:val="en-US"/>
        </w:rPr>
        <w:t xml:space="preserve"> established that the right to a healthy environment entails the non-</w:t>
      </w:r>
      <w:r w:rsidR="00550FE0" w:rsidRPr="0066373F">
        <w:rPr>
          <w:rFonts w:ascii="Times New Roman" w:hAnsi="Times New Roman" w:cs="Times New Roman"/>
          <w:lang w:val="en-US"/>
        </w:rPr>
        <w:t xml:space="preserve">regression </w:t>
      </w:r>
      <w:r w:rsidRPr="0066373F">
        <w:rPr>
          <w:rFonts w:ascii="Times New Roman" w:hAnsi="Times New Roman" w:cs="Times New Roman"/>
          <w:lang w:val="en-US"/>
        </w:rPr>
        <w:t xml:space="preserve">principle, according to which the State is not allowed to step back from the level of environmental protection it already guarantees (this principle is relevant to substantive, procedural and institutional issues as well). </w:t>
      </w:r>
    </w:p>
    <w:p w:rsidR="000C18C8" w:rsidRPr="0066373F" w:rsidRDefault="00550FE0" w:rsidP="00BA1850">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The FGO within the Hungarian NHRI is a unique institution which, through its case practice applies a rights-based approach to ensuring a toxic-free environment. The FGO (through applications for constitutional reviews and amicus briefs submitted) </w:t>
      </w:r>
      <w:r w:rsidR="004F4A58">
        <w:rPr>
          <w:rFonts w:ascii="Times New Roman" w:hAnsi="Times New Roman" w:cs="Times New Roman"/>
          <w:lang w:val="en-US"/>
        </w:rPr>
        <w:t>has a kind of cooperation</w:t>
      </w:r>
      <w:r w:rsidRPr="0066373F">
        <w:rPr>
          <w:rFonts w:ascii="Times New Roman" w:hAnsi="Times New Roman" w:cs="Times New Roman"/>
          <w:lang w:val="en-US"/>
        </w:rPr>
        <w:t xml:space="preserve"> with the Constitutional Court </w:t>
      </w:r>
      <w:r w:rsidR="004F4A58">
        <w:rPr>
          <w:rFonts w:ascii="Times New Roman" w:hAnsi="Times New Roman" w:cs="Times New Roman"/>
          <w:lang w:val="en-US"/>
        </w:rPr>
        <w:t>in</w:t>
      </w:r>
      <w:r w:rsidRPr="0066373F">
        <w:rPr>
          <w:rFonts w:ascii="Times New Roman" w:hAnsi="Times New Roman" w:cs="Times New Roman"/>
          <w:lang w:val="en-US"/>
        </w:rPr>
        <w:t xml:space="preserve"> developing jurisprudence and crystallizing important legal principles, such as principles of prevention and precaution, non-regression, necessity and proportionality, intergenerational equity, Public Trust doctrine.</w:t>
      </w:r>
    </w:p>
    <w:p w:rsidR="00BA1850" w:rsidRPr="0066373F" w:rsidRDefault="00BA1850" w:rsidP="00BA1850">
      <w:pPr>
        <w:spacing w:line="240" w:lineRule="auto"/>
        <w:jc w:val="both"/>
        <w:rPr>
          <w:rFonts w:ascii="Times New Roman" w:hAnsi="Times New Roman" w:cs="Times New Roman"/>
          <w:b/>
          <w:lang w:val="en-US"/>
        </w:rPr>
      </w:pPr>
      <w:r w:rsidRPr="0066373F">
        <w:rPr>
          <w:rFonts w:ascii="Times New Roman" w:hAnsi="Times New Roman" w:cs="Times New Roman"/>
          <w:b/>
          <w:lang w:val="en-US"/>
        </w:rPr>
        <w:t>5. If your State is one of the 156 UN Member States that recognizes the right to a safe, clean, healthy and sustainable environment, has this right contributed to preventing, mitigating, or rehabilitating toxic environments? If so, how? If not, why not?</w:t>
      </w:r>
    </w:p>
    <w:p w:rsidR="000C18C8" w:rsidRPr="0066373F" w:rsidRDefault="00C92C40" w:rsidP="000C18C8">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The </w:t>
      </w:r>
      <w:r w:rsidR="00550FE0" w:rsidRPr="0066373F">
        <w:rPr>
          <w:rFonts w:ascii="Times New Roman" w:hAnsi="Times New Roman" w:cs="Times New Roman"/>
          <w:lang w:val="en-US"/>
        </w:rPr>
        <w:t xml:space="preserve">Fundamental </w:t>
      </w:r>
      <w:r w:rsidRPr="0066373F">
        <w:rPr>
          <w:rFonts w:ascii="Times New Roman" w:hAnsi="Times New Roman" w:cs="Times New Roman"/>
          <w:lang w:val="en-US"/>
        </w:rPr>
        <w:t>Law</w:t>
      </w:r>
      <w:r w:rsidR="000C18C8" w:rsidRPr="0066373F">
        <w:rPr>
          <w:rFonts w:ascii="Times New Roman" w:hAnsi="Times New Roman" w:cs="Times New Roman"/>
          <w:lang w:val="en-US"/>
        </w:rPr>
        <w:t xml:space="preserve"> (adopted in 2012) contains numerous provisions on environmental protection </w:t>
      </w:r>
      <w:r w:rsidR="00DE3FF6" w:rsidRPr="0066373F">
        <w:rPr>
          <w:rFonts w:ascii="Times New Roman" w:hAnsi="Times New Roman" w:cs="Times New Roman"/>
          <w:lang w:val="en-US"/>
        </w:rPr>
        <w:t>as detailed under question no. 4</w:t>
      </w:r>
      <w:r w:rsidR="000C18C8" w:rsidRPr="0066373F">
        <w:rPr>
          <w:rFonts w:ascii="Times New Roman" w:hAnsi="Times New Roman" w:cs="Times New Roman"/>
          <w:lang w:val="en-US"/>
        </w:rPr>
        <w:t xml:space="preserve">. The aforementioned Article P) recognizes the right of not only current, but also future generations to a safe, clean, healthy and sustainable environment. Article P) provided the basis for establishing the mandate of </w:t>
      </w:r>
      <w:r w:rsidR="0066373F" w:rsidRPr="0066373F">
        <w:rPr>
          <w:rFonts w:ascii="Times New Roman" w:hAnsi="Times New Roman" w:cs="Times New Roman"/>
          <w:lang w:val="en-US"/>
        </w:rPr>
        <w:t>FGO</w:t>
      </w:r>
      <w:r w:rsidR="000C18C8" w:rsidRPr="0066373F">
        <w:rPr>
          <w:rFonts w:ascii="Times New Roman" w:hAnsi="Times New Roman" w:cs="Times New Roman"/>
          <w:lang w:val="en-US"/>
        </w:rPr>
        <w:t xml:space="preserve">. As discussed in Appendix 1 in detail, </w:t>
      </w:r>
      <w:r w:rsidR="00AB2B50" w:rsidRPr="0066373F">
        <w:rPr>
          <w:rFonts w:ascii="Times New Roman" w:hAnsi="Times New Roman" w:cs="Times New Roman"/>
          <w:lang w:val="en-US"/>
        </w:rPr>
        <w:t xml:space="preserve">the </w:t>
      </w:r>
      <w:r w:rsidR="0066373F" w:rsidRPr="0066373F">
        <w:rPr>
          <w:rFonts w:ascii="Times New Roman" w:hAnsi="Times New Roman" w:cs="Times New Roman"/>
          <w:lang w:val="en-US"/>
        </w:rPr>
        <w:t>FGO</w:t>
      </w:r>
      <w:r w:rsidR="00AB2B50" w:rsidRPr="0066373F">
        <w:rPr>
          <w:rFonts w:ascii="Times New Roman" w:hAnsi="Times New Roman" w:cs="Times New Roman"/>
          <w:lang w:val="en-US"/>
        </w:rPr>
        <w:t xml:space="preserve"> has a human rights-based mandate meaning that all its investigations are triggered by suspected violations of the constitutional right to a healthy environment including the interest of future generations and its recommendations are rooted in national and international human rights standards. The exact ways in which the human rights-based advocacy of </w:t>
      </w:r>
      <w:r w:rsidR="0066373F" w:rsidRPr="0066373F">
        <w:rPr>
          <w:rFonts w:ascii="Times New Roman" w:hAnsi="Times New Roman" w:cs="Times New Roman"/>
          <w:lang w:val="en-US"/>
        </w:rPr>
        <w:t>FGO</w:t>
      </w:r>
      <w:r w:rsidR="00AB2B50" w:rsidRPr="0066373F">
        <w:rPr>
          <w:rFonts w:ascii="Times New Roman" w:hAnsi="Times New Roman" w:cs="Times New Roman"/>
          <w:lang w:val="en-US"/>
        </w:rPr>
        <w:t xml:space="preserve"> relates to preventing, mitigating, or rehabilitating toxic environments is mapped under the specific questions of this questionnaire.</w:t>
      </w:r>
    </w:p>
    <w:p w:rsidR="00BA1850" w:rsidRPr="0066373F" w:rsidRDefault="00BA1850" w:rsidP="00BA1850">
      <w:pPr>
        <w:spacing w:line="240" w:lineRule="auto"/>
        <w:jc w:val="both"/>
        <w:rPr>
          <w:rFonts w:ascii="Times New Roman" w:hAnsi="Times New Roman" w:cs="Times New Roman"/>
          <w:b/>
          <w:lang w:val="en-US"/>
        </w:rPr>
      </w:pPr>
      <w:r w:rsidRPr="0066373F">
        <w:rPr>
          <w:rFonts w:ascii="Times New Roman" w:hAnsi="Times New Roman" w:cs="Times New Roman"/>
          <w:b/>
          <w:lang w:val="en-US"/>
        </w:rPr>
        <w:t xml:space="preserve">6. Please provide specific examples of good practices in preventing, mitigating, or rehabilitating toxic environments. These examples may occur at the international, regional, national, sub-national, or local level. Examples may involve monitoring concentrations of toxic substances in air, water, soil, food and people; guaranteeing procedural rights (e.g. public access to information, public participation in </w:t>
      </w:r>
      <w:proofErr w:type="spellStart"/>
      <w:r w:rsidRPr="0066373F">
        <w:rPr>
          <w:rFonts w:ascii="Times New Roman" w:hAnsi="Times New Roman" w:cs="Times New Roman"/>
          <w:b/>
          <w:lang w:val="en-US"/>
        </w:rPr>
        <w:t>decisionmaking</w:t>
      </w:r>
      <w:proofErr w:type="spellEnd"/>
      <w:r w:rsidRPr="0066373F">
        <w:rPr>
          <w:rFonts w:ascii="Times New Roman" w:hAnsi="Times New Roman" w:cs="Times New Roman"/>
          <w:b/>
          <w:lang w:val="en-US"/>
        </w:rPr>
        <w:t>, access to remedies); legislation, regulations, standards, jurisprudence and policies that address toxic substances; and initiatives to achieve toxic-free environments (e.g. banning the use of specific substances, reducing air and water pollution, remediation projects). Where possible, please provide evidence related to the implementation, enforcement, and effectiveness of the good practices.</w:t>
      </w:r>
    </w:p>
    <w:p w:rsidR="00DF0EBB" w:rsidRPr="0066373F" w:rsidRDefault="00DF0EBB" w:rsidP="00DE290D">
      <w:pPr>
        <w:spacing w:after="120"/>
        <w:jc w:val="both"/>
        <w:rPr>
          <w:rFonts w:ascii="Times New Roman" w:hAnsi="Times New Roman" w:cs="Times New Roman"/>
          <w:bCs/>
          <w:lang w:val="en-US"/>
        </w:rPr>
      </w:pPr>
      <w:r w:rsidRPr="0066373F">
        <w:rPr>
          <w:rFonts w:ascii="Times New Roman" w:hAnsi="Times New Roman" w:cs="Times New Roman"/>
          <w:bCs/>
          <w:lang w:val="en-US"/>
        </w:rPr>
        <w:t>The National Remediation Program, which provides financial resources from the central budget to remediate certain contaminated sites co</w:t>
      </w:r>
      <w:r w:rsidR="00C92C40" w:rsidRPr="0066373F">
        <w:rPr>
          <w:rFonts w:ascii="Times New Roman" w:hAnsi="Times New Roman" w:cs="Times New Roman"/>
          <w:bCs/>
          <w:lang w:val="en-US"/>
        </w:rPr>
        <w:t xml:space="preserve">uld be a major tool to </w:t>
      </w:r>
      <w:r w:rsidR="000F7BB0" w:rsidRPr="0066373F">
        <w:rPr>
          <w:rFonts w:ascii="Times New Roman" w:hAnsi="Times New Roman" w:cs="Times New Roman"/>
          <w:bCs/>
          <w:lang w:val="en-US"/>
        </w:rPr>
        <w:t xml:space="preserve">mitigate </w:t>
      </w:r>
      <w:r w:rsidRPr="0066373F">
        <w:rPr>
          <w:rFonts w:ascii="Times New Roman" w:hAnsi="Times New Roman" w:cs="Times New Roman"/>
          <w:bCs/>
          <w:lang w:val="en-US"/>
        </w:rPr>
        <w:t xml:space="preserve">pollution originating from historical environmental damage (so-called orphan damage). This program is run by the government, hence the order of priority in which sites are to be remediated is determined by the competent ministry. Its effectiveness is, however, constrained due to the limited resources allocated to the Program. The </w:t>
      </w:r>
      <w:r w:rsidR="0066373F" w:rsidRPr="0066373F">
        <w:rPr>
          <w:rFonts w:ascii="Times New Roman" w:hAnsi="Times New Roman" w:cs="Times New Roman"/>
          <w:bCs/>
          <w:lang w:val="en-US"/>
        </w:rPr>
        <w:t>FGO</w:t>
      </w:r>
      <w:r w:rsidRPr="0066373F">
        <w:rPr>
          <w:rFonts w:ascii="Times New Roman" w:hAnsi="Times New Roman" w:cs="Times New Roman"/>
          <w:bCs/>
          <w:lang w:val="en-US"/>
        </w:rPr>
        <w:t xml:space="preserve"> issued a package of legislative recommendations on environmental liability to boost the effectiveness of the Program and prevention of future contamination sites by </w:t>
      </w:r>
      <w:r w:rsidRPr="0066373F">
        <w:rPr>
          <w:rFonts w:ascii="Times New Roman" w:hAnsi="Times New Roman" w:cs="Times New Roman"/>
          <w:bCs/>
          <w:i/>
          <w:lang w:val="en-US"/>
        </w:rPr>
        <w:t>inter alia</w:t>
      </w:r>
      <w:r w:rsidRPr="0066373F">
        <w:rPr>
          <w:rFonts w:ascii="Times New Roman" w:hAnsi="Times New Roman" w:cs="Times New Roman"/>
          <w:bCs/>
          <w:lang w:val="en-US"/>
        </w:rPr>
        <w:t xml:space="preserve"> reforming the scope of its financial input.</w:t>
      </w:r>
      <w:r w:rsidRPr="0066373F">
        <w:rPr>
          <w:rStyle w:val="FootnoteReference"/>
          <w:rFonts w:ascii="Times New Roman" w:hAnsi="Times New Roman"/>
          <w:bCs/>
          <w:lang w:val="en-US"/>
        </w:rPr>
        <w:footnoteReference w:id="5"/>
      </w:r>
    </w:p>
    <w:p w:rsidR="00BA1850" w:rsidRPr="0066373F" w:rsidRDefault="00BA1850" w:rsidP="00BA1850">
      <w:pPr>
        <w:spacing w:line="240" w:lineRule="auto"/>
        <w:jc w:val="both"/>
        <w:rPr>
          <w:rFonts w:ascii="Times New Roman" w:hAnsi="Times New Roman" w:cs="Times New Roman"/>
          <w:b/>
          <w:lang w:val="en-US"/>
        </w:rPr>
      </w:pPr>
      <w:r w:rsidRPr="0066373F">
        <w:rPr>
          <w:rFonts w:ascii="Times New Roman" w:hAnsi="Times New Roman" w:cs="Times New Roman"/>
          <w:b/>
          <w:lang w:val="en-US"/>
        </w:rPr>
        <w:t>7. Please specify ways in which additional protection is provided (or should be provided) for populations who may be particularly vulnerable to toxic environments (e.g. women, children, persons living in poverty, members of Indigenous peoples and traditional communities, older persons, persons with disabilities, ethnic, racial, religious or other minorities, migrants and displaced persons). How can these populations be empowered to protect their rights?</w:t>
      </w:r>
    </w:p>
    <w:p w:rsidR="000C18C8" w:rsidRPr="0066373F" w:rsidRDefault="00DE3FF6" w:rsidP="000C18C8">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i) </w:t>
      </w:r>
      <w:r w:rsidR="000C18C8" w:rsidRPr="0066373F">
        <w:rPr>
          <w:rFonts w:ascii="Times New Roman" w:hAnsi="Times New Roman" w:cs="Times New Roman"/>
          <w:lang w:val="en-US"/>
        </w:rPr>
        <w:t xml:space="preserve">Additional protection for children and the next generations is offered through the mandate of the </w:t>
      </w:r>
      <w:r w:rsidR="0066373F" w:rsidRPr="0066373F">
        <w:rPr>
          <w:rFonts w:ascii="Times New Roman" w:hAnsi="Times New Roman" w:cs="Times New Roman"/>
          <w:lang w:val="en-US"/>
        </w:rPr>
        <w:t>FGO</w:t>
      </w:r>
      <w:r w:rsidR="004F47CF" w:rsidRPr="0066373F">
        <w:rPr>
          <w:rFonts w:ascii="Times New Roman" w:hAnsi="Times New Roman" w:cs="Times New Roman"/>
          <w:lang w:val="en-US"/>
        </w:rPr>
        <w:t xml:space="preserve"> who acts as a quasi-</w:t>
      </w:r>
      <w:r w:rsidR="000C18C8" w:rsidRPr="0066373F">
        <w:rPr>
          <w:rFonts w:ascii="Times New Roman" w:hAnsi="Times New Roman" w:cs="Times New Roman"/>
          <w:lang w:val="en-US"/>
        </w:rPr>
        <w:t>guardian of children, pregnant women and the unborn generation through safeguarding the common heritage of the nation - more detail in Appendix I.</w:t>
      </w:r>
      <w:r w:rsidRPr="0066373F">
        <w:rPr>
          <w:rFonts w:ascii="Times New Roman" w:hAnsi="Times New Roman" w:cs="Times New Roman"/>
          <w:lang w:val="en-US"/>
        </w:rPr>
        <w:t xml:space="preserve"> </w:t>
      </w:r>
      <w:r w:rsidR="000C18C8" w:rsidRPr="0066373F">
        <w:rPr>
          <w:rFonts w:ascii="Times New Roman" w:hAnsi="Times New Roman" w:cs="Times New Roman"/>
          <w:lang w:val="en-US"/>
        </w:rPr>
        <w:t xml:space="preserve">To allow for a change in the mindset of the next generations for a more sustainable lifestyle, it is essential that children be provided with adequate information about the importance of environmental protection, including that of </w:t>
      </w:r>
      <w:r w:rsidR="00746AAB" w:rsidRPr="0066373F">
        <w:rPr>
          <w:rFonts w:ascii="Times New Roman" w:hAnsi="Times New Roman" w:cs="Times New Roman"/>
          <w:lang w:val="en-US"/>
        </w:rPr>
        <w:t>toxic environments</w:t>
      </w:r>
      <w:r w:rsidR="000C18C8" w:rsidRPr="0066373F">
        <w:rPr>
          <w:rFonts w:ascii="Times New Roman" w:hAnsi="Times New Roman" w:cs="Times New Roman"/>
          <w:lang w:val="en-US"/>
        </w:rPr>
        <w:t>. Their education should increasingly focus on holistic approach of environmental questions.</w:t>
      </w:r>
    </w:p>
    <w:p w:rsidR="008B2DEB" w:rsidRPr="0066373F" w:rsidRDefault="00DE3FF6" w:rsidP="008B2DEB">
      <w:pPr>
        <w:spacing w:after="0" w:line="240" w:lineRule="auto"/>
        <w:jc w:val="both"/>
        <w:rPr>
          <w:rFonts w:ascii="Times New Roman" w:hAnsi="Times New Roman" w:cs="Times New Roman"/>
          <w:lang w:val="en-US"/>
        </w:rPr>
      </w:pPr>
      <w:r w:rsidRPr="0066373F">
        <w:rPr>
          <w:rFonts w:ascii="Times New Roman" w:hAnsi="Times New Roman" w:cs="Times New Roman"/>
          <w:lang w:val="en-US"/>
        </w:rPr>
        <w:t xml:space="preserve">ii) </w:t>
      </w:r>
      <w:r w:rsidR="000D2D22" w:rsidRPr="0066373F">
        <w:rPr>
          <w:rFonts w:ascii="Times New Roman" w:hAnsi="Times New Roman" w:cs="Times New Roman"/>
          <w:lang w:val="en-US"/>
        </w:rPr>
        <w:t>Energy poverty is a serious social problem in Hungary</w:t>
      </w:r>
      <w:r w:rsidR="00BD7321" w:rsidRPr="0066373F">
        <w:rPr>
          <w:rFonts w:ascii="Times New Roman" w:hAnsi="Times New Roman" w:cs="Times New Roman"/>
          <w:lang w:val="en-US"/>
        </w:rPr>
        <w:t xml:space="preserve">. </w:t>
      </w:r>
      <w:r w:rsidR="00DA7311" w:rsidRPr="0066373F">
        <w:rPr>
          <w:rFonts w:ascii="Times New Roman" w:hAnsi="Times New Roman" w:cs="Times New Roman"/>
          <w:lang w:val="en-US"/>
        </w:rPr>
        <w:t>It</w:t>
      </w:r>
      <w:r w:rsidR="00BD7321" w:rsidRPr="0066373F">
        <w:rPr>
          <w:rFonts w:ascii="Times New Roman" w:hAnsi="Times New Roman" w:cs="Times New Roman"/>
          <w:lang w:val="en-US"/>
        </w:rPr>
        <w:t xml:space="preserve"> can be traced back to three main reasons: low incomes, high energy costs and low energy efficiency </w:t>
      </w:r>
      <w:r w:rsidR="00966EA6" w:rsidRPr="0066373F">
        <w:rPr>
          <w:rFonts w:ascii="Times New Roman" w:hAnsi="Times New Roman" w:cs="Times New Roman"/>
          <w:lang w:val="en-US"/>
        </w:rPr>
        <w:t>of residential buildings</w:t>
      </w:r>
      <w:r w:rsidR="00BD7321" w:rsidRPr="0066373F">
        <w:rPr>
          <w:rFonts w:ascii="Times New Roman" w:hAnsi="Times New Roman" w:cs="Times New Roman"/>
          <w:lang w:val="en-US"/>
        </w:rPr>
        <w:t>.</w:t>
      </w:r>
      <w:r w:rsidR="00DB41F1" w:rsidRPr="0066373F">
        <w:rPr>
          <w:rFonts w:ascii="Times New Roman" w:hAnsi="Times New Roman" w:cs="Times New Roman"/>
          <w:lang w:val="en-US"/>
        </w:rPr>
        <w:t xml:space="preserve"> As a result, low</w:t>
      </w:r>
      <w:r w:rsidR="0066373F">
        <w:rPr>
          <w:rFonts w:ascii="Times New Roman" w:hAnsi="Times New Roman" w:cs="Times New Roman"/>
          <w:lang w:val="en-US"/>
        </w:rPr>
        <w:t>-</w:t>
      </w:r>
      <w:r w:rsidR="00DB41F1" w:rsidRPr="0066373F">
        <w:rPr>
          <w:rFonts w:ascii="Times New Roman" w:hAnsi="Times New Roman" w:cs="Times New Roman"/>
          <w:lang w:val="en-US"/>
        </w:rPr>
        <w:t xml:space="preserve"> income households often incinerate waste or </w:t>
      </w:r>
      <w:r w:rsidR="00820DCA" w:rsidRPr="0066373F">
        <w:rPr>
          <w:rFonts w:ascii="Times New Roman" w:hAnsi="Times New Roman" w:cs="Times New Roman"/>
          <w:lang w:val="en-US"/>
        </w:rPr>
        <w:t>lignite</w:t>
      </w:r>
      <w:r w:rsidR="00DB41F1" w:rsidRPr="0066373F">
        <w:rPr>
          <w:rFonts w:ascii="Times New Roman" w:hAnsi="Times New Roman" w:cs="Times New Roman"/>
          <w:lang w:val="en-US"/>
        </w:rPr>
        <w:t xml:space="preserve"> </w:t>
      </w:r>
      <w:r w:rsidR="00820DCA" w:rsidRPr="0066373F">
        <w:rPr>
          <w:rFonts w:ascii="Times New Roman" w:hAnsi="Times New Roman" w:cs="Times New Roman"/>
          <w:lang w:val="en-US"/>
        </w:rPr>
        <w:t xml:space="preserve">to warm up their homes. This way, energy poverty directly contributes to unhealthy level of </w:t>
      </w:r>
      <w:r w:rsidR="00DB41F1" w:rsidRPr="0066373F">
        <w:rPr>
          <w:rFonts w:ascii="Times New Roman" w:hAnsi="Times New Roman" w:cs="Times New Roman"/>
          <w:lang w:val="en-US"/>
        </w:rPr>
        <w:t>PM10</w:t>
      </w:r>
      <w:r w:rsidR="00820DCA" w:rsidRPr="0066373F">
        <w:rPr>
          <w:rFonts w:ascii="Times New Roman" w:hAnsi="Times New Roman" w:cs="Times New Roman"/>
          <w:lang w:val="en-US"/>
        </w:rPr>
        <w:t xml:space="preserve"> concentration in the air,</w:t>
      </w:r>
      <w:r w:rsidR="00DB41F1" w:rsidRPr="0066373F">
        <w:rPr>
          <w:rFonts w:ascii="Times New Roman" w:hAnsi="Times New Roman" w:cs="Times New Roman"/>
          <w:lang w:val="en-US"/>
        </w:rPr>
        <w:t xml:space="preserve"> affecting the health and the life-expectancy of the most vulnerable groups of </w:t>
      </w:r>
      <w:r w:rsidR="00820DCA" w:rsidRPr="0066373F">
        <w:rPr>
          <w:rFonts w:ascii="Times New Roman" w:hAnsi="Times New Roman" w:cs="Times New Roman"/>
          <w:lang w:val="en-US"/>
        </w:rPr>
        <w:t>the society, including</w:t>
      </w:r>
      <w:r w:rsidR="00DB41F1" w:rsidRPr="0066373F">
        <w:rPr>
          <w:rFonts w:ascii="Times New Roman" w:hAnsi="Times New Roman" w:cs="Times New Roman"/>
          <w:lang w:val="en-US"/>
        </w:rPr>
        <w:t xml:space="preserve"> the Roma minority. </w:t>
      </w:r>
    </w:p>
    <w:p w:rsidR="00820DCA" w:rsidRPr="0066373F" w:rsidRDefault="00820DCA" w:rsidP="008B2DEB">
      <w:pPr>
        <w:spacing w:after="0" w:line="240" w:lineRule="auto"/>
        <w:jc w:val="both"/>
        <w:rPr>
          <w:rFonts w:ascii="Times New Roman" w:hAnsi="Times New Roman" w:cs="Times New Roman"/>
          <w:lang w:val="en-US"/>
        </w:rPr>
      </w:pPr>
    </w:p>
    <w:p w:rsidR="008B2DEB" w:rsidRPr="0066373F" w:rsidRDefault="00820DCA" w:rsidP="00BD7321">
      <w:pPr>
        <w:spacing w:after="0" w:line="240" w:lineRule="auto"/>
        <w:jc w:val="both"/>
        <w:rPr>
          <w:rFonts w:ascii="Times New Roman" w:hAnsi="Times New Roman" w:cs="Times New Roman"/>
          <w:lang w:val="en-US"/>
        </w:rPr>
      </w:pPr>
      <w:r w:rsidRPr="0066373F">
        <w:rPr>
          <w:rFonts w:ascii="Times New Roman" w:hAnsi="Times New Roman" w:cs="Times New Roman"/>
          <w:lang w:val="en-US"/>
        </w:rPr>
        <w:t xml:space="preserve">The </w:t>
      </w:r>
      <w:r w:rsidR="0066373F" w:rsidRPr="0066373F">
        <w:rPr>
          <w:rFonts w:ascii="Times New Roman" w:hAnsi="Times New Roman" w:cs="Times New Roman"/>
          <w:lang w:val="en-US"/>
        </w:rPr>
        <w:t>FGO</w:t>
      </w:r>
      <w:r w:rsidRPr="0066373F">
        <w:rPr>
          <w:rFonts w:ascii="Times New Roman" w:hAnsi="Times New Roman" w:cs="Times New Roman"/>
          <w:lang w:val="en-US"/>
        </w:rPr>
        <w:t xml:space="preserve"> published a report in</w:t>
      </w:r>
      <w:r w:rsidR="008B2DEB" w:rsidRPr="0066373F">
        <w:rPr>
          <w:rFonts w:ascii="Times New Roman" w:hAnsi="Times New Roman" w:cs="Times New Roman"/>
          <w:lang w:val="en-US"/>
        </w:rPr>
        <w:t xml:space="preserve"> 2016, in which he initiated urgent legislations to ban the trade of the cheapest</w:t>
      </w:r>
      <w:r w:rsidRPr="0066373F">
        <w:rPr>
          <w:rFonts w:ascii="Times New Roman" w:hAnsi="Times New Roman" w:cs="Times New Roman"/>
          <w:lang w:val="en-US"/>
        </w:rPr>
        <w:t xml:space="preserve"> and worst quality </w:t>
      </w:r>
      <w:r w:rsidR="003A21AE" w:rsidRPr="0066373F">
        <w:rPr>
          <w:rFonts w:ascii="Times New Roman" w:hAnsi="Times New Roman" w:cs="Times New Roman"/>
          <w:lang w:val="en-US"/>
        </w:rPr>
        <w:t>coal</w:t>
      </w:r>
      <w:r w:rsidR="008B2DEB" w:rsidRPr="0066373F">
        <w:rPr>
          <w:rFonts w:ascii="Times New Roman" w:hAnsi="Times New Roman" w:cs="Times New Roman"/>
          <w:lang w:val="en-US"/>
        </w:rPr>
        <w:t xml:space="preserve"> </w:t>
      </w:r>
      <w:r w:rsidR="006A5C07" w:rsidRPr="0066373F">
        <w:rPr>
          <w:rFonts w:ascii="Times New Roman" w:hAnsi="Times New Roman" w:cs="Times New Roman"/>
          <w:lang w:val="en-US"/>
        </w:rPr>
        <w:t>(</w:t>
      </w:r>
      <w:proofErr w:type="spellStart"/>
      <w:r w:rsidR="006A5C07" w:rsidRPr="0066373F">
        <w:rPr>
          <w:rFonts w:ascii="Times New Roman" w:hAnsi="Times New Roman" w:cs="Times New Roman"/>
          <w:lang w:val="en-US"/>
        </w:rPr>
        <w:t>lignit</w:t>
      </w:r>
      <w:proofErr w:type="spellEnd"/>
      <w:r w:rsidR="006A5C07" w:rsidRPr="0066373F">
        <w:rPr>
          <w:rFonts w:ascii="Times New Roman" w:hAnsi="Times New Roman" w:cs="Times New Roman"/>
          <w:lang w:val="en-US"/>
        </w:rPr>
        <w:t xml:space="preserve">) </w:t>
      </w:r>
      <w:r w:rsidR="008B2DEB" w:rsidRPr="0066373F">
        <w:rPr>
          <w:rFonts w:ascii="Times New Roman" w:hAnsi="Times New Roman" w:cs="Times New Roman"/>
          <w:lang w:val="en-US"/>
        </w:rPr>
        <w:t xml:space="preserve">to the population, </w:t>
      </w:r>
      <w:r w:rsidR="003A21AE" w:rsidRPr="0066373F">
        <w:rPr>
          <w:rFonts w:ascii="Times New Roman" w:hAnsi="Times New Roman" w:cs="Times New Roman"/>
          <w:lang w:val="en-US"/>
        </w:rPr>
        <w:t>meanwhile providing</w:t>
      </w:r>
      <w:r w:rsidR="008B2DEB" w:rsidRPr="0066373F">
        <w:rPr>
          <w:rFonts w:ascii="Times New Roman" w:hAnsi="Times New Roman" w:cs="Times New Roman"/>
          <w:lang w:val="en-US"/>
        </w:rPr>
        <w:t xml:space="preserve"> them</w:t>
      </w:r>
      <w:r w:rsidR="003A21AE" w:rsidRPr="0066373F">
        <w:rPr>
          <w:rFonts w:ascii="Times New Roman" w:hAnsi="Times New Roman" w:cs="Times New Roman"/>
          <w:lang w:val="en-US"/>
        </w:rPr>
        <w:t xml:space="preserve"> wood as part of the social care</w:t>
      </w:r>
      <w:r w:rsidR="00966EA6" w:rsidRPr="0066373F">
        <w:rPr>
          <w:rFonts w:ascii="Times New Roman" w:hAnsi="Times New Roman" w:cs="Times New Roman"/>
          <w:lang w:val="en-US"/>
        </w:rPr>
        <w:t xml:space="preserve"> system.</w:t>
      </w:r>
      <w:r w:rsidR="009559EF" w:rsidRPr="0066373F">
        <w:rPr>
          <w:rFonts w:ascii="Times New Roman" w:hAnsi="Times New Roman" w:cs="Times New Roman"/>
          <w:lang w:val="en-US"/>
        </w:rPr>
        <w:t xml:space="preserve"> </w:t>
      </w:r>
      <w:r w:rsidR="00DE3FF6" w:rsidRPr="0066373F">
        <w:rPr>
          <w:rFonts w:ascii="Times New Roman" w:hAnsi="Times New Roman" w:cs="Times New Roman"/>
          <w:lang w:val="en-US"/>
        </w:rPr>
        <w:t>On the other hand</w:t>
      </w:r>
      <w:r w:rsidR="008B2DEB" w:rsidRPr="0066373F">
        <w:rPr>
          <w:rFonts w:ascii="Times New Roman" w:hAnsi="Times New Roman" w:cs="Times New Roman"/>
          <w:lang w:val="en-US"/>
        </w:rPr>
        <w:t>,</w:t>
      </w:r>
      <w:r w:rsidR="00966EA6" w:rsidRPr="0066373F">
        <w:rPr>
          <w:rFonts w:ascii="Times New Roman" w:hAnsi="Times New Roman" w:cs="Times New Roman"/>
          <w:lang w:val="en-US"/>
        </w:rPr>
        <w:t xml:space="preserve"> the </w:t>
      </w:r>
      <w:r w:rsidR="0066373F" w:rsidRPr="0066373F">
        <w:rPr>
          <w:rFonts w:ascii="Times New Roman" w:hAnsi="Times New Roman" w:cs="Times New Roman"/>
          <w:lang w:val="en-US"/>
        </w:rPr>
        <w:t>FGO</w:t>
      </w:r>
      <w:r w:rsidR="00966EA6" w:rsidRPr="0066373F">
        <w:rPr>
          <w:rFonts w:ascii="Times New Roman" w:hAnsi="Times New Roman" w:cs="Times New Roman"/>
          <w:lang w:val="en-US"/>
        </w:rPr>
        <w:t xml:space="preserve"> emphasized that</w:t>
      </w:r>
      <w:r w:rsidR="00DE3FF6" w:rsidRPr="0066373F">
        <w:rPr>
          <w:rFonts w:ascii="Times New Roman" w:hAnsi="Times New Roman" w:cs="Times New Roman"/>
          <w:lang w:val="en-US"/>
        </w:rPr>
        <w:t xml:space="preserve"> the subsidy program</w:t>
      </w:r>
      <w:r w:rsidR="008B2DEB" w:rsidRPr="0066373F">
        <w:rPr>
          <w:rFonts w:ascii="Times New Roman" w:hAnsi="Times New Roman" w:cs="Times New Roman"/>
          <w:lang w:val="en-US"/>
        </w:rPr>
        <w:t xml:space="preserve"> </w:t>
      </w:r>
      <w:r w:rsidR="00DE3FF6" w:rsidRPr="0066373F">
        <w:rPr>
          <w:rFonts w:ascii="Times New Roman" w:hAnsi="Times New Roman" w:cs="Times New Roman"/>
          <w:lang w:val="en-US"/>
        </w:rPr>
        <w:t xml:space="preserve">for the </w:t>
      </w:r>
      <w:r w:rsidR="008B2DEB" w:rsidRPr="0066373F">
        <w:rPr>
          <w:rFonts w:ascii="Times New Roman" w:hAnsi="Times New Roman" w:cs="Times New Roman"/>
          <w:lang w:val="en-US"/>
        </w:rPr>
        <w:t>energy</w:t>
      </w:r>
      <w:r w:rsidR="00966EA6" w:rsidRPr="0066373F">
        <w:rPr>
          <w:rFonts w:ascii="Times New Roman" w:hAnsi="Times New Roman" w:cs="Times New Roman"/>
          <w:lang w:val="en-US"/>
        </w:rPr>
        <w:t>-efficient renovation</w:t>
      </w:r>
      <w:r w:rsidR="008B2DEB" w:rsidRPr="0066373F">
        <w:rPr>
          <w:rFonts w:ascii="Times New Roman" w:hAnsi="Times New Roman" w:cs="Times New Roman"/>
          <w:lang w:val="en-US"/>
        </w:rPr>
        <w:t xml:space="preserve"> of buildings </w:t>
      </w:r>
      <w:r w:rsidR="00DE3FF6" w:rsidRPr="0066373F">
        <w:rPr>
          <w:rFonts w:ascii="Times New Roman" w:hAnsi="Times New Roman" w:cs="Times New Roman"/>
          <w:lang w:val="en-US"/>
        </w:rPr>
        <w:t xml:space="preserve">should also be rethought to </w:t>
      </w:r>
      <w:r w:rsidR="000F7BB0" w:rsidRPr="0066373F">
        <w:rPr>
          <w:rFonts w:ascii="Times New Roman" w:hAnsi="Times New Roman" w:cs="Times New Roman"/>
          <w:lang w:val="en-US"/>
        </w:rPr>
        <w:t>enable it</w:t>
      </w:r>
      <w:r w:rsidR="00DE3FF6" w:rsidRPr="0066373F">
        <w:rPr>
          <w:rFonts w:ascii="Times New Roman" w:hAnsi="Times New Roman" w:cs="Times New Roman"/>
          <w:lang w:val="en-US"/>
        </w:rPr>
        <w:t xml:space="preserve"> to </w:t>
      </w:r>
      <w:r w:rsidR="008B2DEB" w:rsidRPr="0066373F">
        <w:rPr>
          <w:rFonts w:ascii="Times New Roman" w:hAnsi="Times New Roman" w:cs="Times New Roman"/>
          <w:lang w:val="en-US"/>
        </w:rPr>
        <w:t xml:space="preserve">reach this most </w:t>
      </w:r>
      <w:r w:rsidR="000F7BB0" w:rsidRPr="0066373F">
        <w:rPr>
          <w:rFonts w:ascii="Times New Roman" w:hAnsi="Times New Roman" w:cs="Times New Roman"/>
          <w:lang w:val="en-US"/>
        </w:rPr>
        <w:t xml:space="preserve">marginalized </w:t>
      </w:r>
      <w:r w:rsidR="008B2DEB" w:rsidRPr="0066373F">
        <w:rPr>
          <w:rFonts w:ascii="Times New Roman" w:hAnsi="Times New Roman" w:cs="Times New Roman"/>
          <w:lang w:val="en-US"/>
        </w:rPr>
        <w:t>group</w:t>
      </w:r>
      <w:r w:rsidR="00966EA6" w:rsidRPr="0066373F">
        <w:rPr>
          <w:rFonts w:ascii="Times New Roman" w:hAnsi="Times New Roman" w:cs="Times New Roman"/>
          <w:lang w:val="en-US"/>
        </w:rPr>
        <w:t>.</w:t>
      </w:r>
      <w:r w:rsidR="00966EA6" w:rsidRPr="0066373F">
        <w:rPr>
          <w:rStyle w:val="FootnoteReference"/>
          <w:rFonts w:ascii="Times New Roman" w:hAnsi="Times New Roman"/>
          <w:lang w:val="en-US"/>
        </w:rPr>
        <w:footnoteReference w:id="6"/>
      </w:r>
      <w:r w:rsidR="008B2DEB" w:rsidRPr="0066373F">
        <w:rPr>
          <w:rFonts w:ascii="Times New Roman" w:hAnsi="Times New Roman" w:cs="Times New Roman"/>
          <w:lang w:val="en-US"/>
        </w:rPr>
        <w:t xml:space="preserve"> M</w:t>
      </w:r>
      <w:r w:rsidR="00BD7321" w:rsidRPr="0066373F">
        <w:rPr>
          <w:rFonts w:ascii="Times New Roman" w:hAnsi="Times New Roman" w:cs="Times New Roman"/>
          <w:lang w:val="en-US"/>
        </w:rPr>
        <w:t>odernizing the heating systems in residential buildings</w:t>
      </w:r>
      <w:r w:rsidR="008B2DEB" w:rsidRPr="0066373F">
        <w:rPr>
          <w:rFonts w:ascii="Times New Roman" w:hAnsi="Times New Roman" w:cs="Times New Roman"/>
          <w:lang w:val="en-US"/>
        </w:rPr>
        <w:t xml:space="preserve"> would reduce</w:t>
      </w:r>
      <w:r w:rsidR="00BD7321" w:rsidRPr="0066373F">
        <w:rPr>
          <w:rFonts w:ascii="Times New Roman" w:hAnsi="Times New Roman" w:cs="Times New Roman"/>
          <w:lang w:val="en-US"/>
        </w:rPr>
        <w:t xml:space="preserve"> the number of households currently heating with waste or lignite, significantly worsening the air quality in the winter months </w:t>
      </w:r>
    </w:p>
    <w:p w:rsidR="008B2DEB" w:rsidRPr="0066373F" w:rsidRDefault="008B2DEB" w:rsidP="00BD7321">
      <w:pPr>
        <w:spacing w:after="0" w:line="240" w:lineRule="auto"/>
        <w:jc w:val="both"/>
        <w:rPr>
          <w:rFonts w:ascii="Times New Roman" w:hAnsi="Times New Roman" w:cs="Times New Roman"/>
          <w:lang w:val="en-US"/>
        </w:rPr>
      </w:pPr>
    </w:p>
    <w:p w:rsidR="00BA1850" w:rsidRPr="0066373F" w:rsidRDefault="00BA1850" w:rsidP="00BA1850">
      <w:pPr>
        <w:spacing w:line="240" w:lineRule="auto"/>
        <w:jc w:val="both"/>
        <w:rPr>
          <w:rFonts w:ascii="Times New Roman" w:hAnsi="Times New Roman" w:cs="Times New Roman"/>
          <w:b/>
          <w:lang w:val="en-US"/>
        </w:rPr>
      </w:pPr>
      <w:r w:rsidRPr="0066373F">
        <w:rPr>
          <w:rFonts w:ascii="Times New Roman" w:hAnsi="Times New Roman" w:cs="Times New Roman"/>
          <w:b/>
          <w:lang w:val="en-US"/>
        </w:rPr>
        <w:t>8. Are the actions of high-income States linked to increased risks of exposure to toxic substances in low- and middle-income States? What are ways in which high-income States should assist low-income States in preventing and rehabilitating toxic environments?</w:t>
      </w:r>
    </w:p>
    <w:p w:rsidR="000C18C8" w:rsidRPr="0066373F" w:rsidRDefault="000C18C8" w:rsidP="00BA1850">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This question is not directly related to the practice of the </w:t>
      </w:r>
      <w:r w:rsidR="0066373F" w:rsidRPr="0066373F">
        <w:rPr>
          <w:rFonts w:ascii="Times New Roman" w:hAnsi="Times New Roman" w:cs="Times New Roman"/>
          <w:lang w:val="en-US"/>
        </w:rPr>
        <w:t>FGO</w:t>
      </w:r>
      <w:r w:rsidRPr="0066373F">
        <w:rPr>
          <w:rFonts w:ascii="Times New Roman" w:hAnsi="Times New Roman" w:cs="Times New Roman"/>
          <w:lang w:val="en-US"/>
        </w:rPr>
        <w:t>.</w:t>
      </w:r>
    </w:p>
    <w:p w:rsidR="003C5A9F" w:rsidRPr="0066373F" w:rsidRDefault="00BA1850" w:rsidP="00BA1850">
      <w:pPr>
        <w:spacing w:line="240" w:lineRule="auto"/>
        <w:jc w:val="both"/>
        <w:rPr>
          <w:rFonts w:ascii="Times New Roman" w:hAnsi="Times New Roman" w:cs="Times New Roman"/>
          <w:b/>
          <w:lang w:val="en-US"/>
        </w:rPr>
      </w:pPr>
      <w:r w:rsidRPr="0066373F">
        <w:rPr>
          <w:rFonts w:ascii="Times New Roman" w:hAnsi="Times New Roman" w:cs="Times New Roman"/>
          <w:b/>
          <w:lang w:val="en-US"/>
        </w:rPr>
        <w:t>9. For businesses, what policies or practices are in place to ensure that activities, products, and services prevent risks of toxic exposures and meet human rights standards, especially those articulated in the Guiding Principles on Business and Human Rights?</w:t>
      </w:r>
    </w:p>
    <w:p w:rsidR="000C18C8" w:rsidRPr="0066373F" w:rsidRDefault="000C18C8" w:rsidP="000C18C8">
      <w:pPr>
        <w:spacing w:line="240" w:lineRule="auto"/>
        <w:jc w:val="both"/>
        <w:rPr>
          <w:rFonts w:ascii="Times New Roman" w:hAnsi="Times New Roman" w:cs="Times New Roman"/>
          <w:lang w:val="en-US"/>
        </w:rPr>
      </w:pPr>
      <w:r w:rsidRPr="0066373F">
        <w:rPr>
          <w:rFonts w:ascii="Times New Roman" w:hAnsi="Times New Roman" w:cs="Times New Roman"/>
          <w:lang w:val="en-US"/>
        </w:rPr>
        <w:t xml:space="preserve">This question is not directly related to the practice of the </w:t>
      </w:r>
      <w:r w:rsidR="0066373F" w:rsidRPr="0066373F">
        <w:rPr>
          <w:rFonts w:ascii="Times New Roman" w:hAnsi="Times New Roman" w:cs="Times New Roman"/>
          <w:lang w:val="en-US"/>
        </w:rPr>
        <w:t>FGO</w:t>
      </w:r>
      <w:r w:rsidRPr="0066373F">
        <w:rPr>
          <w:rFonts w:ascii="Times New Roman" w:hAnsi="Times New Roman" w:cs="Times New Roman"/>
          <w:lang w:val="en-US"/>
        </w:rPr>
        <w:t>.</w:t>
      </w:r>
    </w:p>
    <w:p w:rsidR="000C18C8" w:rsidRPr="0066373F" w:rsidRDefault="000C18C8" w:rsidP="000C18C8">
      <w:pPr>
        <w:spacing w:line="240" w:lineRule="auto"/>
        <w:jc w:val="both"/>
        <w:rPr>
          <w:rFonts w:ascii="Times New Roman" w:hAnsi="Times New Roman" w:cs="Times New Roman"/>
        </w:rPr>
      </w:pPr>
    </w:p>
    <w:p w:rsidR="000C18C8" w:rsidRDefault="000C18C8" w:rsidP="0066373F">
      <w:pPr>
        <w:spacing w:line="240" w:lineRule="auto"/>
        <w:ind w:left="5664" w:firstLine="708"/>
        <w:jc w:val="both"/>
        <w:rPr>
          <w:rFonts w:ascii="Times New Roman" w:hAnsi="Times New Roman" w:cs="Times New Roman"/>
        </w:rPr>
      </w:pPr>
      <w:r w:rsidRPr="0066373F">
        <w:rPr>
          <w:rFonts w:ascii="Times New Roman" w:hAnsi="Times New Roman" w:cs="Times New Roman"/>
        </w:rPr>
        <w:t>Sincerely,</w:t>
      </w:r>
    </w:p>
    <w:p w:rsidR="0066373F" w:rsidRPr="0066373F" w:rsidRDefault="0066373F" w:rsidP="0066373F">
      <w:pPr>
        <w:spacing w:line="240" w:lineRule="auto"/>
        <w:ind w:left="5664" w:firstLine="708"/>
        <w:jc w:val="both"/>
        <w:rPr>
          <w:rFonts w:ascii="Times New Roman" w:hAnsi="Times New Roman" w:cs="Times New Roman"/>
          <w:lang w:val="en-US"/>
        </w:rPr>
      </w:pPr>
      <w:r>
        <w:rPr>
          <w:rFonts w:ascii="Times New Roman" w:hAnsi="Times New Roman" w:cs="Times New Roman"/>
        </w:rPr>
        <w:t>Gyula Bándi</w:t>
      </w:r>
    </w:p>
    <w:sectPr w:rsidR="0066373F" w:rsidRPr="0066373F" w:rsidSect="0066373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14" w:rsidRDefault="00960E14" w:rsidP="00DF0EBB">
      <w:pPr>
        <w:spacing w:after="0" w:line="240" w:lineRule="auto"/>
      </w:pPr>
      <w:r>
        <w:separator/>
      </w:r>
    </w:p>
  </w:endnote>
  <w:endnote w:type="continuationSeparator" w:id="0">
    <w:p w:rsidR="00960E14" w:rsidRDefault="00960E14" w:rsidP="00DF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14" w:rsidRDefault="00960E14" w:rsidP="00DF0EBB">
      <w:pPr>
        <w:spacing w:after="0" w:line="240" w:lineRule="auto"/>
      </w:pPr>
      <w:r>
        <w:separator/>
      </w:r>
    </w:p>
  </w:footnote>
  <w:footnote w:type="continuationSeparator" w:id="0">
    <w:p w:rsidR="00960E14" w:rsidRDefault="00960E14" w:rsidP="00DF0EBB">
      <w:pPr>
        <w:spacing w:after="0" w:line="240" w:lineRule="auto"/>
      </w:pPr>
      <w:r>
        <w:continuationSeparator/>
      </w:r>
    </w:p>
  </w:footnote>
  <w:footnote w:id="1">
    <w:p w:rsidR="00DF0EBB" w:rsidRPr="00BF05DB" w:rsidRDefault="00DF0EBB" w:rsidP="00DF0EBB">
      <w:pPr>
        <w:pStyle w:val="FootnoteText"/>
      </w:pPr>
      <w:r w:rsidRPr="00BF05DB">
        <w:rPr>
          <w:rStyle w:val="FootnoteReference"/>
        </w:rPr>
        <w:footnoteRef/>
      </w:r>
      <w:r w:rsidRPr="00BF05DB">
        <w:t xml:space="preserve"> </w:t>
      </w:r>
      <w:r w:rsidR="00995643">
        <w:t xml:space="preserve">case number: </w:t>
      </w:r>
      <w:r w:rsidRPr="00BF05DB">
        <w:rPr>
          <w:noProof/>
        </w:rPr>
        <w:t>AJB-677/2013</w:t>
      </w:r>
      <w:r>
        <w:rPr>
          <w:noProof/>
        </w:rPr>
        <w:t>.</w:t>
      </w:r>
    </w:p>
  </w:footnote>
  <w:footnote w:id="2">
    <w:p w:rsidR="00DF0EBB" w:rsidRPr="00BF05DB" w:rsidRDefault="00DF0EBB" w:rsidP="00DF0EBB">
      <w:pPr>
        <w:pStyle w:val="FootnoteText"/>
      </w:pPr>
      <w:r w:rsidRPr="00BF05DB">
        <w:rPr>
          <w:rStyle w:val="FootnoteReference"/>
        </w:rPr>
        <w:footnoteRef/>
      </w:r>
      <w:r w:rsidRPr="00BF05DB">
        <w:t xml:space="preserve"> </w:t>
      </w:r>
      <w:r w:rsidR="00995643">
        <w:t xml:space="preserve">case </w:t>
      </w:r>
      <w:r w:rsidR="00995643">
        <w:t xml:space="preserve">numbers: </w:t>
      </w:r>
      <w:r w:rsidRPr="00BF05DB">
        <w:rPr>
          <w:noProof/>
        </w:rPr>
        <w:t>AJB-813/2012., AJB-831/2012</w:t>
      </w:r>
      <w:r>
        <w:rPr>
          <w:noProof/>
        </w:rPr>
        <w:t>.</w:t>
      </w:r>
    </w:p>
  </w:footnote>
  <w:footnote w:id="3">
    <w:p w:rsidR="00DE290D" w:rsidRDefault="00DE290D">
      <w:pPr>
        <w:pStyle w:val="FootnoteText"/>
      </w:pPr>
      <w:r>
        <w:rPr>
          <w:rStyle w:val="FootnoteReference"/>
        </w:rPr>
        <w:footnoteRef/>
      </w:r>
      <w:r>
        <w:t xml:space="preserve"> </w:t>
      </w:r>
      <w:r w:rsidR="00995643">
        <w:t xml:space="preserve">case </w:t>
      </w:r>
      <w:r w:rsidR="00995643">
        <w:t xml:space="preserve">numbers: </w:t>
      </w:r>
      <w:r>
        <w:t>AJB-3360/2012, AJB-2031/2014.</w:t>
      </w:r>
    </w:p>
  </w:footnote>
  <w:footnote w:id="4">
    <w:p w:rsidR="00966EA6" w:rsidRDefault="00966EA6">
      <w:pPr>
        <w:pStyle w:val="FootnoteText"/>
      </w:pPr>
      <w:r>
        <w:rPr>
          <w:rStyle w:val="FootnoteReference"/>
        </w:rPr>
        <w:footnoteRef/>
      </w:r>
      <w:r>
        <w:t xml:space="preserve"> </w:t>
      </w:r>
      <w:r w:rsidR="00995643">
        <w:t xml:space="preserve">case </w:t>
      </w:r>
      <w:r w:rsidR="00995643">
        <w:t xml:space="preserve">numbers: </w:t>
      </w:r>
      <w:r w:rsidRPr="00BF05DB">
        <w:rPr>
          <w:noProof/>
        </w:rPr>
        <w:t>AJB-1495/2019.</w:t>
      </w:r>
    </w:p>
  </w:footnote>
  <w:footnote w:id="5">
    <w:p w:rsidR="00DF0EBB" w:rsidRPr="00BF05DB" w:rsidRDefault="00DF0EBB" w:rsidP="00DF0EBB">
      <w:pPr>
        <w:pStyle w:val="FootnoteText"/>
      </w:pPr>
      <w:r w:rsidRPr="00BF05DB">
        <w:rPr>
          <w:rStyle w:val="FootnoteReference"/>
        </w:rPr>
        <w:footnoteRef/>
      </w:r>
      <w:r w:rsidRPr="00BF05DB">
        <w:t xml:space="preserve"> </w:t>
      </w:r>
      <w:r w:rsidR="000F7BB0">
        <w:t xml:space="preserve">case </w:t>
      </w:r>
      <w:r w:rsidR="000F7BB0">
        <w:t xml:space="preserve">number: </w:t>
      </w:r>
      <w:r w:rsidRPr="00BF05DB">
        <w:rPr>
          <w:noProof/>
        </w:rPr>
        <w:t xml:space="preserve">AJB-1495/2019. </w:t>
      </w:r>
    </w:p>
  </w:footnote>
  <w:footnote w:id="6">
    <w:p w:rsidR="00966EA6" w:rsidRDefault="00966EA6">
      <w:pPr>
        <w:pStyle w:val="FootnoteText"/>
      </w:pPr>
      <w:r>
        <w:rPr>
          <w:rStyle w:val="FootnoteReference"/>
        </w:rPr>
        <w:footnoteRef/>
      </w:r>
      <w:r>
        <w:t xml:space="preserve"> </w:t>
      </w:r>
      <w:r w:rsidRPr="00966EA6">
        <w:t xml:space="preserve">Summary </w:t>
      </w:r>
      <w:r w:rsidRPr="00966EA6">
        <w:t xml:space="preserve">of the Hungarian </w:t>
      </w:r>
      <w:r>
        <w:t xml:space="preserve">NHRI’s engagement with the SDGs, Annex I, point 7.2, available at: </w:t>
      </w:r>
      <w:r w:rsidRPr="00966EA6">
        <w:t>https://www.ajbh.hu/documents/14315/2872607/Summary+of+the+Hungarian+NHRI%27s+engagement+with+the+SDGs/e3aa1667-4c81-cd5a-2571-ba4a80a978e1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3F" w:rsidRPr="00F36A70" w:rsidRDefault="0066373F" w:rsidP="0066373F">
    <w:pPr>
      <w:jc w:val="center"/>
      <w:rPr>
        <w:color w:val="000000"/>
        <w:sz w:val="16"/>
        <w:szCs w:val="16"/>
      </w:rPr>
    </w:pPr>
    <w:r>
      <w:rPr>
        <w:rFonts w:ascii="Book Antiqua" w:hAnsi="Book Antiqua" w:cs="Arial"/>
        <w:noProof/>
        <w:color w:val="000000"/>
        <w:sz w:val="28"/>
        <w:szCs w:val="28"/>
        <w:lang w:val="en-GB" w:eastAsia="en-GB"/>
      </w:rPr>
      <w:drawing>
        <wp:inline distT="0" distB="0" distL="0" distR="0" wp14:anchorId="6DF96286" wp14:editId="134593D6">
          <wp:extent cx="2886710" cy="901065"/>
          <wp:effectExtent l="0" t="0" r="8890" b="0"/>
          <wp:docPr id="7" name="Kép 7"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901065"/>
                  </a:xfrm>
                  <a:prstGeom prst="rect">
                    <a:avLst/>
                  </a:prstGeom>
                  <a:noFill/>
                  <a:ln>
                    <a:noFill/>
                  </a:ln>
                </pic:spPr>
              </pic:pic>
            </a:graphicData>
          </a:graphic>
        </wp:inline>
      </w:drawing>
    </w:r>
  </w:p>
  <w:p w:rsidR="0066373F" w:rsidRPr="00441AFF" w:rsidRDefault="0066373F" w:rsidP="0066373F">
    <w:pPr>
      <w:pStyle w:val="Header"/>
      <w:pBdr>
        <w:bottom w:val="single" w:sz="4" w:space="0" w:color="auto"/>
      </w:pBdr>
      <w:jc w:val="center"/>
      <w:rPr>
        <w:rFonts w:ascii="Garamond" w:hAnsi="Garamond" w:cs="Arial"/>
        <w:b/>
        <w:bCs/>
        <w:lang w:val="en-US"/>
      </w:rPr>
    </w:pPr>
    <w:r w:rsidRPr="00441AFF">
      <w:rPr>
        <w:rFonts w:ascii="Garamond" w:hAnsi="Garamond" w:cs="Arial"/>
        <w:b/>
        <w:bCs/>
        <w:lang w:val="en-US"/>
      </w:rPr>
      <w:t>DEPUTY COMMISSIONER FOR FUNDAMENTAL RIGHTS</w:t>
    </w:r>
  </w:p>
  <w:p w:rsidR="0066373F" w:rsidRPr="00D018E4" w:rsidRDefault="0066373F" w:rsidP="0066373F">
    <w:pPr>
      <w:pStyle w:val="Header"/>
      <w:pBdr>
        <w:bottom w:val="single" w:sz="4" w:space="0" w:color="auto"/>
      </w:pBdr>
      <w:jc w:val="center"/>
      <w:rPr>
        <w:rFonts w:ascii="Garamond" w:hAnsi="Garamond" w:cs="Arial"/>
        <w:b/>
        <w:bCs/>
        <w:lang w:val="en-US"/>
      </w:rPr>
    </w:pPr>
    <w:r w:rsidRPr="00441AFF">
      <w:rPr>
        <w:rFonts w:ascii="Garamond" w:hAnsi="Garamond" w:cs="Arial"/>
        <w:b/>
        <w:bCs/>
        <w:lang w:val="en-US"/>
      </w:rPr>
      <w:t>OMBUDSMAN FOR FUTURE GENERATIONS</w:t>
    </w:r>
  </w:p>
  <w:p w:rsidR="0066373F" w:rsidRDefault="0066373F" w:rsidP="0066373F">
    <w:pPr>
      <w:pStyle w:val="Header"/>
    </w:pPr>
  </w:p>
  <w:p w:rsidR="0066373F" w:rsidRDefault="0066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D1C7D"/>
    <w:multiLevelType w:val="hybridMultilevel"/>
    <w:tmpl w:val="C96CB8AA"/>
    <w:lvl w:ilvl="0" w:tplc="BD7CB0F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BE64C17"/>
    <w:multiLevelType w:val="hybridMultilevel"/>
    <w:tmpl w:val="5F84E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F0466AF"/>
    <w:multiLevelType w:val="hybridMultilevel"/>
    <w:tmpl w:val="833E6F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C22887"/>
    <w:multiLevelType w:val="hybridMultilevel"/>
    <w:tmpl w:val="3EE08C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FA6097D"/>
    <w:multiLevelType w:val="hybridMultilevel"/>
    <w:tmpl w:val="048E1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50"/>
    <w:rsid w:val="000031F6"/>
    <w:rsid w:val="00040000"/>
    <w:rsid w:val="000843E3"/>
    <w:rsid w:val="000C18C8"/>
    <w:rsid w:val="000D2D22"/>
    <w:rsid w:val="000F7BB0"/>
    <w:rsid w:val="001075F1"/>
    <w:rsid w:val="00154C5F"/>
    <w:rsid w:val="002E1EFD"/>
    <w:rsid w:val="00302B65"/>
    <w:rsid w:val="00311695"/>
    <w:rsid w:val="00311E0F"/>
    <w:rsid w:val="003A21AE"/>
    <w:rsid w:val="003C5A9F"/>
    <w:rsid w:val="003E3561"/>
    <w:rsid w:val="003F009E"/>
    <w:rsid w:val="00413336"/>
    <w:rsid w:val="004F47CF"/>
    <w:rsid w:val="004F4A58"/>
    <w:rsid w:val="00542B1E"/>
    <w:rsid w:val="00550CC2"/>
    <w:rsid w:val="00550FE0"/>
    <w:rsid w:val="005B6286"/>
    <w:rsid w:val="0066373F"/>
    <w:rsid w:val="0068348B"/>
    <w:rsid w:val="006A5C07"/>
    <w:rsid w:val="00746AAB"/>
    <w:rsid w:val="007E260B"/>
    <w:rsid w:val="00820DCA"/>
    <w:rsid w:val="008B2DEB"/>
    <w:rsid w:val="008C1F1C"/>
    <w:rsid w:val="009559EF"/>
    <w:rsid w:val="00960E14"/>
    <w:rsid w:val="00966EA6"/>
    <w:rsid w:val="00995643"/>
    <w:rsid w:val="00AB2B50"/>
    <w:rsid w:val="00B07ECB"/>
    <w:rsid w:val="00B40FFC"/>
    <w:rsid w:val="00B66B18"/>
    <w:rsid w:val="00B70983"/>
    <w:rsid w:val="00B84C07"/>
    <w:rsid w:val="00BA1850"/>
    <w:rsid w:val="00BC3202"/>
    <w:rsid w:val="00BD61AC"/>
    <w:rsid w:val="00BD7321"/>
    <w:rsid w:val="00C92C40"/>
    <w:rsid w:val="00CC092C"/>
    <w:rsid w:val="00D2253A"/>
    <w:rsid w:val="00D343AD"/>
    <w:rsid w:val="00DA7311"/>
    <w:rsid w:val="00DB41F1"/>
    <w:rsid w:val="00DE290D"/>
    <w:rsid w:val="00DE3FF6"/>
    <w:rsid w:val="00DF0EBB"/>
    <w:rsid w:val="00E02638"/>
    <w:rsid w:val="00F36069"/>
    <w:rsid w:val="00F739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38A5"/>
  <w15:chartTrackingRefBased/>
  <w15:docId w15:val="{6F05A157-0C63-41CE-8E4B-1725DDBC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8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6069"/>
    <w:pPr>
      <w:ind w:left="720"/>
      <w:contextualSpacing/>
    </w:pPr>
  </w:style>
  <w:style w:type="paragraph" w:styleId="FootnoteText">
    <w:name w:val="footnote text"/>
    <w:aliases w:val="Char Char,Char Char Char Char,Char1 Char Char,Char1 Char Char1,Char3 Char1,Char Char Char1 Char1,Char3 Char,Char1 Char Char Char,Char, Char"/>
    <w:basedOn w:val="Normal"/>
    <w:link w:val="FootnoteTextChar"/>
    <w:semiHidden/>
    <w:rsid w:val="00DF0EBB"/>
    <w:pPr>
      <w:spacing w:after="0" w:line="240" w:lineRule="auto"/>
    </w:pPr>
    <w:rPr>
      <w:rFonts w:ascii="Times New Roman" w:eastAsia="Times New Roman" w:hAnsi="Times New Roman" w:cs="Times New Roman"/>
      <w:bCs/>
      <w:iCs/>
      <w:sz w:val="20"/>
      <w:szCs w:val="20"/>
      <w:lang w:eastAsia="hu-HU"/>
    </w:rPr>
  </w:style>
  <w:style w:type="character" w:customStyle="1" w:styleId="FootnoteTextChar">
    <w:name w:val="Footnote Text Char"/>
    <w:aliases w:val="Char Char Char,Char Char Char Char Char,Char1 Char Char Char1,Char1 Char Char1 Char,Char3 Char1 Char,Char Char Char1 Char1 Char,Char3 Char Char,Char1 Char Char Char Char,Char Char1, Char Char"/>
    <w:basedOn w:val="DefaultParagraphFont"/>
    <w:link w:val="FootnoteText"/>
    <w:semiHidden/>
    <w:rsid w:val="00DF0EBB"/>
    <w:rPr>
      <w:rFonts w:ascii="Times New Roman" w:eastAsia="Times New Roman" w:hAnsi="Times New Roman" w:cs="Times New Roman"/>
      <w:bCs/>
      <w:iCs/>
      <w:sz w:val="20"/>
      <w:szCs w:val="20"/>
      <w:lang w:eastAsia="hu-HU"/>
    </w:rPr>
  </w:style>
  <w:style w:type="character" w:styleId="FootnoteReference">
    <w:name w:val="footnote reference"/>
    <w:semiHidden/>
    <w:rsid w:val="00DF0EBB"/>
    <w:rPr>
      <w:rFonts w:cs="Times New Roman"/>
      <w:vertAlign w:val="superscript"/>
    </w:rPr>
  </w:style>
  <w:style w:type="character" w:styleId="CommentReference">
    <w:name w:val="annotation reference"/>
    <w:basedOn w:val="DefaultParagraphFont"/>
    <w:uiPriority w:val="99"/>
    <w:semiHidden/>
    <w:unhideWhenUsed/>
    <w:rsid w:val="00DF0EBB"/>
    <w:rPr>
      <w:sz w:val="16"/>
      <w:szCs w:val="16"/>
    </w:rPr>
  </w:style>
  <w:style w:type="paragraph" w:styleId="CommentText">
    <w:name w:val="annotation text"/>
    <w:basedOn w:val="Normal"/>
    <w:link w:val="CommentTextChar"/>
    <w:uiPriority w:val="99"/>
    <w:semiHidden/>
    <w:unhideWhenUsed/>
    <w:rsid w:val="00DF0EB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F0EB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F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6286"/>
    <w:pPr>
      <w:spacing w:after="160"/>
    </w:pPr>
    <w:rPr>
      <w:rFonts w:asciiTheme="minorHAnsi" w:eastAsiaTheme="minorHAnsi" w:hAnsiTheme="minorHAnsi" w:cstheme="minorBidi"/>
      <w:b/>
      <w:bCs/>
      <w:lang w:val="hu-HU"/>
    </w:rPr>
  </w:style>
  <w:style w:type="character" w:customStyle="1" w:styleId="CommentSubjectChar">
    <w:name w:val="Comment Subject Char"/>
    <w:basedOn w:val="CommentTextChar"/>
    <w:link w:val="CommentSubject"/>
    <w:uiPriority w:val="99"/>
    <w:semiHidden/>
    <w:rsid w:val="005B6286"/>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66373F"/>
    <w:pPr>
      <w:tabs>
        <w:tab w:val="center" w:pos="4513"/>
        <w:tab w:val="right" w:pos="9026"/>
      </w:tabs>
      <w:spacing w:after="0" w:line="240" w:lineRule="auto"/>
    </w:pPr>
  </w:style>
  <w:style w:type="character" w:customStyle="1" w:styleId="HeaderChar">
    <w:name w:val="Header Char"/>
    <w:basedOn w:val="DefaultParagraphFont"/>
    <w:link w:val="Header"/>
    <w:rsid w:val="0066373F"/>
  </w:style>
  <w:style w:type="paragraph" w:styleId="Footer">
    <w:name w:val="footer"/>
    <w:basedOn w:val="Normal"/>
    <w:link w:val="FooterChar"/>
    <w:uiPriority w:val="99"/>
    <w:unhideWhenUsed/>
    <w:rsid w:val="00663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C328-B751-4DFC-B0AC-3D81599C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2138</Words>
  <Characters>12190</Characters>
  <Application>Microsoft Office Word</Application>
  <DocSecurity>0</DocSecurity>
  <Lines>101</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Fiala-Butora Erika dr.</dc:creator>
  <cp:keywords/>
  <dc:description/>
  <cp:lastModifiedBy>BOURQUE Frederique</cp:lastModifiedBy>
  <cp:revision>1</cp:revision>
  <cp:lastPrinted>2021-10-11T10:03:00Z</cp:lastPrinted>
  <dcterms:created xsi:type="dcterms:W3CDTF">2021-11-03T11:28:00Z</dcterms:created>
  <dcterms:modified xsi:type="dcterms:W3CDTF">2021-11-03T11:28:00Z</dcterms:modified>
</cp:coreProperties>
</file>