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0A75" w14:textId="77777777" w:rsidR="002B330F" w:rsidRPr="00A222E3" w:rsidRDefault="002B330F" w:rsidP="002B330F">
      <w:pPr>
        <w:pStyle w:val="NoSpacing"/>
        <w:jc w:val="center"/>
        <w:rPr>
          <w:rFonts w:ascii="MetaPro-Norm" w:hAnsi="MetaPro-Norm" w:cstheme="minorHAnsi"/>
          <w:color w:val="000000" w:themeColor="text1"/>
          <w:sz w:val="22"/>
          <w:szCs w:val="22"/>
        </w:rPr>
      </w:pPr>
      <w:r w:rsidRPr="00A222E3">
        <w:rPr>
          <w:rFonts w:ascii="MetaPro-Norm" w:hAnsi="MetaPro-Norm" w:cstheme="minorHAnsi"/>
          <w:noProof/>
          <w:color w:val="000000" w:themeColor="text1"/>
          <w:sz w:val="22"/>
          <w:szCs w:val="22"/>
          <w:shd w:val="clear" w:color="auto" w:fill="E6E6E6"/>
          <w:lang w:eastAsia="en-US"/>
        </w:rPr>
        <w:drawing>
          <wp:inline distT="0" distB="0" distL="0" distR="0" wp14:anchorId="20B70063" wp14:editId="647F5BB8">
            <wp:extent cx="1200150" cy="120015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066217D4" w14:textId="77777777" w:rsidR="002B330F" w:rsidRPr="00A222E3" w:rsidRDefault="002B330F" w:rsidP="002B330F">
      <w:pPr>
        <w:pStyle w:val="NoSpacing"/>
        <w:spacing w:line="264" w:lineRule="auto"/>
        <w:rPr>
          <w:rFonts w:ascii="MetaPro-Norm" w:hAnsi="MetaPro-Norm" w:cstheme="minorBidi"/>
          <w:color w:val="000000" w:themeColor="text1"/>
          <w:sz w:val="22"/>
          <w:szCs w:val="22"/>
        </w:rPr>
      </w:pPr>
    </w:p>
    <w:p w14:paraId="40FBBB2E" w14:textId="13464855" w:rsidR="002B330F" w:rsidRPr="00B53738" w:rsidRDefault="002B330F" w:rsidP="002B330F">
      <w:pPr>
        <w:pStyle w:val="NoSpacing"/>
        <w:spacing w:line="22" w:lineRule="atLeast"/>
        <w:jc w:val="center"/>
        <w:rPr>
          <w:rFonts w:ascii="MetaPro-Norm" w:eastAsia="MetaPro-Norm" w:hAnsi="MetaPro-Norm" w:cs="MetaPro-Norm"/>
          <w:b/>
          <w:bCs/>
          <w:color w:val="000000" w:themeColor="text1"/>
        </w:rPr>
      </w:pPr>
      <w:r w:rsidRPr="00B53738">
        <w:rPr>
          <w:rFonts w:ascii="MetaPro-Norm" w:eastAsia="MetaPro-Norm" w:hAnsi="MetaPro-Norm" w:cs="MetaPro-Norm"/>
          <w:b/>
          <w:bCs/>
          <w:color w:val="000000" w:themeColor="text1"/>
        </w:rPr>
        <w:t xml:space="preserve">Submission to the Office of the United Nations High Commissioner for Human Rights </w:t>
      </w:r>
    </w:p>
    <w:p w14:paraId="7BC60E6C" w14:textId="311221A1" w:rsidR="002B330F" w:rsidRPr="00B53738" w:rsidRDefault="002B330F" w:rsidP="002B330F">
      <w:pPr>
        <w:pStyle w:val="NoSpacing"/>
        <w:spacing w:line="22" w:lineRule="atLeast"/>
        <w:jc w:val="center"/>
        <w:rPr>
          <w:rFonts w:ascii="MetaPro-Norm" w:eastAsia="MetaPro-Norm" w:hAnsi="MetaPro-Norm" w:cs="MetaPro-Norm"/>
          <w:b/>
          <w:bCs/>
          <w:color w:val="000000" w:themeColor="text1"/>
        </w:rPr>
      </w:pPr>
      <w:r w:rsidRPr="00B53738">
        <w:rPr>
          <w:rFonts w:ascii="MetaPro-Norm" w:eastAsia="MetaPro-Norm" w:hAnsi="MetaPro-Norm" w:cs="MetaPro-Norm"/>
          <w:b/>
          <w:bCs/>
          <w:color w:val="000000" w:themeColor="text1"/>
        </w:rPr>
        <w:t>on the Rights of the Child and Social Protection</w:t>
      </w:r>
    </w:p>
    <w:p w14:paraId="7824394C" w14:textId="78AD6988" w:rsidR="002B330F" w:rsidRPr="00A222E3" w:rsidRDefault="002B330F" w:rsidP="002B330F">
      <w:pPr>
        <w:pStyle w:val="NoSpacing"/>
        <w:spacing w:line="22" w:lineRule="atLeast"/>
        <w:jc w:val="center"/>
        <w:rPr>
          <w:rFonts w:ascii="MetaPro-Norm" w:eastAsia="MetaPro-Norm" w:hAnsi="MetaPro-Norm" w:cs="MetaPro-Norm"/>
          <w:b/>
          <w:bCs/>
          <w:i/>
          <w:iCs/>
          <w:color w:val="000000" w:themeColor="text1"/>
          <w:sz w:val="22"/>
          <w:szCs w:val="22"/>
        </w:rPr>
      </w:pPr>
      <w:r w:rsidRPr="00B53738">
        <w:rPr>
          <w:rFonts w:ascii="MetaPro-Norm" w:eastAsia="MetaPro-Norm" w:hAnsi="MetaPro-Norm" w:cs="MetaPro-Norm"/>
          <w:b/>
          <w:bCs/>
          <w:i/>
          <w:iCs/>
          <w:color w:val="000000" w:themeColor="text1"/>
        </w:rPr>
        <w:t>January 202</w:t>
      </w:r>
      <w:r w:rsidR="007D6C62" w:rsidRPr="00B53738">
        <w:rPr>
          <w:rFonts w:ascii="MetaPro-Norm" w:eastAsia="MetaPro-Norm" w:hAnsi="MetaPro-Norm" w:cs="MetaPro-Norm"/>
          <w:b/>
          <w:bCs/>
          <w:i/>
          <w:iCs/>
          <w:color w:val="000000" w:themeColor="text1"/>
        </w:rPr>
        <w:t>3</w:t>
      </w:r>
    </w:p>
    <w:p w14:paraId="0853861A" w14:textId="7B8836D7" w:rsidR="00CB15C2" w:rsidRPr="00A222E3" w:rsidRDefault="00CB15C2">
      <w:pPr>
        <w:rPr>
          <w:rFonts w:ascii="MetaPro-Norm" w:hAnsi="MetaPro-Norm"/>
          <w:color w:val="000000" w:themeColor="text1"/>
        </w:rPr>
      </w:pPr>
    </w:p>
    <w:p w14:paraId="6D5F0852" w14:textId="11AE7FE8" w:rsidR="00C242F1" w:rsidRPr="00A222E3" w:rsidRDefault="002B330F" w:rsidP="00EF3A19">
      <w:pPr>
        <w:rPr>
          <w:rFonts w:cstheme="minorHAnsi"/>
          <w:color w:val="000000" w:themeColor="text1"/>
        </w:rPr>
      </w:pPr>
      <w:r w:rsidRPr="00A222E3">
        <w:rPr>
          <w:rFonts w:cstheme="minorHAnsi"/>
          <w:color w:val="000000" w:themeColor="text1"/>
        </w:rPr>
        <w:t>Human Rights Watch welcomes the opportunity to provide input regarding Human Rights Council Resolution 49/20 on the rights of the child and social protection.</w:t>
      </w:r>
      <w:r w:rsidR="008B5777" w:rsidRPr="00A222E3">
        <w:rPr>
          <w:rFonts w:cstheme="minorHAnsi"/>
          <w:color w:val="000000" w:themeColor="text1"/>
        </w:rPr>
        <w:t xml:space="preserve"> </w:t>
      </w:r>
      <w:r w:rsidR="00053BAA" w:rsidRPr="00A222E3">
        <w:rPr>
          <w:rFonts w:cstheme="minorHAnsi"/>
          <w:color w:val="000000" w:themeColor="text1"/>
        </w:rPr>
        <w:t>T</w:t>
      </w:r>
      <w:r w:rsidR="00EB5EEF" w:rsidRPr="00A222E3">
        <w:rPr>
          <w:rFonts w:cstheme="minorHAnsi"/>
          <w:color w:val="000000" w:themeColor="text1"/>
        </w:rPr>
        <w:t xml:space="preserve">his submission </w:t>
      </w:r>
      <w:r w:rsidR="002B2E02" w:rsidRPr="00A222E3">
        <w:rPr>
          <w:rFonts w:cstheme="minorHAnsi"/>
          <w:color w:val="000000" w:themeColor="text1"/>
        </w:rPr>
        <w:t>reflects Human Rights Watch’s research on social protection and children in Ghana, Kazakhstan, Nepal, Uganda,</w:t>
      </w:r>
      <w:r w:rsidR="00C242F1" w:rsidRPr="00A222E3">
        <w:rPr>
          <w:rFonts w:cstheme="minorHAnsi"/>
          <w:color w:val="000000" w:themeColor="text1"/>
        </w:rPr>
        <w:t xml:space="preserve"> and</w:t>
      </w:r>
      <w:r w:rsidR="002B2E02" w:rsidRPr="00A222E3">
        <w:rPr>
          <w:rFonts w:cstheme="minorHAnsi"/>
          <w:color w:val="000000" w:themeColor="text1"/>
        </w:rPr>
        <w:t xml:space="preserve"> the United States.</w:t>
      </w:r>
    </w:p>
    <w:p w14:paraId="6AE564B1" w14:textId="52A77986" w:rsidR="00C242F1" w:rsidRPr="00A222E3" w:rsidRDefault="00C242F1" w:rsidP="00C242F1">
      <w:pPr>
        <w:rPr>
          <w:rFonts w:cstheme="minorHAnsi"/>
          <w:color w:val="000000" w:themeColor="text1"/>
        </w:rPr>
      </w:pPr>
      <w:r w:rsidRPr="00A222E3">
        <w:rPr>
          <w:rFonts w:cstheme="minorHAnsi"/>
          <w:color w:val="000000" w:themeColor="text1"/>
        </w:rPr>
        <w:t xml:space="preserve">The information presented on Ghana, Nepal, and Uganda is in the context of Human Rights Watch research, </w:t>
      </w:r>
      <w:r w:rsidR="00B53738">
        <w:rPr>
          <w:rFonts w:cstheme="minorHAnsi"/>
          <w:color w:val="000000" w:themeColor="text1"/>
        </w:rPr>
        <w:t xml:space="preserve">conducted in early 2021 </w:t>
      </w:r>
      <w:r w:rsidRPr="00A222E3">
        <w:rPr>
          <w:rFonts w:cstheme="minorHAnsi"/>
          <w:color w:val="000000" w:themeColor="text1"/>
        </w:rPr>
        <w:t xml:space="preserve">with </w:t>
      </w:r>
      <w:r w:rsidR="00B53738">
        <w:rPr>
          <w:rFonts w:cstheme="minorHAnsi"/>
          <w:color w:val="000000" w:themeColor="text1"/>
        </w:rPr>
        <w:t xml:space="preserve">the </w:t>
      </w:r>
      <w:r w:rsidRPr="00A222E3">
        <w:rPr>
          <w:rFonts w:cstheme="minorHAnsi"/>
          <w:color w:val="000000" w:themeColor="text1"/>
        </w:rPr>
        <w:t xml:space="preserve">Initiative for Social and Economic Rights (ISER) in Uganda and Friends of the Nation in Ghana, regarding the links between social protection, child labor, and the Covid-19 pandemic. We selected these three countries because each had made significant progress in reducing poverty and child labor in recent decades but </w:t>
      </w:r>
      <w:proofErr w:type="gramStart"/>
      <w:r w:rsidRPr="00A222E3">
        <w:rPr>
          <w:rFonts w:cstheme="minorHAnsi"/>
          <w:color w:val="000000" w:themeColor="text1"/>
        </w:rPr>
        <w:t>lagged behind</w:t>
      </w:r>
      <w:proofErr w:type="gramEnd"/>
      <w:r w:rsidRPr="00A222E3">
        <w:rPr>
          <w:rFonts w:cstheme="minorHAnsi"/>
          <w:color w:val="000000" w:themeColor="text1"/>
        </w:rPr>
        <w:t xml:space="preserve"> </w:t>
      </w:r>
      <w:r w:rsidR="00E40BC5">
        <w:rPr>
          <w:rFonts w:cstheme="minorHAnsi"/>
          <w:color w:val="000000" w:themeColor="text1"/>
        </w:rPr>
        <w:t xml:space="preserve">others </w:t>
      </w:r>
      <w:r w:rsidRPr="00A222E3">
        <w:rPr>
          <w:rFonts w:cstheme="minorHAnsi"/>
          <w:color w:val="000000" w:themeColor="text1"/>
        </w:rPr>
        <w:t>in using cash allowances to address the Covid-19 crisis, spending less than their regional peers and covering a smaller proportion of households with children.</w:t>
      </w:r>
      <w:r w:rsidR="00E40BC5">
        <w:rPr>
          <w:rFonts w:cstheme="minorHAnsi"/>
          <w:color w:val="000000" w:themeColor="text1"/>
        </w:rPr>
        <w:t xml:space="preserve"> In all three countries, we found that </w:t>
      </w:r>
      <w:r w:rsidR="00E40BC5" w:rsidRPr="00A222E3">
        <w:rPr>
          <w:rFonts w:cstheme="minorHAnsi"/>
          <w:color w:val="000000" w:themeColor="text1"/>
        </w:rPr>
        <w:t>the unprecedented economic impact of the Covid-19 pandemic, together with school closures and inadequate government assistance, was pushing children into exploitative and dangerous child labor.</w:t>
      </w:r>
    </w:p>
    <w:p w14:paraId="5CB1809A" w14:textId="160951E0" w:rsidR="00C242F1" w:rsidRPr="00A222E3" w:rsidRDefault="00C242F1" w:rsidP="00EF3A19">
      <w:pPr>
        <w:rPr>
          <w:rFonts w:cstheme="minorHAnsi"/>
          <w:color w:val="000000" w:themeColor="text1"/>
        </w:rPr>
      </w:pPr>
      <w:r w:rsidRPr="00A222E3">
        <w:rPr>
          <w:rFonts w:cstheme="minorHAnsi"/>
          <w:color w:val="000000" w:themeColor="text1"/>
        </w:rPr>
        <w:t>Our submission</w:t>
      </w:r>
      <w:r w:rsidR="00861716" w:rsidRPr="00A222E3">
        <w:rPr>
          <w:rFonts w:cstheme="minorHAnsi"/>
          <w:color w:val="000000" w:themeColor="text1"/>
        </w:rPr>
        <w:t xml:space="preserve"> </w:t>
      </w:r>
      <w:r w:rsidR="00A37586" w:rsidRPr="00A222E3">
        <w:rPr>
          <w:rFonts w:cstheme="minorHAnsi"/>
          <w:color w:val="000000" w:themeColor="text1"/>
        </w:rPr>
        <w:t>provide</w:t>
      </w:r>
      <w:r w:rsidR="0070764A" w:rsidRPr="00A222E3">
        <w:rPr>
          <w:rFonts w:cstheme="minorHAnsi"/>
          <w:color w:val="000000" w:themeColor="text1"/>
        </w:rPr>
        <w:t>s</w:t>
      </w:r>
      <w:r w:rsidR="00A37586" w:rsidRPr="00A222E3">
        <w:rPr>
          <w:rFonts w:cstheme="minorHAnsi"/>
          <w:color w:val="000000" w:themeColor="text1"/>
        </w:rPr>
        <w:t xml:space="preserve"> </w:t>
      </w:r>
      <w:r w:rsidR="004D7914" w:rsidRPr="00A222E3">
        <w:rPr>
          <w:rFonts w:cstheme="minorHAnsi"/>
          <w:color w:val="000000" w:themeColor="text1"/>
        </w:rPr>
        <w:t xml:space="preserve">examples of gaps and challenges </w:t>
      </w:r>
      <w:r w:rsidR="005B4930" w:rsidRPr="00A222E3">
        <w:rPr>
          <w:rFonts w:cstheme="minorHAnsi"/>
          <w:color w:val="000000" w:themeColor="text1"/>
        </w:rPr>
        <w:t xml:space="preserve">to children’s enjoyment of social protection </w:t>
      </w:r>
      <w:r w:rsidR="00907636">
        <w:rPr>
          <w:rFonts w:cstheme="minorHAnsi"/>
          <w:color w:val="000000" w:themeColor="text1"/>
        </w:rPr>
        <w:t xml:space="preserve">and their right to social security </w:t>
      </w:r>
      <w:r w:rsidR="00396DE8" w:rsidRPr="00A222E3">
        <w:rPr>
          <w:rFonts w:cstheme="minorHAnsi"/>
          <w:color w:val="000000" w:themeColor="text1"/>
        </w:rPr>
        <w:t xml:space="preserve">and </w:t>
      </w:r>
      <w:r w:rsidR="00183B31" w:rsidRPr="00A222E3">
        <w:rPr>
          <w:rFonts w:cstheme="minorHAnsi"/>
          <w:color w:val="000000" w:themeColor="text1"/>
        </w:rPr>
        <w:t>offer</w:t>
      </w:r>
      <w:r w:rsidR="0070764A" w:rsidRPr="00A222E3">
        <w:rPr>
          <w:rFonts w:cstheme="minorHAnsi"/>
          <w:color w:val="000000" w:themeColor="text1"/>
        </w:rPr>
        <w:t>s</w:t>
      </w:r>
      <w:r w:rsidR="00183B31" w:rsidRPr="00A222E3">
        <w:rPr>
          <w:rFonts w:cstheme="minorHAnsi"/>
          <w:color w:val="000000" w:themeColor="text1"/>
        </w:rPr>
        <w:t xml:space="preserve"> recommendations for the </w:t>
      </w:r>
      <w:r w:rsidR="0070764A" w:rsidRPr="00A222E3">
        <w:rPr>
          <w:rFonts w:cstheme="minorHAnsi"/>
          <w:color w:val="000000" w:themeColor="text1"/>
        </w:rPr>
        <w:t>effective implementation of universal social protection for children.</w:t>
      </w:r>
    </w:p>
    <w:p w14:paraId="5F47A4A9" w14:textId="5EA45055" w:rsidR="00C242F1" w:rsidRPr="00A222E3" w:rsidRDefault="00C242F1" w:rsidP="00C242F1">
      <w:pPr>
        <w:rPr>
          <w:rFonts w:eastAsia="Times New Roman" w:cstheme="minorHAnsi"/>
          <w:b/>
          <w:bCs/>
          <w:color w:val="000000" w:themeColor="text1"/>
        </w:rPr>
      </w:pPr>
      <w:r w:rsidRPr="00A222E3">
        <w:rPr>
          <w:rFonts w:eastAsia="Times New Roman" w:cstheme="minorHAnsi"/>
          <w:b/>
          <w:bCs/>
          <w:color w:val="000000" w:themeColor="text1"/>
        </w:rPr>
        <w:t>Ghana</w:t>
      </w:r>
    </w:p>
    <w:p w14:paraId="36655963" w14:textId="70D8E2C5" w:rsidR="00C242F1" w:rsidRPr="00A222E3" w:rsidRDefault="00C242F1" w:rsidP="00C242F1">
      <w:pPr>
        <w:rPr>
          <w:rFonts w:cstheme="minorHAnsi"/>
          <w:color w:val="000000" w:themeColor="text1"/>
        </w:rPr>
      </w:pPr>
      <w:r w:rsidRPr="00A222E3">
        <w:rPr>
          <w:rFonts w:cstheme="minorHAnsi"/>
          <w:color w:val="000000" w:themeColor="text1"/>
        </w:rPr>
        <w:t>In 2008, Ghana initiated a cash transfer program called LEAP (Livelihood Empowerment Against Poverty),</w:t>
      </w:r>
      <w:r w:rsidR="00DB6AA6">
        <w:rPr>
          <w:rFonts w:cstheme="minorHAnsi"/>
          <w:color w:val="000000" w:themeColor="text1"/>
        </w:rPr>
        <w:t xml:space="preserve"> targeting</w:t>
      </w:r>
      <w:r w:rsidR="00DB6AA6" w:rsidRPr="00DB6AA6">
        <w:rPr>
          <w:rFonts w:cstheme="minorHAnsi"/>
          <w:color w:val="000000" w:themeColor="text1"/>
        </w:rPr>
        <w:t xml:space="preserve"> very poor people, particularly in households with orphans or vulnerable children, the </w:t>
      </w:r>
      <w:proofErr w:type="gramStart"/>
      <w:r w:rsidR="00DB6AA6" w:rsidRPr="00DB6AA6">
        <w:rPr>
          <w:rFonts w:cstheme="minorHAnsi"/>
          <w:color w:val="000000" w:themeColor="text1"/>
        </w:rPr>
        <w:t>elderly</w:t>
      </w:r>
      <w:proofErr w:type="gramEnd"/>
      <w:r w:rsidR="00DB6AA6" w:rsidRPr="00DB6AA6">
        <w:rPr>
          <w:rFonts w:cstheme="minorHAnsi"/>
          <w:color w:val="000000" w:themeColor="text1"/>
        </w:rPr>
        <w:t xml:space="preserve"> and people with extreme disabilities. B</w:t>
      </w:r>
      <w:r w:rsidRPr="00A222E3">
        <w:rPr>
          <w:rFonts w:cstheme="minorHAnsi"/>
          <w:color w:val="000000" w:themeColor="text1"/>
        </w:rPr>
        <w:t xml:space="preserve">ut </w:t>
      </w:r>
      <w:r w:rsidR="00DB6AA6">
        <w:rPr>
          <w:rFonts w:cstheme="minorHAnsi"/>
          <w:color w:val="000000" w:themeColor="text1"/>
        </w:rPr>
        <w:t>by</w:t>
      </w:r>
      <w:r w:rsidRPr="00A222E3">
        <w:rPr>
          <w:rFonts w:cstheme="minorHAnsi"/>
          <w:color w:val="000000" w:themeColor="text1"/>
        </w:rPr>
        <w:t xml:space="preserve"> 2020, the program reached only 5 percent of the country’s population.</w:t>
      </w:r>
      <w:r w:rsidRPr="00A222E3">
        <w:rPr>
          <w:rStyle w:val="FootnoteReference"/>
          <w:rFonts w:asciiTheme="minorHAnsi" w:hAnsiTheme="minorHAnsi" w:cstheme="minorHAnsi"/>
          <w:color w:val="000000" w:themeColor="text1"/>
        </w:rPr>
        <w:footnoteReference w:id="1"/>
      </w:r>
      <w:r w:rsidRPr="00A222E3">
        <w:rPr>
          <w:rFonts w:cstheme="minorHAnsi"/>
          <w:color w:val="000000" w:themeColor="text1"/>
        </w:rPr>
        <w:t xml:space="preserve"> A 2014 impact evaluation of LEAP found that it contributed to a range of positive impacts for beneficiaries, including a reduction in child labor, a 7 percent increase in school enrolment, a 10 percent decrease in school absenteeism, lower household debt, and a 34 percent increase in enrolment of children under 6 in the national health insurance system. It also stimulated local economies, with every </w:t>
      </w:r>
      <w:r w:rsidRPr="00B53738">
        <w:rPr>
          <w:rFonts w:cstheme="minorHAnsi"/>
          <w:i/>
          <w:iCs/>
          <w:color w:val="000000" w:themeColor="text1"/>
        </w:rPr>
        <w:t>cedi</w:t>
      </w:r>
      <w:r w:rsidRPr="00A222E3">
        <w:rPr>
          <w:rFonts w:cstheme="minorHAnsi"/>
          <w:color w:val="000000" w:themeColor="text1"/>
        </w:rPr>
        <w:t xml:space="preserve"> distributed through LEAP contributing to an estimated increase in local </w:t>
      </w:r>
      <w:r w:rsidRPr="00A222E3">
        <w:rPr>
          <w:rFonts w:cstheme="minorHAnsi"/>
          <w:color w:val="000000" w:themeColor="text1"/>
        </w:rPr>
        <w:lastRenderedPageBreak/>
        <w:t xml:space="preserve">income of 2.50 </w:t>
      </w:r>
      <w:r w:rsidRPr="00B53738">
        <w:rPr>
          <w:rFonts w:cstheme="minorHAnsi"/>
          <w:i/>
          <w:iCs/>
          <w:color w:val="000000" w:themeColor="text1"/>
        </w:rPr>
        <w:t>cedis</w:t>
      </w:r>
      <w:r w:rsidRPr="00A222E3">
        <w:rPr>
          <w:rFonts w:cstheme="minorHAnsi"/>
          <w:color w:val="000000" w:themeColor="text1"/>
        </w:rPr>
        <w:t>.</w:t>
      </w:r>
      <w:r w:rsidRPr="00A222E3">
        <w:rPr>
          <w:rStyle w:val="FootnoteReference"/>
          <w:rFonts w:asciiTheme="minorHAnsi" w:hAnsiTheme="minorHAnsi" w:cstheme="minorHAnsi"/>
          <w:color w:val="000000" w:themeColor="text1"/>
        </w:rPr>
        <w:footnoteReference w:id="2"/>
      </w:r>
      <w:r w:rsidRPr="00A222E3">
        <w:rPr>
          <w:rFonts w:cstheme="minorHAnsi"/>
          <w:color w:val="000000" w:themeColor="text1"/>
        </w:rPr>
        <w:t xml:space="preserve"> In 2012, the </w:t>
      </w:r>
      <w:r w:rsidR="00A45F41">
        <w:rPr>
          <w:rFonts w:cstheme="minorHAnsi"/>
          <w:color w:val="000000" w:themeColor="text1"/>
        </w:rPr>
        <w:t xml:space="preserve">government tripled the </w:t>
      </w:r>
      <w:r w:rsidRPr="00A222E3">
        <w:rPr>
          <w:rFonts w:cstheme="minorHAnsi"/>
          <w:color w:val="000000" w:themeColor="text1"/>
        </w:rPr>
        <w:t xml:space="preserve">size of the payments, after </w:t>
      </w:r>
      <w:r w:rsidR="00DB6AA6">
        <w:rPr>
          <w:rFonts w:cstheme="minorHAnsi"/>
          <w:color w:val="000000" w:themeColor="text1"/>
        </w:rPr>
        <w:t>an impact evaluation</w:t>
      </w:r>
      <w:r w:rsidRPr="00A222E3">
        <w:rPr>
          <w:rFonts w:cstheme="minorHAnsi"/>
          <w:color w:val="000000" w:themeColor="text1"/>
        </w:rPr>
        <w:t xml:space="preserve"> found that irregular and insufficient payments limited the program’s impact.</w:t>
      </w:r>
      <w:r w:rsidRPr="00A222E3">
        <w:rPr>
          <w:rStyle w:val="FootnoteReference"/>
          <w:rFonts w:asciiTheme="minorHAnsi" w:hAnsiTheme="minorHAnsi" w:cstheme="minorHAnsi"/>
          <w:color w:val="000000" w:themeColor="text1"/>
        </w:rPr>
        <w:footnoteReference w:id="3"/>
      </w:r>
      <w:r w:rsidRPr="00A222E3">
        <w:rPr>
          <w:rFonts w:cstheme="minorHAnsi"/>
          <w:color w:val="000000" w:themeColor="text1"/>
        </w:rPr>
        <w:t xml:space="preserve"> </w:t>
      </w:r>
    </w:p>
    <w:p w14:paraId="7CEFA1DD" w14:textId="7438D300" w:rsidR="00C242F1" w:rsidRPr="00A222E3" w:rsidRDefault="00C242F1" w:rsidP="00C242F1">
      <w:pPr>
        <w:rPr>
          <w:rFonts w:cstheme="minorHAnsi"/>
          <w:color w:val="000000" w:themeColor="text1"/>
        </w:rPr>
      </w:pPr>
      <w:r w:rsidRPr="00A222E3">
        <w:rPr>
          <w:rFonts w:cstheme="minorHAnsi"/>
          <w:color w:val="000000" w:themeColor="text1"/>
        </w:rPr>
        <w:t>Despite Ghana’s efforts, it still</w:t>
      </w:r>
      <w:r w:rsidR="00B53738">
        <w:rPr>
          <w:rFonts w:cstheme="minorHAnsi"/>
          <w:color w:val="000000" w:themeColor="text1"/>
        </w:rPr>
        <w:t xml:space="preserve"> </w:t>
      </w:r>
      <w:proofErr w:type="gramStart"/>
      <w:r w:rsidR="00B53738">
        <w:rPr>
          <w:rFonts w:cstheme="minorHAnsi"/>
          <w:color w:val="000000" w:themeColor="text1"/>
        </w:rPr>
        <w:t>lagged</w:t>
      </w:r>
      <w:r w:rsidRPr="00A222E3">
        <w:rPr>
          <w:rFonts w:cstheme="minorHAnsi"/>
          <w:color w:val="000000" w:themeColor="text1"/>
        </w:rPr>
        <w:t xml:space="preserve"> behind</w:t>
      </w:r>
      <w:proofErr w:type="gramEnd"/>
      <w:r w:rsidRPr="00A222E3">
        <w:rPr>
          <w:rFonts w:cstheme="minorHAnsi"/>
          <w:color w:val="000000" w:themeColor="text1"/>
        </w:rPr>
        <w:t xml:space="preserve"> its peers. Before the pandemic, Ghana spent less than half of the regional average on social </w:t>
      </w:r>
      <w:r w:rsidR="001D7BAD">
        <w:rPr>
          <w:rFonts w:cstheme="minorHAnsi"/>
          <w:color w:val="000000" w:themeColor="text1"/>
        </w:rPr>
        <w:t xml:space="preserve">protection </w:t>
      </w:r>
      <w:r w:rsidRPr="00A222E3">
        <w:rPr>
          <w:rFonts w:cstheme="minorHAnsi"/>
          <w:color w:val="000000" w:themeColor="text1"/>
        </w:rPr>
        <w:t>programs, including cash transfers.</w:t>
      </w:r>
      <w:r w:rsidRPr="00A222E3">
        <w:rPr>
          <w:rStyle w:val="FootnoteReference"/>
          <w:rFonts w:asciiTheme="minorHAnsi" w:hAnsiTheme="minorHAnsi" w:cstheme="minorHAnsi"/>
          <w:color w:val="000000" w:themeColor="text1"/>
        </w:rPr>
        <w:footnoteReference w:id="4"/>
      </w:r>
      <w:r w:rsidRPr="00A222E3">
        <w:rPr>
          <w:rFonts w:cstheme="minorHAnsi"/>
          <w:color w:val="000000" w:themeColor="text1"/>
        </w:rPr>
        <w:t xml:space="preserve"> Its pandemic response also </w:t>
      </w:r>
      <w:proofErr w:type="gramStart"/>
      <w:r w:rsidRPr="00A222E3">
        <w:rPr>
          <w:rFonts w:cstheme="minorHAnsi"/>
          <w:color w:val="000000" w:themeColor="text1"/>
        </w:rPr>
        <w:t>lagged behind</w:t>
      </w:r>
      <w:proofErr w:type="gramEnd"/>
      <w:r w:rsidRPr="00A222E3">
        <w:rPr>
          <w:rFonts w:cstheme="minorHAnsi"/>
          <w:color w:val="000000" w:themeColor="text1"/>
        </w:rPr>
        <w:t>. Globally, countries increased their cash transfer coverage on average by 240 percent</w:t>
      </w:r>
      <w:r w:rsidR="00B53738">
        <w:rPr>
          <w:rFonts w:cstheme="minorHAnsi"/>
          <w:color w:val="000000" w:themeColor="text1"/>
        </w:rPr>
        <w:t xml:space="preserve"> during the pandemic</w:t>
      </w:r>
      <w:r w:rsidR="00C415ED">
        <w:rPr>
          <w:rFonts w:cstheme="minorHAnsi"/>
          <w:color w:val="000000" w:themeColor="text1"/>
        </w:rPr>
        <w:t xml:space="preserve">, but </w:t>
      </w:r>
      <w:r w:rsidR="00C415ED" w:rsidRPr="00A222E3">
        <w:rPr>
          <w:rFonts w:cstheme="minorHAnsi"/>
          <w:color w:val="000000" w:themeColor="text1"/>
        </w:rPr>
        <w:t>Ghana’s Covid-19 relief fund expanded the number of individuals receiving cash transfers by only 5 percent.</w:t>
      </w:r>
      <w:r w:rsidRPr="00A222E3">
        <w:rPr>
          <w:rStyle w:val="FootnoteReference"/>
          <w:rFonts w:asciiTheme="minorHAnsi" w:hAnsiTheme="minorHAnsi" w:cstheme="minorHAnsi"/>
          <w:color w:val="000000" w:themeColor="text1"/>
        </w:rPr>
        <w:footnoteReference w:id="5"/>
      </w:r>
      <w:r w:rsidRPr="00A222E3">
        <w:rPr>
          <w:rFonts w:cstheme="minorHAnsi"/>
          <w:color w:val="000000" w:themeColor="text1"/>
        </w:rPr>
        <w:t xml:space="preserve"> </w:t>
      </w:r>
    </w:p>
    <w:p w14:paraId="10218370" w14:textId="7BF722A6" w:rsidR="00C242F1" w:rsidRPr="00A222E3" w:rsidRDefault="00C242F1" w:rsidP="00C242F1">
      <w:pPr>
        <w:rPr>
          <w:rFonts w:cstheme="minorHAnsi"/>
          <w:color w:val="000000" w:themeColor="text1"/>
        </w:rPr>
      </w:pPr>
      <w:r w:rsidRPr="00A222E3">
        <w:rPr>
          <w:rFonts w:cstheme="minorHAnsi"/>
          <w:color w:val="000000" w:themeColor="text1"/>
        </w:rPr>
        <w:t xml:space="preserve">A 2018 simulation by the United Nations University found that if Ghana adopted a universal child allowance program, it could make additional strides in reducing child poverty. A payment of just 6.3 </w:t>
      </w:r>
      <w:r w:rsidRPr="00B53738">
        <w:rPr>
          <w:rFonts w:cstheme="minorHAnsi"/>
          <w:i/>
          <w:iCs/>
          <w:color w:val="000000" w:themeColor="text1"/>
        </w:rPr>
        <w:t>cedis</w:t>
      </w:r>
      <w:r w:rsidRPr="00A222E3">
        <w:rPr>
          <w:rFonts w:cstheme="minorHAnsi"/>
          <w:color w:val="000000" w:themeColor="text1"/>
        </w:rPr>
        <w:t xml:space="preserve"> per month ($1.08) for every child, amounting to 1 percent of GDP, could lift 202,000 children out of poverty, resulting in a 6 percent child poverty reduction.</w:t>
      </w:r>
      <w:r w:rsidRPr="00A222E3">
        <w:rPr>
          <w:rStyle w:val="FootnoteReference"/>
          <w:rFonts w:asciiTheme="minorHAnsi" w:hAnsiTheme="minorHAnsi" w:cstheme="minorHAnsi"/>
          <w:color w:val="000000" w:themeColor="text1"/>
        </w:rPr>
        <w:footnoteReference w:id="6"/>
      </w:r>
      <w:r w:rsidRPr="00A222E3">
        <w:rPr>
          <w:rFonts w:cstheme="minorHAnsi"/>
          <w:color w:val="000000" w:themeColor="text1"/>
        </w:rPr>
        <w:t xml:space="preserve"> </w:t>
      </w:r>
    </w:p>
    <w:p w14:paraId="70BC25BE" w14:textId="05561107" w:rsidR="00C242F1" w:rsidRPr="00A222E3" w:rsidRDefault="00C415ED" w:rsidP="00C242F1">
      <w:pPr>
        <w:rPr>
          <w:rFonts w:cstheme="minorHAnsi"/>
          <w:color w:val="000000" w:themeColor="text1"/>
        </w:rPr>
      </w:pPr>
      <w:r>
        <w:rPr>
          <w:rFonts w:cstheme="minorHAnsi"/>
          <w:color w:val="000000" w:themeColor="text1"/>
        </w:rPr>
        <w:t>Our research in Ghana found that the lack of government assistance during the pandemic contributed to hazardous child labor. Our</w:t>
      </w:r>
      <w:r w:rsidR="00C242F1" w:rsidRPr="00A222E3">
        <w:rPr>
          <w:rFonts w:cstheme="minorHAnsi"/>
          <w:color w:val="000000" w:themeColor="text1"/>
        </w:rPr>
        <w:t xml:space="preserve"> partner Friends of the Nation interviewed 24 children</w:t>
      </w:r>
      <w:r>
        <w:rPr>
          <w:rFonts w:cstheme="minorHAnsi"/>
          <w:color w:val="000000" w:themeColor="text1"/>
        </w:rPr>
        <w:t xml:space="preserve">, </w:t>
      </w:r>
      <w:r w:rsidRPr="00A222E3">
        <w:rPr>
          <w:rFonts w:cstheme="minorHAnsi"/>
          <w:color w:val="000000" w:themeColor="text1"/>
        </w:rPr>
        <w:t>ages 11 to 17</w:t>
      </w:r>
      <w:r>
        <w:rPr>
          <w:rFonts w:cstheme="minorHAnsi"/>
          <w:color w:val="000000" w:themeColor="text1"/>
        </w:rPr>
        <w:t>,</w:t>
      </w:r>
      <w:r w:rsidR="00C242F1" w:rsidRPr="00A222E3">
        <w:rPr>
          <w:rFonts w:cstheme="minorHAnsi"/>
          <w:color w:val="000000" w:themeColor="text1"/>
        </w:rPr>
        <w:t xml:space="preserve"> in early 2021 regarding the impacts of the Covid-19 pandemic. The children worked at gold mines, in carpentry, fishing, by transporting goods, and selling items on the street. Nearly </w:t>
      </w:r>
      <w:proofErr w:type="gramStart"/>
      <w:r w:rsidR="00C242F1" w:rsidRPr="00A222E3">
        <w:rPr>
          <w:rFonts w:cstheme="minorHAnsi"/>
          <w:color w:val="000000" w:themeColor="text1"/>
        </w:rPr>
        <w:t>all of</w:t>
      </w:r>
      <w:proofErr w:type="gramEnd"/>
      <w:r w:rsidR="00C242F1" w:rsidRPr="00A222E3">
        <w:rPr>
          <w:rFonts w:cstheme="minorHAnsi"/>
          <w:color w:val="000000" w:themeColor="text1"/>
        </w:rPr>
        <w:t xml:space="preserve"> the children interviewed said that the pandemic ha</w:t>
      </w:r>
      <w:r w:rsidR="00B53738">
        <w:rPr>
          <w:rFonts w:cstheme="minorHAnsi"/>
          <w:color w:val="000000" w:themeColor="text1"/>
        </w:rPr>
        <w:t>d</w:t>
      </w:r>
      <w:r w:rsidR="00C242F1" w:rsidRPr="00A222E3">
        <w:rPr>
          <w:rFonts w:cstheme="minorHAnsi"/>
          <w:color w:val="000000" w:themeColor="text1"/>
        </w:rPr>
        <w:t xml:space="preserve"> negatively affected their family income. Many entered the workforce for the first time to support their families. Some said they decided to work because their families didn’t have enough food.  Many described long working hours, particularly during school closures and lockdowns. One-third of the children interviewed worked at least ten hours a day, some seven days a week.</w:t>
      </w:r>
      <w:r w:rsidR="00B53738">
        <w:rPr>
          <w:rStyle w:val="FootnoteReference"/>
          <w:rFonts w:cstheme="minorHAnsi"/>
          <w:color w:val="000000" w:themeColor="text1"/>
        </w:rPr>
        <w:footnoteReference w:id="7"/>
      </w:r>
    </w:p>
    <w:p w14:paraId="7D00E3DA" w14:textId="31D7EC86" w:rsidR="00C242F1" w:rsidRPr="00A222E3" w:rsidRDefault="00C242F1" w:rsidP="00C242F1">
      <w:pPr>
        <w:rPr>
          <w:rFonts w:cstheme="minorHAnsi"/>
          <w:color w:val="000000" w:themeColor="text1"/>
        </w:rPr>
      </w:pPr>
      <w:r w:rsidRPr="00A222E3">
        <w:rPr>
          <w:rFonts w:cstheme="minorHAnsi"/>
          <w:color w:val="000000" w:themeColor="text1"/>
        </w:rPr>
        <w:t>When asked about assistance from the government, three of the children interviewed said that their family received free water. The remaining 21 children said that their families had not received any government assistance during the pandemic, although researchers were not able to confirm this with the children’s parents or guardians.</w:t>
      </w:r>
      <w:r w:rsidR="00122395">
        <w:rPr>
          <w:rStyle w:val="FootnoteReference"/>
          <w:rFonts w:cstheme="minorHAnsi"/>
          <w:color w:val="000000" w:themeColor="text1"/>
        </w:rPr>
        <w:footnoteReference w:id="8"/>
      </w:r>
      <w:r w:rsidRPr="00A222E3">
        <w:rPr>
          <w:rFonts w:cstheme="minorHAnsi"/>
          <w:color w:val="000000" w:themeColor="text1"/>
        </w:rPr>
        <w:t xml:space="preserve"> </w:t>
      </w:r>
    </w:p>
    <w:p w14:paraId="2FAAC2E9" w14:textId="4DC4566A" w:rsidR="00C242F1" w:rsidRPr="00A222E3" w:rsidRDefault="00C242F1" w:rsidP="00C242F1">
      <w:pPr>
        <w:rPr>
          <w:rFonts w:cstheme="minorHAnsi"/>
          <w:b/>
          <w:bCs/>
          <w:color w:val="000000" w:themeColor="text1"/>
        </w:rPr>
      </w:pPr>
      <w:r w:rsidRPr="00A222E3">
        <w:rPr>
          <w:rFonts w:cstheme="minorHAnsi"/>
          <w:b/>
          <w:bCs/>
          <w:color w:val="000000" w:themeColor="text1"/>
        </w:rPr>
        <w:t xml:space="preserve">Kazakhstan </w:t>
      </w:r>
    </w:p>
    <w:p w14:paraId="45043365" w14:textId="6936269F" w:rsidR="00C242F1" w:rsidRPr="00A222E3" w:rsidRDefault="00C242F1" w:rsidP="00C242F1">
      <w:pPr>
        <w:rPr>
          <w:rFonts w:cstheme="minorHAnsi"/>
          <w:color w:val="000000" w:themeColor="text1"/>
        </w:rPr>
      </w:pPr>
      <w:r w:rsidRPr="00A222E3">
        <w:rPr>
          <w:rFonts w:cstheme="minorHAnsi"/>
          <w:color w:val="000000" w:themeColor="text1"/>
        </w:rPr>
        <w:t>Almost a million people are receiving help from Kazakhstan’s main social assistance program,</w:t>
      </w:r>
      <w:r w:rsidR="00B678AA">
        <w:rPr>
          <w:rFonts w:cstheme="minorHAnsi"/>
          <w:color w:val="000000" w:themeColor="text1"/>
        </w:rPr>
        <w:t xml:space="preserve"> Targeted Social Assistance</w:t>
      </w:r>
      <w:r w:rsidR="00B678AA" w:rsidRPr="00A222E3">
        <w:rPr>
          <w:rFonts w:cstheme="minorHAnsi"/>
          <w:color w:val="000000" w:themeColor="text1"/>
        </w:rPr>
        <w:t xml:space="preserve"> </w:t>
      </w:r>
      <w:r w:rsidRPr="00A222E3">
        <w:rPr>
          <w:rFonts w:cstheme="minorHAnsi"/>
          <w:color w:val="000000" w:themeColor="text1"/>
        </w:rPr>
        <w:t>(TSA),</w:t>
      </w:r>
      <w:r w:rsidR="00B678AA">
        <w:rPr>
          <w:rStyle w:val="FootnoteReference"/>
          <w:rFonts w:cstheme="minorHAnsi"/>
          <w:color w:val="000000" w:themeColor="text1"/>
        </w:rPr>
        <w:footnoteReference w:id="9"/>
      </w:r>
      <w:r w:rsidRPr="00A222E3">
        <w:rPr>
          <w:rFonts w:cstheme="minorHAnsi"/>
          <w:color w:val="000000" w:themeColor="text1"/>
        </w:rPr>
        <w:t xml:space="preserve"> designed for people with low income, along with benefits for specific groups including for childcare for children up to a </w:t>
      </w:r>
      <w:proofErr w:type="gramStart"/>
      <w:r w:rsidRPr="00A222E3">
        <w:rPr>
          <w:rFonts w:cstheme="minorHAnsi"/>
          <w:color w:val="000000" w:themeColor="text1"/>
        </w:rPr>
        <w:t>year old</w:t>
      </w:r>
      <w:r w:rsidR="000A2E86">
        <w:rPr>
          <w:rFonts w:cstheme="minorHAnsi"/>
          <w:color w:val="000000" w:themeColor="text1"/>
        </w:rPr>
        <w:t>,</w:t>
      </w:r>
      <w:r w:rsidRPr="00A222E3">
        <w:rPr>
          <w:rFonts w:cstheme="minorHAnsi"/>
          <w:color w:val="000000" w:themeColor="text1"/>
        </w:rPr>
        <w:t xml:space="preserve"> and additional benefits</w:t>
      </w:r>
      <w:proofErr w:type="gramEnd"/>
      <w:r w:rsidRPr="00A222E3">
        <w:rPr>
          <w:rFonts w:cstheme="minorHAnsi"/>
          <w:color w:val="000000" w:themeColor="text1"/>
        </w:rPr>
        <w:t xml:space="preserve"> for families with four or </w:t>
      </w:r>
      <w:r w:rsidRPr="00A222E3">
        <w:rPr>
          <w:rFonts w:cstheme="minorHAnsi"/>
          <w:color w:val="000000" w:themeColor="text1"/>
        </w:rPr>
        <w:lastRenderedPageBreak/>
        <w:t>more children, and for parents or guardians caring for children with disabilities. However, the program is failing to protect many people who need assistance.</w:t>
      </w:r>
      <w:r w:rsidRPr="00A222E3">
        <w:rPr>
          <w:rStyle w:val="FootnoteReference"/>
          <w:rFonts w:asciiTheme="minorHAnsi" w:hAnsiTheme="minorHAnsi" w:cstheme="minorHAnsi"/>
          <w:color w:val="000000" w:themeColor="text1"/>
        </w:rPr>
        <w:footnoteReference w:id="10"/>
      </w:r>
      <w:r w:rsidRPr="00A222E3">
        <w:rPr>
          <w:rFonts w:cstheme="minorHAnsi"/>
          <w:color w:val="000000" w:themeColor="text1"/>
        </w:rPr>
        <w:t xml:space="preserve"> </w:t>
      </w:r>
    </w:p>
    <w:p w14:paraId="323FF24D" w14:textId="6FAAEE20" w:rsidR="007E72B1" w:rsidRDefault="007E72B1" w:rsidP="00C242F1">
      <w:pPr>
        <w:rPr>
          <w:rFonts w:cstheme="minorHAnsi"/>
          <w:color w:val="000000" w:themeColor="text1"/>
        </w:rPr>
      </w:pPr>
      <w:r>
        <w:rPr>
          <w:rFonts w:cstheme="minorHAnsi"/>
          <w:color w:val="000000" w:themeColor="text1"/>
        </w:rPr>
        <w:t>Human Rights Watch found that m</w:t>
      </w:r>
      <w:r w:rsidR="00C242F1" w:rsidRPr="00A222E3">
        <w:rPr>
          <w:rFonts w:cstheme="minorHAnsi"/>
          <w:color w:val="000000" w:themeColor="text1"/>
        </w:rPr>
        <w:t xml:space="preserve">any families in need of support are excluded due to the stringent eligibility criteria, including residence registration and employment requirements, and the low-income threshold. </w:t>
      </w:r>
      <w:r w:rsidRPr="00A222E3">
        <w:rPr>
          <w:rFonts w:cstheme="minorHAnsi"/>
          <w:color w:val="000000" w:themeColor="text1"/>
        </w:rPr>
        <w:t xml:space="preserve">Human Rights Watch interviewed 17 women who had sought or receive help through the program and consulted with social workers and other professionals, activists, and nongovernmental groups that work with people in need of assistance. </w:t>
      </w:r>
      <w:r>
        <w:rPr>
          <w:rFonts w:cstheme="minorHAnsi"/>
          <w:color w:val="000000" w:themeColor="text1"/>
        </w:rPr>
        <w:t xml:space="preserve"> </w:t>
      </w:r>
      <w:r w:rsidRPr="00A222E3">
        <w:rPr>
          <w:rFonts w:cstheme="minorHAnsi"/>
          <w:color w:val="000000" w:themeColor="text1"/>
        </w:rPr>
        <w:t xml:space="preserve">About half the women interviewed said that the payments help them to cover only a portion of their families’ basic needs and that they </w:t>
      </w:r>
      <w:proofErr w:type="gramStart"/>
      <w:r w:rsidRPr="00A222E3">
        <w:rPr>
          <w:rFonts w:cstheme="minorHAnsi"/>
          <w:color w:val="000000" w:themeColor="text1"/>
        </w:rPr>
        <w:t>have to</w:t>
      </w:r>
      <w:proofErr w:type="gramEnd"/>
      <w:r w:rsidRPr="00A222E3">
        <w:rPr>
          <w:rFonts w:cstheme="minorHAnsi"/>
          <w:color w:val="000000" w:themeColor="text1"/>
        </w:rPr>
        <w:t xml:space="preserve"> seek support from other sources, including charities and help from mosques or relatives. Some have taken on debt to cover basic needs. </w:t>
      </w:r>
    </w:p>
    <w:p w14:paraId="7219F06A" w14:textId="48D968B9" w:rsidR="00C242F1" w:rsidRPr="00A222E3" w:rsidRDefault="00C242F1" w:rsidP="00C242F1">
      <w:pPr>
        <w:rPr>
          <w:rFonts w:cstheme="minorHAnsi"/>
          <w:color w:val="000000" w:themeColor="text1"/>
        </w:rPr>
      </w:pPr>
      <w:r w:rsidRPr="00A222E3">
        <w:rPr>
          <w:rFonts w:cstheme="minorHAnsi"/>
          <w:color w:val="000000" w:themeColor="text1"/>
        </w:rPr>
        <w:t>A 2017 report by Oxford Policy Management, an international development consulting firm,</w:t>
      </w:r>
      <w:r w:rsidR="000E73BC">
        <w:rPr>
          <w:rFonts w:cstheme="minorHAnsi"/>
          <w:color w:val="000000" w:themeColor="text1"/>
        </w:rPr>
        <w:t xml:space="preserve"> estimated </w:t>
      </w:r>
      <w:r w:rsidRPr="00A222E3">
        <w:rPr>
          <w:rFonts w:cstheme="minorHAnsi"/>
          <w:color w:val="000000" w:themeColor="text1"/>
        </w:rPr>
        <w:t>that TSA exclusion errors were as high as 80 percent, meaning that only 1 out of 5 eligible people received TSA support.</w:t>
      </w:r>
      <w:r w:rsidR="00711527">
        <w:rPr>
          <w:rStyle w:val="FootnoteReference"/>
          <w:rFonts w:cstheme="minorHAnsi"/>
          <w:color w:val="000000" w:themeColor="text1"/>
        </w:rPr>
        <w:footnoteReference w:id="11"/>
      </w:r>
      <w:r w:rsidRPr="00A222E3">
        <w:rPr>
          <w:rFonts w:cstheme="minorHAnsi"/>
          <w:color w:val="000000" w:themeColor="text1"/>
        </w:rPr>
        <w:t xml:space="preserve"> In September 2021, UNICEF issued a report analyzing the effectiveness of multiple amendments and changes to the TSA in recent years and concluded that “the changes to the targeting and eligibility criteria created additional bottlenecks for families to access assistance, reducing the effectiveness of social assistance to reach all children and families in need.”</w:t>
      </w:r>
      <w:r w:rsidR="00F24250">
        <w:rPr>
          <w:rStyle w:val="FootnoteReference"/>
          <w:rFonts w:cstheme="minorHAnsi"/>
          <w:color w:val="000000" w:themeColor="text1"/>
        </w:rPr>
        <w:footnoteReference w:id="12"/>
      </w:r>
    </w:p>
    <w:p w14:paraId="46EF46BC" w14:textId="2DD7E04B" w:rsidR="00C242F1" w:rsidRPr="00A222E3" w:rsidRDefault="00C242F1" w:rsidP="00C242F1">
      <w:pPr>
        <w:rPr>
          <w:rFonts w:cstheme="minorHAnsi"/>
          <w:b/>
          <w:bCs/>
          <w:color w:val="000000" w:themeColor="text1"/>
        </w:rPr>
      </w:pPr>
      <w:r w:rsidRPr="00A222E3">
        <w:rPr>
          <w:rFonts w:cstheme="minorHAnsi"/>
          <w:b/>
          <w:bCs/>
          <w:color w:val="000000" w:themeColor="text1"/>
        </w:rPr>
        <w:t>Nepal</w:t>
      </w:r>
    </w:p>
    <w:p w14:paraId="64797B1A" w14:textId="77777777" w:rsidR="00C242F1" w:rsidRPr="00A222E3" w:rsidRDefault="00C242F1" w:rsidP="00C242F1">
      <w:pPr>
        <w:rPr>
          <w:rFonts w:cstheme="minorHAnsi"/>
          <w:color w:val="000000" w:themeColor="text1"/>
        </w:rPr>
      </w:pPr>
      <w:r w:rsidRPr="00A222E3">
        <w:rPr>
          <w:rFonts w:cstheme="minorHAnsi"/>
          <w:color w:val="000000" w:themeColor="text1"/>
        </w:rPr>
        <w:t xml:space="preserve">In 2009-10, the Nepali government introduced a Child Grant program to support vulnerable families with children under five. The program initially targeted families in the </w:t>
      </w:r>
      <w:proofErr w:type="spellStart"/>
      <w:r w:rsidRPr="00A222E3">
        <w:rPr>
          <w:rFonts w:cstheme="minorHAnsi"/>
          <w:color w:val="000000" w:themeColor="text1"/>
        </w:rPr>
        <w:t>Karnali</w:t>
      </w:r>
      <w:proofErr w:type="spellEnd"/>
      <w:r w:rsidRPr="00A222E3">
        <w:rPr>
          <w:rFonts w:cstheme="minorHAnsi"/>
          <w:color w:val="000000" w:themeColor="text1"/>
        </w:rPr>
        <w:t xml:space="preserve"> region—a mountainous region with high rates of malnutrition—and Dalit households in the rest of the country, providing monthly payments of 200 rupees ($1.85) per household. </w:t>
      </w:r>
    </w:p>
    <w:p w14:paraId="2374885D" w14:textId="77777777" w:rsidR="00C242F1" w:rsidRPr="00A222E3" w:rsidRDefault="00C242F1" w:rsidP="00C242F1">
      <w:pPr>
        <w:rPr>
          <w:rFonts w:cstheme="minorHAnsi"/>
          <w:color w:val="000000" w:themeColor="text1"/>
        </w:rPr>
      </w:pPr>
      <w:r w:rsidRPr="00A222E3">
        <w:rPr>
          <w:rFonts w:cstheme="minorHAnsi"/>
          <w:color w:val="000000" w:themeColor="text1"/>
        </w:rPr>
        <w:t>Initial assessments found that the program dramatically increased birth registration and that families reported using the grant for food, clothing, and to meet other basic needs. However, the amount of the grant was too small to make a meaningful difference in households’ overall economic status and only 16 percent of the country’s under-5’s were covered.</w:t>
      </w:r>
      <w:r w:rsidRPr="00A222E3">
        <w:rPr>
          <w:rStyle w:val="FootnoteReference"/>
          <w:rFonts w:asciiTheme="minorHAnsi" w:hAnsiTheme="minorHAnsi" w:cstheme="minorHAnsi"/>
          <w:color w:val="000000" w:themeColor="text1"/>
        </w:rPr>
        <w:footnoteReference w:id="13"/>
      </w:r>
      <w:r w:rsidRPr="00A222E3">
        <w:rPr>
          <w:rFonts w:cstheme="minorHAnsi"/>
          <w:color w:val="000000" w:themeColor="text1"/>
        </w:rPr>
        <w:t xml:space="preserve"> In addition, UNICEF estimated that the targeting methods used—based on caste and a simple proxy means test—excluded more than two-thirds of eligible children living in poverty from the program.</w:t>
      </w:r>
      <w:r w:rsidRPr="00A222E3">
        <w:rPr>
          <w:rStyle w:val="FootnoteReference"/>
          <w:rFonts w:asciiTheme="minorHAnsi" w:hAnsiTheme="minorHAnsi" w:cstheme="minorHAnsi"/>
          <w:color w:val="000000" w:themeColor="text1"/>
        </w:rPr>
        <w:footnoteReference w:id="14"/>
      </w:r>
      <w:r w:rsidRPr="00A222E3">
        <w:rPr>
          <w:rFonts w:cstheme="minorHAnsi"/>
          <w:color w:val="000000" w:themeColor="text1"/>
        </w:rPr>
        <w:t xml:space="preserve"> It concluded that a universal option would best reduce the poverty gap and best reach “the poorest of the poor.”</w:t>
      </w:r>
      <w:r w:rsidRPr="00A222E3">
        <w:rPr>
          <w:rStyle w:val="FootnoteReference"/>
          <w:rFonts w:asciiTheme="minorHAnsi" w:hAnsiTheme="minorHAnsi" w:cstheme="minorHAnsi"/>
          <w:color w:val="000000" w:themeColor="text1"/>
        </w:rPr>
        <w:footnoteReference w:id="15"/>
      </w:r>
    </w:p>
    <w:p w14:paraId="48A00B30" w14:textId="77777777" w:rsidR="00C242F1" w:rsidRPr="00A222E3" w:rsidRDefault="00C242F1" w:rsidP="00C242F1">
      <w:pPr>
        <w:autoSpaceDE w:val="0"/>
        <w:autoSpaceDN w:val="0"/>
        <w:adjustRightInd w:val="0"/>
        <w:rPr>
          <w:rFonts w:cstheme="minorHAnsi"/>
          <w:color w:val="000000" w:themeColor="text1"/>
        </w:rPr>
      </w:pPr>
      <w:r w:rsidRPr="00A222E3">
        <w:rPr>
          <w:rFonts w:cstheme="minorHAnsi"/>
          <w:color w:val="000000" w:themeColor="text1"/>
        </w:rPr>
        <w:t xml:space="preserve">In 2016, the government doubled the size of the monthly benefit to 400 rupees ($3.70) and committed to expand the program to cover all households with children under five. By 2021, the Child Grant </w:t>
      </w:r>
      <w:r w:rsidRPr="00A222E3">
        <w:rPr>
          <w:rFonts w:cstheme="minorHAnsi"/>
          <w:color w:val="000000" w:themeColor="text1"/>
        </w:rPr>
        <w:lastRenderedPageBreak/>
        <w:t>program was reaching approximately 737,000 children, representing approximately 25 percent of all under-5’s in the country. The government committed to add an additional 675,000 child beneficiaries each year, to reach 2.8 million children by 2024.</w:t>
      </w:r>
      <w:r w:rsidRPr="00A222E3">
        <w:rPr>
          <w:rStyle w:val="FootnoteReference"/>
          <w:rFonts w:asciiTheme="minorHAnsi" w:hAnsiTheme="minorHAnsi" w:cstheme="minorHAnsi"/>
          <w:color w:val="000000" w:themeColor="text1"/>
        </w:rPr>
        <w:footnoteReference w:id="16"/>
      </w:r>
      <w:r w:rsidRPr="00A222E3">
        <w:rPr>
          <w:rFonts w:cstheme="minorHAnsi"/>
          <w:color w:val="000000" w:themeColor="text1"/>
        </w:rPr>
        <w:t xml:space="preserve"> </w:t>
      </w:r>
    </w:p>
    <w:p w14:paraId="4B847197" w14:textId="2904D745" w:rsidR="00C242F1" w:rsidRPr="007E72B1" w:rsidRDefault="00C242F1" w:rsidP="00C242F1">
      <w:pPr>
        <w:rPr>
          <w:rFonts w:cstheme="minorHAnsi"/>
          <w:color w:val="000000" w:themeColor="text1"/>
        </w:rPr>
      </w:pPr>
      <w:r w:rsidRPr="00A222E3">
        <w:rPr>
          <w:rFonts w:cstheme="minorHAnsi"/>
          <w:color w:val="000000" w:themeColor="text1"/>
        </w:rPr>
        <w:t>Under the Sustainable Development Goals, Nepal has set a target of allocating 15 percent of total expenditures to social protection by the year 2030.</w:t>
      </w:r>
      <w:r w:rsidRPr="00A222E3">
        <w:rPr>
          <w:rStyle w:val="FootnoteReference"/>
          <w:rFonts w:asciiTheme="minorHAnsi" w:hAnsiTheme="minorHAnsi" w:cstheme="minorHAnsi"/>
          <w:color w:val="000000" w:themeColor="text1"/>
        </w:rPr>
        <w:footnoteReference w:id="17"/>
      </w:r>
      <w:r w:rsidRPr="00A222E3">
        <w:rPr>
          <w:rFonts w:cstheme="minorHAnsi"/>
          <w:color w:val="000000" w:themeColor="text1"/>
        </w:rPr>
        <w:t xml:space="preserve"> According to a 2021 </w:t>
      </w:r>
      <w:r w:rsidR="00DB6AA6">
        <w:rPr>
          <w:rFonts w:cstheme="minorHAnsi"/>
          <w:color w:val="000000" w:themeColor="text1"/>
        </w:rPr>
        <w:t xml:space="preserve">UNICEF </w:t>
      </w:r>
      <w:r w:rsidRPr="00A222E3">
        <w:rPr>
          <w:rFonts w:cstheme="minorHAnsi"/>
          <w:color w:val="000000" w:themeColor="text1"/>
        </w:rPr>
        <w:t>study, if all children in Nepal up to the age of 17 received a small inflation-adjusted child benefit of Rs430 per month by 2035, incrementally increasing from an initial age eligibility of children under five, family poverty could be cut by as much as 16.8 percent at a cost of less than 0.7 percent of GDP a year.</w:t>
      </w:r>
      <w:r w:rsidR="004D18E2">
        <w:rPr>
          <w:rStyle w:val="FootnoteReference"/>
          <w:rFonts w:cstheme="minorHAnsi"/>
          <w:color w:val="000000" w:themeColor="text1"/>
        </w:rPr>
        <w:footnoteReference w:id="18"/>
      </w:r>
      <w:r w:rsidRPr="00A222E3">
        <w:rPr>
          <w:rFonts w:cstheme="minorHAnsi"/>
          <w:color w:val="000000" w:themeColor="text1"/>
        </w:rPr>
        <w:t xml:space="preserve"> </w:t>
      </w:r>
    </w:p>
    <w:p w14:paraId="33067BB5" w14:textId="74C2B975" w:rsidR="00C242F1" w:rsidRPr="00A222E3" w:rsidRDefault="00C242F1" w:rsidP="00C242F1">
      <w:pPr>
        <w:rPr>
          <w:rFonts w:cstheme="minorHAnsi"/>
          <w:color w:val="000000" w:themeColor="text1"/>
        </w:rPr>
      </w:pPr>
      <w:r w:rsidRPr="00A222E3">
        <w:rPr>
          <w:rFonts w:cstheme="minorHAnsi"/>
          <w:color w:val="000000" w:themeColor="text1"/>
        </w:rPr>
        <w:t>Although the Child Grant program provides important support to families with young children, it covers only 6 percent of Nepal’s children, and does not reach families with school-age children or children who are likely to enter child labor. In 2019-20, the government allocated</w:t>
      </w:r>
      <w:r w:rsidR="00351931">
        <w:rPr>
          <w:rFonts w:cstheme="minorHAnsi"/>
          <w:color w:val="000000" w:themeColor="text1"/>
        </w:rPr>
        <w:t xml:space="preserve"> only 4 percent of </w:t>
      </w:r>
      <w:r w:rsidRPr="00A222E3">
        <w:rPr>
          <w:rFonts w:cstheme="minorHAnsi"/>
          <w:color w:val="000000" w:themeColor="text1"/>
        </w:rPr>
        <w:t>the social protection budget to children.</w:t>
      </w:r>
      <w:r w:rsidR="00A30A7E">
        <w:rPr>
          <w:rStyle w:val="FootnoteReference"/>
          <w:rFonts w:cstheme="minorHAnsi"/>
          <w:color w:val="000000" w:themeColor="text1"/>
        </w:rPr>
        <w:footnoteReference w:id="19"/>
      </w:r>
      <w:r w:rsidRPr="00A222E3">
        <w:rPr>
          <w:rFonts w:cstheme="minorHAnsi"/>
          <w:color w:val="000000" w:themeColor="text1"/>
        </w:rPr>
        <w:t xml:space="preserve"> In addition, Nepal </w:t>
      </w:r>
      <w:r w:rsidR="007E72B1">
        <w:rPr>
          <w:rFonts w:cstheme="minorHAnsi"/>
          <w:color w:val="000000" w:themeColor="text1"/>
        </w:rPr>
        <w:t>did</w:t>
      </w:r>
      <w:r w:rsidRPr="00A222E3">
        <w:rPr>
          <w:rFonts w:cstheme="minorHAnsi"/>
          <w:color w:val="000000" w:themeColor="text1"/>
        </w:rPr>
        <w:t xml:space="preserve"> not provide any additional cash transfers during the pandemic beyond beneficiaries of the Child Grant program.</w:t>
      </w:r>
      <w:r w:rsidRPr="00A222E3">
        <w:rPr>
          <w:rStyle w:val="FootnoteReference"/>
          <w:rFonts w:asciiTheme="minorHAnsi" w:hAnsiTheme="minorHAnsi" w:cstheme="minorHAnsi"/>
          <w:color w:val="000000" w:themeColor="text1"/>
        </w:rPr>
        <w:footnoteReference w:id="20"/>
      </w:r>
      <w:r w:rsidRPr="00A222E3">
        <w:rPr>
          <w:rFonts w:cstheme="minorHAnsi"/>
          <w:color w:val="000000" w:themeColor="text1"/>
        </w:rPr>
        <w:t xml:space="preserve"> By contrast, several of its regional neighbors scaled up their use of cash transfers to respond to the Covid-19 crisis. Pakistan, for example, expanded its cash transfer program with additional payments and additional beneficiaries, targeting 14 million families.</w:t>
      </w:r>
      <w:r w:rsidRPr="00A222E3">
        <w:rPr>
          <w:rStyle w:val="FootnoteReference"/>
          <w:rFonts w:asciiTheme="minorHAnsi" w:hAnsiTheme="minorHAnsi" w:cstheme="minorHAnsi"/>
          <w:color w:val="000000" w:themeColor="text1"/>
        </w:rPr>
        <w:footnoteReference w:id="21"/>
      </w:r>
      <w:r w:rsidRPr="00A222E3">
        <w:rPr>
          <w:rFonts w:cstheme="minorHAnsi"/>
          <w:color w:val="000000" w:themeColor="text1"/>
        </w:rPr>
        <w:t xml:space="preserve"> Bangladesh provided cash assistance to 5 million households as part of its Covid-19 response.</w:t>
      </w:r>
      <w:r w:rsidRPr="00A222E3">
        <w:rPr>
          <w:rStyle w:val="FootnoteReference"/>
          <w:rFonts w:asciiTheme="minorHAnsi" w:hAnsiTheme="minorHAnsi" w:cstheme="minorHAnsi"/>
          <w:color w:val="000000" w:themeColor="text1"/>
        </w:rPr>
        <w:footnoteReference w:id="22"/>
      </w:r>
      <w:r w:rsidRPr="00A222E3">
        <w:rPr>
          <w:rFonts w:cstheme="minorHAnsi"/>
          <w:color w:val="000000" w:themeColor="text1"/>
        </w:rPr>
        <w:t xml:space="preserve"> India announced several cash transfer initiatives, targeting 200 million women and 87 million farmers, among others.</w:t>
      </w:r>
      <w:r w:rsidRPr="00A222E3">
        <w:rPr>
          <w:rStyle w:val="FootnoteReference"/>
          <w:rFonts w:asciiTheme="minorHAnsi" w:hAnsiTheme="minorHAnsi" w:cstheme="minorHAnsi"/>
          <w:color w:val="000000" w:themeColor="text1"/>
        </w:rPr>
        <w:footnoteReference w:id="23"/>
      </w:r>
      <w:r w:rsidRPr="00A222E3">
        <w:rPr>
          <w:rFonts w:cstheme="minorHAnsi"/>
          <w:color w:val="000000" w:themeColor="text1"/>
        </w:rPr>
        <w:t xml:space="preserve"> </w:t>
      </w:r>
    </w:p>
    <w:p w14:paraId="1AC49E08" w14:textId="0FFB87F8" w:rsidR="00C242F1" w:rsidRPr="00A222E3" w:rsidRDefault="00C242F1" w:rsidP="00C242F1">
      <w:pPr>
        <w:rPr>
          <w:rFonts w:cstheme="minorHAnsi"/>
          <w:color w:val="000000" w:themeColor="text1"/>
        </w:rPr>
      </w:pPr>
      <w:r w:rsidRPr="00A222E3">
        <w:rPr>
          <w:rFonts w:cstheme="minorHAnsi"/>
          <w:color w:val="000000" w:themeColor="text1"/>
        </w:rPr>
        <w:t xml:space="preserve">In Nepal, Human Rights Watch interviewed 25 children between ages 8 and 16 who worked in brick kilns, carpet factories, in construction, as mechanics, rickshaw drivers, carpenters, and as vendors selling tea, cotton candy, masks, and other items. Nearly </w:t>
      </w:r>
      <w:proofErr w:type="gramStart"/>
      <w:r w:rsidRPr="00A222E3">
        <w:rPr>
          <w:rFonts w:cstheme="minorHAnsi"/>
          <w:color w:val="000000" w:themeColor="text1"/>
        </w:rPr>
        <w:t>all of</w:t>
      </w:r>
      <w:proofErr w:type="gramEnd"/>
      <w:r w:rsidRPr="00A222E3">
        <w:rPr>
          <w:rFonts w:cstheme="minorHAnsi"/>
          <w:color w:val="000000" w:themeColor="text1"/>
        </w:rPr>
        <w:t xml:space="preserve"> the Nepali children interviewed said that the pandemic had a negative effect on their family income. One-third of the children interviewed worked at least twelve hours a day, some seven days a week. Children reported fatigue, dizziness, and pain in their backs, legs, knees, hands, fingers, and eyes from repetitive motions, sitting for extended periods, or carrying heavy loads.</w:t>
      </w:r>
      <w:r w:rsidR="007E72B1">
        <w:rPr>
          <w:rStyle w:val="FootnoteReference"/>
          <w:rFonts w:cstheme="minorHAnsi"/>
          <w:color w:val="000000" w:themeColor="text1"/>
        </w:rPr>
        <w:footnoteReference w:id="24"/>
      </w:r>
      <w:r w:rsidRPr="00A222E3">
        <w:rPr>
          <w:rFonts w:cstheme="minorHAnsi"/>
          <w:color w:val="000000" w:themeColor="text1"/>
        </w:rPr>
        <w:t> </w:t>
      </w:r>
    </w:p>
    <w:p w14:paraId="207FBB78" w14:textId="57AE5D11" w:rsidR="00C242F1" w:rsidRPr="00A222E3" w:rsidRDefault="00C242F1" w:rsidP="00EF3A19">
      <w:pPr>
        <w:rPr>
          <w:rFonts w:cstheme="minorHAnsi"/>
          <w:color w:val="000000" w:themeColor="text1"/>
        </w:rPr>
      </w:pPr>
      <w:r w:rsidRPr="00A222E3">
        <w:rPr>
          <w:rFonts w:cstheme="minorHAnsi"/>
          <w:color w:val="000000" w:themeColor="text1"/>
        </w:rPr>
        <w:t xml:space="preserve">Of the 25 children interviewed, 13 said that their family had received government food assistance during the pandemic, typically in the form of food packages including rice, dal, soap, and oil. Some said they also received masks or hand sanitizer. Many of the children said they received food assistance just once or twice, though three of the 25 reported receiving it three times or more. Several of the children </w:t>
      </w:r>
      <w:r w:rsidRPr="00A222E3">
        <w:rPr>
          <w:rFonts w:cstheme="minorHAnsi"/>
          <w:color w:val="000000" w:themeColor="text1"/>
        </w:rPr>
        <w:lastRenderedPageBreak/>
        <w:t>working in carpet factories said that they received food from their employer. Six of the children said their families had not received any assistance, either from the government or an employer.</w:t>
      </w:r>
      <w:r w:rsidR="007E72B1">
        <w:rPr>
          <w:rStyle w:val="FootnoteReference"/>
          <w:rFonts w:cstheme="minorHAnsi"/>
          <w:color w:val="000000" w:themeColor="text1"/>
        </w:rPr>
        <w:footnoteReference w:id="25"/>
      </w:r>
      <w:r w:rsidRPr="00A222E3">
        <w:rPr>
          <w:rFonts w:cstheme="minorHAnsi"/>
          <w:color w:val="000000" w:themeColor="text1"/>
        </w:rPr>
        <w:t xml:space="preserve"> </w:t>
      </w:r>
    </w:p>
    <w:p w14:paraId="57D54481" w14:textId="0B10CACB" w:rsidR="001B61D7" w:rsidRPr="00A222E3" w:rsidRDefault="001B61D7">
      <w:pPr>
        <w:rPr>
          <w:rFonts w:cstheme="minorHAnsi"/>
          <w:b/>
          <w:bCs/>
          <w:color w:val="000000" w:themeColor="text1"/>
        </w:rPr>
      </w:pPr>
      <w:r w:rsidRPr="00A222E3">
        <w:rPr>
          <w:rFonts w:cstheme="minorHAnsi"/>
          <w:b/>
          <w:bCs/>
          <w:color w:val="000000" w:themeColor="text1"/>
        </w:rPr>
        <w:t>Uganda</w:t>
      </w:r>
    </w:p>
    <w:p w14:paraId="00FA189B" w14:textId="61122F05" w:rsidR="001B61D7" w:rsidRPr="00A222E3" w:rsidRDefault="001B61D7" w:rsidP="001B61D7">
      <w:pPr>
        <w:rPr>
          <w:rFonts w:cstheme="minorHAnsi"/>
          <w:color w:val="000000" w:themeColor="text1"/>
        </w:rPr>
      </w:pPr>
      <w:r w:rsidRPr="00A222E3">
        <w:rPr>
          <w:rFonts w:cstheme="minorHAnsi"/>
          <w:color w:val="000000" w:themeColor="text1"/>
        </w:rPr>
        <w:t xml:space="preserve">Prior to the </w:t>
      </w:r>
      <w:r w:rsidR="00C242F1" w:rsidRPr="00A222E3">
        <w:rPr>
          <w:rFonts w:cstheme="minorHAnsi"/>
          <w:color w:val="000000" w:themeColor="text1"/>
        </w:rPr>
        <w:t xml:space="preserve">Covid-19 </w:t>
      </w:r>
      <w:r w:rsidRPr="00A222E3">
        <w:rPr>
          <w:rFonts w:cstheme="minorHAnsi"/>
          <w:color w:val="000000" w:themeColor="text1"/>
        </w:rPr>
        <w:t>pandemic, Uganda allocated approximately 0.14 percent of its GDP to cash transfers, far lower than its East African neighbors, such as Kenya (0.4 percent) and Rwanda (0.3 percent).</w:t>
      </w:r>
      <w:r w:rsidRPr="00A222E3">
        <w:rPr>
          <w:rStyle w:val="FootnoteReference"/>
          <w:rFonts w:asciiTheme="minorHAnsi" w:hAnsiTheme="minorHAnsi" w:cstheme="minorHAnsi"/>
          <w:color w:val="000000" w:themeColor="text1"/>
        </w:rPr>
        <w:footnoteReference w:id="26"/>
      </w:r>
      <w:r w:rsidRPr="00A222E3">
        <w:rPr>
          <w:rFonts w:cstheme="minorHAnsi"/>
          <w:color w:val="000000" w:themeColor="text1"/>
        </w:rPr>
        <w:t xml:space="preserve"> Its total social </w:t>
      </w:r>
      <w:r w:rsidR="00CB3310">
        <w:rPr>
          <w:rFonts w:cstheme="minorHAnsi"/>
          <w:color w:val="000000" w:themeColor="text1"/>
        </w:rPr>
        <w:t xml:space="preserve">protection </w:t>
      </w:r>
      <w:r w:rsidRPr="00A222E3">
        <w:rPr>
          <w:rFonts w:cstheme="minorHAnsi"/>
          <w:color w:val="000000" w:themeColor="text1"/>
        </w:rPr>
        <w:t>spending was approximately half of the regional average in Africa, with approximately 80 percent coming from outside donors.</w:t>
      </w:r>
      <w:r w:rsidRPr="00A222E3">
        <w:rPr>
          <w:rStyle w:val="FootnoteReference"/>
          <w:rFonts w:asciiTheme="minorHAnsi" w:hAnsiTheme="minorHAnsi" w:cstheme="minorHAnsi"/>
          <w:color w:val="000000" w:themeColor="text1"/>
        </w:rPr>
        <w:footnoteReference w:id="27"/>
      </w:r>
      <w:r w:rsidRPr="00A222E3">
        <w:rPr>
          <w:rFonts w:cstheme="minorHAnsi"/>
          <w:color w:val="000000" w:themeColor="text1"/>
        </w:rPr>
        <w:t xml:space="preserve"> </w:t>
      </w:r>
    </w:p>
    <w:p w14:paraId="27AEB3E0" w14:textId="17C9ECBE" w:rsidR="001B61D7" w:rsidRPr="00A222E3" w:rsidRDefault="001B61D7" w:rsidP="001B61D7">
      <w:pPr>
        <w:rPr>
          <w:rFonts w:cstheme="minorHAnsi"/>
          <w:color w:val="000000" w:themeColor="text1"/>
        </w:rPr>
      </w:pPr>
      <w:r w:rsidRPr="00A222E3">
        <w:rPr>
          <w:rFonts w:cstheme="minorHAnsi"/>
          <w:color w:val="000000" w:themeColor="text1"/>
        </w:rPr>
        <w:t xml:space="preserve">In June 2020, the minister of finance presented the government’s FY2020/2021 budget, dubbed the “Covid-19 budget.” The budget allocation for social protection was </w:t>
      </w:r>
      <w:r w:rsidR="00E40BC5">
        <w:rPr>
          <w:rFonts w:cstheme="minorHAnsi"/>
          <w:color w:val="000000" w:themeColor="text1"/>
        </w:rPr>
        <w:t xml:space="preserve">increased </w:t>
      </w:r>
      <w:r w:rsidR="00FA6C74">
        <w:rPr>
          <w:rFonts w:cstheme="minorHAnsi"/>
          <w:color w:val="000000" w:themeColor="text1"/>
        </w:rPr>
        <w:t xml:space="preserve">only </w:t>
      </w:r>
      <w:r w:rsidRPr="00A222E3">
        <w:rPr>
          <w:rFonts w:cstheme="minorHAnsi"/>
          <w:color w:val="000000" w:themeColor="text1"/>
        </w:rPr>
        <w:t>slightly</w:t>
      </w:r>
      <w:r w:rsidR="00E40BC5">
        <w:rPr>
          <w:rFonts w:cstheme="minorHAnsi"/>
          <w:color w:val="000000" w:themeColor="text1"/>
        </w:rPr>
        <w:t>,</w:t>
      </w:r>
      <w:r w:rsidRPr="00A222E3">
        <w:rPr>
          <w:rFonts w:cstheme="minorHAnsi"/>
          <w:color w:val="000000" w:themeColor="text1"/>
        </w:rPr>
        <w:t xml:space="preserve"> </w:t>
      </w:r>
      <w:r w:rsidR="00FA6C74">
        <w:rPr>
          <w:rFonts w:cstheme="minorHAnsi"/>
          <w:color w:val="000000" w:themeColor="text1"/>
        </w:rPr>
        <w:t>representing only</w:t>
      </w:r>
      <w:r w:rsidRPr="00A222E3">
        <w:rPr>
          <w:rFonts w:cstheme="minorHAnsi"/>
          <w:color w:val="000000" w:themeColor="text1"/>
        </w:rPr>
        <w:t xml:space="preserve"> 0.4 percent of the overall government budget. The two main direct cash transfer programs—the Senior Citizens Grant and Northern Uganda Social Action Fund—were projected to cover only 3 percent of the population.</w:t>
      </w:r>
      <w:r w:rsidRPr="00A222E3">
        <w:rPr>
          <w:rStyle w:val="FootnoteReference"/>
          <w:rFonts w:asciiTheme="minorHAnsi" w:hAnsiTheme="minorHAnsi" w:cstheme="minorHAnsi"/>
          <w:color w:val="000000" w:themeColor="text1"/>
        </w:rPr>
        <w:footnoteReference w:id="28"/>
      </w:r>
      <w:r w:rsidRPr="00A222E3">
        <w:rPr>
          <w:rFonts w:cstheme="minorHAnsi"/>
          <w:color w:val="000000" w:themeColor="text1"/>
        </w:rPr>
        <w:t xml:space="preserve"> Neither program targeted households with children. </w:t>
      </w:r>
    </w:p>
    <w:p w14:paraId="435492B2" w14:textId="36ACD0F2" w:rsidR="00BD2473" w:rsidRPr="00A222E3" w:rsidRDefault="00BD2473">
      <w:pPr>
        <w:rPr>
          <w:rFonts w:cstheme="minorHAnsi"/>
          <w:color w:val="000000" w:themeColor="text1"/>
        </w:rPr>
      </w:pPr>
      <w:r w:rsidRPr="00A222E3">
        <w:rPr>
          <w:rFonts w:cstheme="minorHAnsi"/>
          <w:color w:val="000000" w:themeColor="text1"/>
        </w:rPr>
        <w:t xml:space="preserve">From January to March 2021, </w:t>
      </w:r>
      <w:r w:rsidR="001B61D7" w:rsidRPr="00A222E3">
        <w:rPr>
          <w:rFonts w:cstheme="minorHAnsi"/>
          <w:color w:val="000000" w:themeColor="text1"/>
        </w:rPr>
        <w:t xml:space="preserve">Human Rights Watch’s partner, the Initiative for Economic and Social Rights (ISER), interviewed </w:t>
      </w:r>
      <w:r w:rsidRPr="00A222E3">
        <w:rPr>
          <w:rFonts w:cstheme="minorHAnsi"/>
          <w:color w:val="000000" w:themeColor="text1"/>
        </w:rPr>
        <w:t>32 Ugandan children, ages 9 to 16, finding that the unprecedented economic impact of the Covid-19 pandemic, together with school closures and inadequate government assistance, was pushing children into exploitative and dangerous child labor. Children described working long, grueling hours for little pay after their parents lost jobs or income due to the Covid-19 pandemic and associated lockdowns. Many described hazardous working conditions hours in gold mines, stone quarries, fisheries, in agriculture, and construction, and some reported violence, harassment, and pay theft.</w:t>
      </w:r>
      <w:r w:rsidR="00FA6C74">
        <w:rPr>
          <w:rStyle w:val="FootnoteReference"/>
          <w:rFonts w:cstheme="minorHAnsi"/>
          <w:color w:val="000000" w:themeColor="text1"/>
        </w:rPr>
        <w:footnoteReference w:id="29"/>
      </w:r>
    </w:p>
    <w:p w14:paraId="2D60809F" w14:textId="41A5565F" w:rsidR="001B61D7" w:rsidRPr="00B53738" w:rsidRDefault="00BD2473">
      <w:pPr>
        <w:rPr>
          <w:rFonts w:cstheme="minorHAnsi"/>
          <w:color w:val="000000" w:themeColor="text1"/>
        </w:rPr>
      </w:pPr>
      <w:r w:rsidRPr="00A222E3">
        <w:rPr>
          <w:rFonts w:cstheme="minorHAnsi"/>
          <w:color w:val="000000" w:themeColor="text1"/>
        </w:rPr>
        <w:t>Nearly two-thirds of the children interviewed indicated that their family did not receive any form of Covid-19 relief. Twelve of the 32 children said that their family received some food assistance—typically maize flour and beans—but that it sometimes lasted only a few days.</w:t>
      </w:r>
      <w:r w:rsidR="00FA6C74">
        <w:rPr>
          <w:rStyle w:val="FootnoteReference"/>
          <w:rFonts w:cstheme="minorHAnsi"/>
          <w:color w:val="000000" w:themeColor="text1"/>
        </w:rPr>
        <w:footnoteReference w:id="30"/>
      </w:r>
      <w:r w:rsidRPr="00A222E3">
        <w:rPr>
          <w:rFonts w:cstheme="minorHAnsi"/>
          <w:color w:val="000000" w:themeColor="text1"/>
        </w:rPr>
        <w:t xml:space="preserve"> </w:t>
      </w:r>
    </w:p>
    <w:p w14:paraId="5AD06E4F" w14:textId="47FE8A69" w:rsidR="001B61D7" w:rsidRPr="00A222E3" w:rsidRDefault="00EB7D3C">
      <w:pPr>
        <w:rPr>
          <w:rFonts w:cstheme="minorHAnsi"/>
          <w:b/>
          <w:bCs/>
          <w:color w:val="000000" w:themeColor="text1"/>
        </w:rPr>
      </w:pPr>
      <w:r w:rsidRPr="00A222E3">
        <w:rPr>
          <w:rFonts w:cstheme="minorHAnsi"/>
          <w:b/>
          <w:bCs/>
          <w:color w:val="000000" w:themeColor="text1"/>
        </w:rPr>
        <w:t>United States</w:t>
      </w:r>
    </w:p>
    <w:p w14:paraId="2D16A10C" w14:textId="2DC88106" w:rsidR="00EB7D3C" w:rsidRPr="00A222E3" w:rsidRDefault="00EB7D3C">
      <w:pPr>
        <w:rPr>
          <w:rFonts w:cstheme="minorHAnsi"/>
          <w:color w:val="000000" w:themeColor="text1"/>
        </w:rPr>
      </w:pPr>
      <w:r w:rsidRPr="00A222E3">
        <w:rPr>
          <w:rFonts w:cstheme="minorHAnsi"/>
          <w:color w:val="000000" w:themeColor="text1"/>
        </w:rPr>
        <w:t>Before the Covid-19 pandemic, about </w:t>
      </w:r>
      <w:r w:rsidR="00351931">
        <w:rPr>
          <w:rFonts w:cstheme="minorHAnsi"/>
          <w:color w:val="000000" w:themeColor="text1"/>
        </w:rPr>
        <w:t xml:space="preserve">20 percent </w:t>
      </w:r>
      <w:r w:rsidRPr="00A222E3">
        <w:rPr>
          <w:rFonts w:cstheme="minorHAnsi"/>
          <w:color w:val="000000" w:themeColor="text1"/>
        </w:rPr>
        <w:t>of US children lived in poverty, compared with the OECD average of 13 percent, illustrative of the US government’s failure to guarantee</w:t>
      </w:r>
      <w:r w:rsidR="00351931">
        <w:rPr>
          <w:rFonts w:cstheme="minorHAnsi"/>
          <w:color w:val="000000" w:themeColor="text1"/>
        </w:rPr>
        <w:t xml:space="preserve"> children’s right to an adequate standard of living.</w:t>
      </w:r>
      <w:r w:rsidR="00351931">
        <w:rPr>
          <w:rStyle w:val="FootnoteReference"/>
          <w:rFonts w:cstheme="minorHAnsi"/>
          <w:color w:val="000000" w:themeColor="text1"/>
        </w:rPr>
        <w:footnoteReference w:id="31"/>
      </w:r>
      <w:r w:rsidRPr="00A222E3">
        <w:rPr>
          <w:rFonts w:cstheme="minorHAnsi"/>
          <w:color w:val="000000" w:themeColor="text1"/>
        </w:rPr>
        <w:t xml:space="preserve"> Children of color </w:t>
      </w:r>
      <w:r w:rsidR="00AF2914">
        <w:rPr>
          <w:rFonts w:cstheme="minorHAnsi"/>
          <w:color w:val="000000" w:themeColor="text1"/>
        </w:rPr>
        <w:t xml:space="preserve">were </w:t>
      </w:r>
      <w:r w:rsidR="00351931">
        <w:rPr>
          <w:rFonts w:cstheme="minorHAnsi"/>
          <w:color w:val="000000" w:themeColor="text1"/>
        </w:rPr>
        <w:t>most likely</w:t>
      </w:r>
      <w:r w:rsidRPr="00A222E3">
        <w:rPr>
          <w:rFonts w:cstheme="minorHAnsi"/>
          <w:color w:val="000000" w:themeColor="text1"/>
        </w:rPr>
        <w:t> to live in poverty.</w:t>
      </w:r>
      <w:r w:rsidR="002906A6" w:rsidRPr="00A222E3">
        <w:rPr>
          <w:rStyle w:val="FootnoteReference"/>
          <w:rFonts w:asciiTheme="minorHAnsi" w:hAnsiTheme="minorHAnsi" w:cstheme="minorHAnsi"/>
          <w:color w:val="000000" w:themeColor="text1"/>
        </w:rPr>
        <w:footnoteReference w:id="32"/>
      </w:r>
    </w:p>
    <w:p w14:paraId="52735DD3" w14:textId="1EAAD7E7" w:rsidR="00EB7D3C" w:rsidRPr="00A222E3" w:rsidRDefault="00EB7D3C">
      <w:pPr>
        <w:rPr>
          <w:rFonts w:cstheme="minorHAnsi"/>
          <w:color w:val="000000" w:themeColor="text1"/>
        </w:rPr>
      </w:pPr>
      <w:r w:rsidRPr="00A222E3">
        <w:rPr>
          <w:rFonts w:cstheme="minorHAnsi"/>
          <w:color w:val="000000" w:themeColor="text1"/>
        </w:rPr>
        <w:lastRenderedPageBreak/>
        <w:t xml:space="preserve">As a Covid-19 economic relief measure, Congress temporarily expanded eligibility for </w:t>
      </w:r>
      <w:r w:rsidR="002906A6" w:rsidRPr="00A222E3">
        <w:rPr>
          <w:rFonts w:cstheme="minorHAnsi"/>
          <w:color w:val="000000" w:themeColor="text1"/>
        </w:rPr>
        <w:t>a</w:t>
      </w:r>
      <w:r w:rsidRPr="00A222E3">
        <w:rPr>
          <w:rFonts w:cstheme="minorHAnsi"/>
          <w:color w:val="000000" w:themeColor="text1"/>
        </w:rPr>
        <w:t xml:space="preserve"> child tax credit for 2021 and increased its value, providing most US families with monthly payments of $300 per child under age 6, and $250 per child between 6 and 18. Within months, the expanded credit lifted an estimated</w:t>
      </w:r>
      <w:r w:rsidR="00FF72D2">
        <w:rPr>
          <w:rFonts w:cstheme="minorHAnsi"/>
          <w:color w:val="000000" w:themeColor="text1"/>
        </w:rPr>
        <w:t xml:space="preserve"> three million children </w:t>
      </w:r>
      <w:r w:rsidRPr="00A222E3">
        <w:rPr>
          <w:rFonts w:cstheme="minorHAnsi"/>
          <w:color w:val="000000" w:themeColor="text1"/>
        </w:rPr>
        <w:t>out of poverty and the number of families reporting food insecurity dropped by a third.</w:t>
      </w:r>
      <w:r w:rsidR="00FF72D2">
        <w:rPr>
          <w:rStyle w:val="FootnoteReference"/>
          <w:rFonts w:cstheme="minorHAnsi"/>
          <w:color w:val="000000" w:themeColor="text1"/>
        </w:rPr>
        <w:footnoteReference w:id="33"/>
      </w:r>
      <w:r w:rsidRPr="00A222E3">
        <w:rPr>
          <w:rFonts w:cstheme="minorHAnsi"/>
          <w:color w:val="000000" w:themeColor="text1"/>
        </w:rPr>
        <w:t xml:space="preserve"> Most families </w:t>
      </w:r>
      <w:r w:rsidR="002906A6" w:rsidRPr="00A222E3">
        <w:rPr>
          <w:rFonts w:cstheme="minorHAnsi"/>
          <w:color w:val="000000" w:themeColor="text1"/>
        </w:rPr>
        <w:t xml:space="preserve">reported </w:t>
      </w:r>
      <w:r w:rsidRPr="00A222E3">
        <w:rPr>
          <w:rFonts w:cstheme="minorHAnsi"/>
          <w:color w:val="000000" w:themeColor="text1"/>
        </w:rPr>
        <w:t>using the payments for basic needs, including food, housing, children’s clothing, and other essentials, as well as saving for emergencies.</w:t>
      </w:r>
      <w:r w:rsidR="00351931">
        <w:rPr>
          <w:rStyle w:val="FootnoteReference"/>
          <w:rFonts w:cstheme="minorHAnsi"/>
          <w:color w:val="000000" w:themeColor="text1"/>
        </w:rPr>
        <w:footnoteReference w:id="34"/>
      </w:r>
    </w:p>
    <w:p w14:paraId="69FF58CF" w14:textId="32A99551" w:rsidR="00E40BC5" w:rsidRDefault="00EB7D3C">
      <w:pPr>
        <w:rPr>
          <w:rFonts w:cstheme="minorHAnsi"/>
          <w:color w:val="000000" w:themeColor="text1"/>
        </w:rPr>
      </w:pPr>
      <w:r w:rsidRPr="00A222E3">
        <w:rPr>
          <w:rFonts w:cstheme="minorHAnsi"/>
          <w:color w:val="000000" w:themeColor="text1"/>
        </w:rPr>
        <w:t>Columbia’s</w:t>
      </w:r>
      <w:r w:rsidR="00FF72D2">
        <w:rPr>
          <w:rFonts w:cstheme="minorHAnsi"/>
          <w:color w:val="000000" w:themeColor="text1"/>
        </w:rPr>
        <w:t xml:space="preserve"> Center on Poverty and Social Policy </w:t>
      </w:r>
      <w:r w:rsidRPr="00A222E3">
        <w:rPr>
          <w:rFonts w:cstheme="minorHAnsi"/>
          <w:color w:val="000000" w:themeColor="text1"/>
        </w:rPr>
        <w:t>estimated that making the child tax credit permanent would cost $100 billion per year, but yield $800 billion annually in societal benefits</w:t>
      </w:r>
      <w:r w:rsidR="00E40BC5">
        <w:rPr>
          <w:rFonts w:cstheme="minorHAnsi"/>
          <w:color w:val="000000" w:themeColor="text1"/>
        </w:rPr>
        <w:t xml:space="preserve">, and would </w:t>
      </w:r>
      <w:r w:rsidRPr="00A222E3">
        <w:rPr>
          <w:rFonts w:cstheme="minorHAnsi"/>
          <w:color w:val="000000" w:themeColor="text1"/>
        </w:rPr>
        <w:t>cut child poverty in the US by</w:t>
      </w:r>
      <w:r w:rsidR="00FF72D2">
        <w:rPr>
          <w:rFonts w:cstheme="minorHAnsi"/>
          <w:color w:val="000000" w:themeColor="text1"/>
        </w:rPr>
        <w:t xml:space="preserve"> 40 percent</w:t>
      </w:r>
      <w:r w:rsidRPr="00A222E3">
        <w:rPr>
          <w:rFonts w:cstheme="minorHAnsi"/>
          <w:color w:val="000000" w:themeColor="text1"/>
        </w:rPr>
        <w:t>, with the greatest benefit for children of color.</w:t>
      </w:r>
      <w:r w:rsidR="00FF72D2">
        <w:rPr>
          <w:rStyle w:val="FootnoteReference"/>
          <w:rFonts w:cstheme="minorHAnsi"/>
          <w:color w:val="000000" w:themeColor="text1"/>
        </w:rPr>
        <w:footnoteReference w:id="35"/>
      </w:r>
      <w:r w:rsidRPr="00A222E3">
        <w:rPr>
          <w:rFonts w:cstheme="minorHAnsi"/>
          <w:color w:val="000000" w:themeColor="text1"/>
        </w:rPr>
        <w:t xml:space="preserve"> Nevertheless, Congress let the child tax credit lapse in December 2021</w:t>
      </w:r>
      <w:r w:rsidR="002906A6" w:rsidRPr="00A222E3">
        <w:rPr>
          <w:rFonts w:cstheme="minorHAnsi"/>
          <w:color w:val="000000" w:themeColor="text1"/>
        </w:rPr>
        <w:t xml:space="preserve">. In January 2022, as increased payments ended and some families were no longer eligible, the number of </w:t>
      </w:r>
      <w:r w:rsidR="00FA6C74">
        <w:rPr>
          <w:rFonts w:cstheme="minorHAnsi"/>
          <w:color w:val="000000" w:themeColor="text1"/>
        </w:rPr>
        <w:t xml:space="preserve">US </w:t>
      </w:r>
      <w:r w:rsidR="002906A6" w:rsidRPr="00A222E3">
        <w:rPr>
          <w:rFonts w:cstheme="minorHAnsi"/>
          <w:color w:val="000000" w:themeColor="text1"/>
        </w:rPr>
        <w:t>children living in poverty increased by an estimated 3.7 million.</w:t>
      </w:r>
      <w:r w:rsidR="002906A6" w:rsidRPr="00A222E3">
        <w:rPr>
          <w:rStyle w:val="FootnoteReference"/>
          <w:rFonts w:asciiTheme="minorHAnsi" w:hAnsiTheme="minorHAnsi" w:cstheme="minorHAnsi"/>
          <w:color w:val="000000" w:themeColor="text1"/>
        </w:rPr>
        <w:footnoteReference w:id="36"/>
      </w:r>
    </w:p>
    <w:p w14:paraId="64163A96" w14:textId="67C4F310" w:rsidR="00E40BC5" w:rsidRPr="00F6288F" w:rsidRDefault="00E40BC5">
      <w:pPr>
        <w:rPr>
          <w:rFonts w:cstheme="minorHAnsi"/>
          <w:b/>
          <w:bCs/>
          <w:color w:val="000000" w:themeColor="text1"/>
        </w:rPr>
      </w:pPr>
      <w:r w:rsidRPr="00F6288F">
        <w:rPr>
          <w:rFonts w:cstheme="minorHAnsi"/>
          <w:b/>
          <w:bCs/>
          <w:color w:val="000000" w:themeColor="text1"/>
        </w:rPr>
        <w:t>Cash Transfers</w:t>
      </w:r>
      <w:r w:rsidR="00F6288F" w:rsidRPr="00F6288F">
        <w:rPr>
          <w:rFonts w:cstheme="minorHAnsi"/>
          <w:b/>
          <w:bCs/>
          <w:color w:val="000000" w:themeColor="text1"/>
        </w:rPr>
        <w:t xml:space="preserve">: </w:t>
      </w:r>
      <w:r w:rsidR="003B23FE">
        <w:rPr>
          <w:rFonts w:cstheme="minorHAnsi"/>
          <w:b/>
          <w:bCs/>
          <w:color w:val="000000" w:themeColor="text1"/>
        </w:rPr>
        <w:t xml:space="preserve">Poverty </w:t>
      </w:r>
      <w:r w:rsidR="00F6288F" w:rsidRPr="00F6288F">
        <w:rPr>
          <w:rFonts w:cstheme="minorHAnsi"/>
          <w:b/>
          <w:bCs/>
          <w:color w:val="000000" w:themeColor="text1"/>
        </w:rPr>
        <w:t xml:space="preserve">Targeted vs. </w:t>
      </w:r>
      <w:r w:rsidRPr="00F6288F">
        <w:rPr>
          <w:rFonts w:cstheme="minorHAnsi"/>
          <w:b/>
          <w:bCs/>
          <w:color w:val="000000" w:themeColor="text1"/>
        </w:rPr>
        <w:t>Universal Child Allowances</w:t>
      </w:r>
    </w:p>
    <w:p w14:paraId="10BBBA78" w14:textId="6885AE55" w:rsidR="00E40BC5" w:rsidRPr="000847B2" w:rsidRDefault="00E40BC5" w:rsidP="00E40BC5">
      <w:pPr>
        <w:rPr>
          <w:rFonts w:cstheme="minorHAnsi"/>
        </w:rPr>
      </w:pPr>
      <w:r w:rsidRPr="000847B2">
        <w:rPr>
          <w:rFonts w:cstheme="minorHAnsi"/>
        </w:rPr>
        <w:t xml:space="preserve">Cash transfers for families with children have been shown to be very effective in reducing poverty rates, increasing school enrolment, improving children’s health, reducing child labor, and even reducing domestic violence. A rigorous meta-analysis </w:t>
      </w:r>
      <w:r>
        <w:rPr>
          <w:rFonts w:cstheme="minorHAnsi"/>
        </w:rPr>
        <w:t xml:space="preserve">by the Overseas Development Institute </w:t>
      </w:r>
      <w:r w:rsidRPr="000847B2">
        <w:rPr>
          <w:rFonts w:cstheme="minorHAnsi"/>
        </w:rPr>
        <w:t>of over 200 studies spanning 15 years concluded that cash transfers were a powerful policy instrument with an overwhelmingly positive impact in reducing poverty.</w:t>
      </w:r>
      <w:r w:rsidRPr="000847B2">
        <w:rPr>
          <w:rStyle w:val="FootnoteReference"/>
          <w:rFonts w:asciiTheme="minorHAnsi" w:hAnsiTheme="minorHAnsi" w:cstheme="minorHAnsi"/>
        </w:rPr>
        <w:footnoteReference w:id="37"/>
      </w:r>
      <w:r w:rsidRPr="00E40BC5">
        <w:rPr>
          <w:rFonts w:cstheme="minorHAnsi"/>
        </w:rPr>
        <w:t xml:space="preserve"> </w:t>
      </w:r>
      <w:r w:rsidR="00171956">
        <w:rPr>
          <w:rFonts w:cstheme="minorHAnsi"/>
        </w:rPr>
        <w:t>Human Rights Watch and other r</w:t>
      </w:r>
      <w:r>
        <w:rPr>
          <w:rFonts w:cstheme="minorHAnsi"/>
        </w:rPr>
        <w:t xml:space="preserve">esearch shows, however, that </w:t>
      </w:r>
      <w:r w:rsidR="00932BD6">
        <w:rPr>
          <w:rFonts w:cstheme="minorHAnsi"/>
        </w:rPr>
        <w:t xml:space="preserve">poverty </w:t>
      </w:r>
      <w:r>
        <w:rPr>
          <w:rFonts w:cstheme="minorHAnsi"/>
        </w:rPr>
        <w:t>targeted programs</w:t>
      </w:r>
      <w:r w:rsidRPr="000847B2">
        <w:rPr>
          <w:rFonts w:cstheme="minorHAnsi"/>
        </w:rPr>
        <w:t xml:space="preserve"> </w:t>
      </w:r>
      <w:r>
        <w:rPr>
          <w:rFonts w:cstheme="minorHAnsi"/>
        </w:rPr>
        <w:t xml:space="preserve">can </w:t>
      </w:r>
      <w:r w:rsidR="008610B6">
        <w:rPr>
          <w:rFonts w:cstheme="minorHAnsi"/>
        </w:rPr>
        <w:t xml:space="preserve">fall short in protecting rights </w:t>
      </w:r>
      <w:r w:rsidR="003B23FE">
        <w:rPr>
          <w:rFonts w:cstheme="minorHAnsi"/>
        </w:rPr>
        <w:t xml:space="preserve">and </w:t>
      </w:r>
      <w:r w:rsidRPr="000847B2">
        <w:rPr>
          <w:rFonts w:cstheme="minorHAnsi"/>
        </w:rPr>
        <w:t>exclu</w:t>
      </w:r>
      <w:r w:rsidR="003B23FE">
        <w:rPr>
          <w:rFonts w:cstheme="minorHAnsi"/>
        </w:rPr>
        <w:t>de</w:t>
      </w:r>
      <w:r w:rsidRPr="000847B2">
        <w:rPr>
          <w:rFonts w:cstheme="minorHAnsi"/>
        </w:rPr>
        <w:t xml:space="preserve"> those who need them most.</w:t>
      </w:r>
      <w:r w:rsidR="00171956">
        <w:rPr>
          <w:rStyle w:val="FootnoteReference"/>
          <w:rFonts w:cstheme="minorHAnsi"/>
        </w:rPr>
        <w:footnoteReference w:id="38"/>
      </w:r>
      <w:r w:rsidRPr="000847B2">
        <w:rPr>
          <w:rFonts w:cstheme="minorHAnsi"/>
        </w:rPr>
        <w:t xml:space="preserve"> When cash transfers are targeted according to economic or other criteria, many eligible households may be left out, while some ineligible households may be included. Accurate means testing is </w:t>
      </w:r>
      <w:proofErr w:type="gramStart"/>
      <w:r w:rsidRPr="000847B2">
        <w:rPr>
          <w:rFonts w:cstheme="minorHAnsi"/>
        </w:rPr>
        <w:t>difficult</w:t>
      </w:r>
      <w:proofErr w:type="gramEnd"/>
      <w:r w:rsidRPr="000847B2">
        <w:rPr>
          <w:rFonts w:cstheme="minorHAnsi"/>
        </w:rPr>
        <w:t xml:space="preserve"> and errors can be significant.</w:t>
      </w:r>
      <w:r w:rsidRPr="000847B2">
        <w:rPr>
          <w:rStyle w:val="FootnoteReference"/>
          <w:rFonts w:asciiTheme="minorHAnsi" w:hAnsiTheme="minorHAnsi" w:cstheme="minorHAnsi"/>
        </w:rPr>
        <w:footnoteReference w:id="39"/>
      </w:r>
      <w:r w:rsidRPr="000847B2">
        <w:rPr>
          <w:rFonts w:cstheme="minorHAnsi"/>
        </w:rPr>
        <w:t xml:space="preserve"> </w:t>
      </w:r>
    </w:p>
    <w:p w14:paraId="45C5E5F9" w14:textId="26163859" w:rsidR="00E40BC5" w:rsidRPr="000847B2" w:rsidRDefault="00E40BC5" w:rsidP="00E40BC5">
      <w:pPr>
        <w:rPr>
          <w:rFonts w:cstheme="minorHAnsi"/>
        </w:rPr>
      </w:pPr>
      <w:r w:rsidRPr="000847B2">
        <w:rPr>
          <w:rFonts w:cstheme="minorHAnsi"/>
        </w:rPr>
        <w:t xml:space="preserve">A growing body of research </w:t>
      </w:r>
      <w:r>
        <w:rPr>
          <w:rFonts w:cstheme="minorHAnsi"/>
        </w:rPr>
        <w:t>has documented the significant benefits of</w:t>
      </w:r>
      <w:r w:rsidRPr="000847B2">
        <w:rPr>
          <w:rFonts w:cstheme="minorHAnsi"/>
        </w:rPr>
        <w:t xml:space="preserve"> universal child allowances</w:t>
      </w:r>
      <w:r>
        <w:rPr>
          <w:rFonts w:cstheme="minorHAnsi"/>
        </w:rPr>
        <w:t xml:space="preserve">. </w:t>
      </w:r>
      <w:r w:rsidR="00D63BA7">
        <w:rPr>
          <w:rFonts w:cstheme="minorHAnsi"/>
        </w:rPr>
        <w:t>For example, a</w:t>
      </w:r>
      <w:r>
        <w:rPr>
          <w:rFonts w:cstheme="minorHAnsi"/>
        </w:rPr>
        <w:t xml:space="preserve"> simulation for </w:t>
      </w:r>
      <w:r w:rsidRPr="000847B2">
        <w:rPr>
          <w:rFonts w:cstheme="minorHAnsi"/>
        </w:rPr>
        <w:t>14 middle-income countries showed that universal child allowances financed by 1</w:t>
      </w:r>
      <w:r>
        <w:rPr>
          <w:rFonts w:cstheme="minorHAnsi"/>
        </w:rPr>
        <w:t xml:space="preserve"> percent </w:t>
      </w:r>
      <w:r w:rsidRPr="000847B2">
        <w:rPr>
          <w:rFonts w:cstheme="minorHAnsi"/>
        </w:rPr>
        <w:t>of GDP would lead to a decline of overall poverty by 20</w:t>
      </w:r>
      <w:r>
        <w:rPr>
          <w:rFonts w:cstheme="minorHAnsi"/>
        </w:rPr>
        <w:t xml:space="preserve"> percent</w:t>
      </w:r>
      <w:r w:rsidRPr="000847B2">
        <w:rPr>
          <w:rFonts w:cstheme="minorHAnsi"/>
        </w:rPr>
        <w:t xml:space="preserve">, with equivalent if not </w:t>
      </w:r>
      <w:r w:rsidRPr="000847B2">
        <w:rPr>
          <w:rFonts w:cstheme="minorHAnsi"/>
        </w:rPr>
        <w:lastRenderedPageBreak/>
        <w:t>greater decreases in child poverty.</w:t>
      </w:r>
      <w:r w:rsidRPr="000847B2">
        <w:rPr>
          <w:rStyle w:val="FootnoteReference"/>
          <w:rFonts w:asciiTheme="minorHAnsi" w:hAnsiTheme="minorHAnsi" w:cstheme="minorHAnsi"/>
        </w:rPr>
        <w:footnoteReference w:id="40"/>
      </w:r>
      <w:r w:rsidRPr="000847B2">
        <w:rPr>
          <w:rFonts w:cstheme="minorHAnsi"/>
        </w:rPr>
        <w:t xml:space="preserve"> </w:t>
      </w:r>
      <w:r>
        <w:rPr>
          <w:rFonts w:cstheme="minorHAnsi"/>
        </w:rPr>
        <w:t>The study</w:t>
      </w:r>
      <w:r w:rsidRPr="000847B2">
        <w:rPr>
          <w:rFonts w:cstheme="minorHAnsi"/>
        </w:rPr>
        <w:t xml:space="preserve"> estimate</w:t>
      </w:r>
      <w:r>
        <w:rPr>
          <w:rFonts w:cstheme="minorHAnsi"/>
        </w:rPr>
        <w:t>s</w:t>
      </w:r>
      <w:r w:rsidRPr="000847B2">
        <w:rPr>
          <w:rFonts w:cstheme="minorHAnsi"/>
        </w:rPr>
        <w:t xml:space="preserve"> that in Indonesia, for example, a universal child benefit of $15 per child per month could reduce the percentage of children living in poverty from 11</w:t>
      </w:r>
      <w:r>
        <w:rPr>
          <w:rFonts w:cstheme="minorHAnsi"/>
        </w:rPr>
        <w:t xml:space="preserve"> percent</w:t>
      </w:r>
      <w:r w:rsidRPr="000847B2">
        <w:rPr>
          <w:rFonts w:cstheme="minorHAnsi"/>
        </w:rPr>
        <w:t xml:space="preserve"> to 3</w:t>
      </w:r>
      <w:r>
        <w:rPr>
          <w:rFonts w:cstheme="minorHAnsi"/>
        </w:rPr>
        <w:t xml:space="preserve"> percent</w:t>
      </w:r>
      <w:r w:rsidRPr="000847B2">
        <w:rPr>
          <w:rFonts w:cstheme="minorHAnsi"/>
        </w:rPr>
        <w:t>.</w:t>
      </w:r>
      <w:r w:rsidRPr="000847B2">
        <w:rPr>
          <w:rStyle w:val="FootnoteReference"/>
          <w:rFonts w:asciiTheme="minorHAnsi" w:hAnsiTheme="minorHAnsi" w:cstheme="minorHAnsi"/>
        </w:rPr>
        <w:footnoteReference w:id="41"/>
      </w:r>
    </w:p>
    <w:p w14:paraId="3CC261D1" w14:textId="33863723" w:rsidR="00171956" w:rsidRDefault="00E40BC5">
      <w:pPr>
        <w:rPr>
          <w:rFonts w:cstheme="minorHAnsi"/>
        </w:rPr>
      </w:pPr>
      <w:r w:rsidRPr="000847B2">
        <w:rPr>
          <w:rFonts w:cstheme="minorHAnsi"/>
        </w:rPr>
        <w:t>Universal programs typically entail automatic registration for every child at birth. Because they require no means-testing or monitoring for eligibility, administrative costs are lower</w:t>
      </w:r>
      <w:r w:rsidR="000C2FFA">
        <w:rPr>
          <w:rFonts w:cstheme="minorHAnsi"/>
        </w:rPr>
        <w:t xml:space="preserve"> than for </w:t>
      </w:r>
      <w:r w:rsidR="00DD28CB">
        <w:rPr>
          <w:rFonts w:cstheme="minorHAnsi"/>
        </w:rPr>
        <w:t xml:space="preserve">poverty </w:t>
      </w:r>
      <w:r w:rsidR="000C2FFA">
        <w:rPr>
          <w:rFonts w:cstheme="minorHAnsi"/>
        </w:rPr>
        <w:t>targeted programs</w:t>
      </w:r>
      <w:r w:rsidRPr="000847B2">
        <w:rPr>
          <w:rFonts w:cstheme="minorHAnsi"/>
        </w:rPr>
        <w:t>. Studies have found no evidence that universal child benefits reduce participation in paid work by adults.</w:t>
      </w:r>
      <w:r w:rsidRPr="000847B2">
        <w:rPr>
          <w:rStyle w:val="FootnoteReference"/>
          <w:rFonts w:asciiTheme="minorHAnsi" w:hAnsiTheme="minorHAnsi" w:cstheme="minorHAnsi"/>
        </w:rPr>
        <w:footnoteReference w:id="42"/>
      </w:r>
      <w:r>
        <w:rPr>
          <w:rFonts w:cstheme="minorHAnsi"/>
        </w:rPr>
        <w:t xml:space="preserve"> </w:t>
      </w:r>
      <w:r w:rsidRPr="000847B2">
        <w:rPr>
          <w:rFonts w:cstheme="minorHAnsi"/>
        </w:rPr>
        <w:t xml:space="preserve">Universal programs also may be more consistent with human rights principles of equality and non-discrimination. Because all families with children receive the benefit, they enhance social cohesion and family dignity, </w:t>
      </w:r>
      <w:r w:rsidR="00057A5A">
        <w:rPr>
          <w:rFonts w:cstheme="minorHAnsi"/>
        </w:rPr>
        <w:t xml:space="preserve">increase trust in </w:t>
      </w:r>
      <w:r w:rsidR="00E508B4">
        <w:rPr>
          <w:rFonts w:cstheme="minorHAnsi"/>
        </w:rPr>
        <w:t xml:space="preserve">the government, </w:t>
      </w:r>
      <w:r w:rsidRPr="000847B2">
        <w:rPr>
          <w:rFonts w:cstheme="minorHAnsi"/>
        </w:rPr>
        <w:t>and avoid stigma.</w:t>
      </w:r>
    </w:p>
    <w:p w14:paraId="1B15986F" w14:textId="5EA00191" w:rsidR="00171956" w:rsidRDefault="00171956">
      <w:pPr>
        <w:rPr>
          <w:rFonts w:cstheme="minorHAnsi"/>
        </w:rPr>
      </w:pPr>
      <w:r>
        <w:rPr>
          <w:rFonts w:cstheme="minorHAnsi"/>
        </w:rPr>
        <w:t>Human Rights Watch has urged both individual governments as well as international financial institutions, including the IMF and World Bank, to implement universal social protection as a tool to protect human rights, and reduce poverty and inequality.</w:t>
      </w:r>
      <w:r>
        <w:rPr>
          <w:rStyle w:val="FootnoteReference"/>
          <w:rFonts w:cstheme="minorHAnsi"/>
        </w:rPr>
        <w:footnoteReference w:id="43"/>
      </w:r>
      <w:r>
        <w:rPr>
          <w:rFonts w:cstheme="minorHAnsi"/>
        </w:rPr>
        <w:t xml:space="preserve">  </w:t>
      </w:r>
    </w:p>
    <w:p w14:paraId="71A76BC8" w14:textId="01E5959C" w:rsidR="00F6288F" w:rsidRPr="00F6288F" w:rsidRDefault="00F6288F">
      <w:pPr>
        <w:rPr>
          <w:rFonts w:cstheme="minorHAnsi"/>
          <w:b/>
          <w:bCs/>
        </w:rPr>
      </w:pPr>
      <w:r w:rsidRPr="00F6288F">
        <w:rPr>
          <w:rFonts w:cstheme="minorHAnsi"/>
          <w:b/>
          <w:bCs/>
        </w:rPr>
        <w:t>Recommendations</w:t>
      </w:r>
    </w:p>
    <w:p w14:paraId="4071C123" w14:textId="0C07D6F9" w:rsidR="008527F4" w:rsidRPr="00A222E3" w:rsidRDefault="004C74FD" w:rsidP="00583A33">
      <w:pPr>
        <w:spacing w:after="0"/>
        <w:rPr>
          <w:rFonts w:cstheme="minorHAnsi"/>
          <w:i/>
          <w:iCs/>
          <w:color w:val="000000" w:themeColor="text1"/>
        </w:rPr>
      </w:pPr>
      <w:r w:rsidRPr="00A222E3">
        <w:rPr>
          <w:rFonts w:cstheme="minorHAnsi"/>
          <w:i/>
          <w:iCs/>
          <w:color w:val="000000" w:themeColor="text1"/>
        </w:rPr>
        <w:t xml:space="preserve">Human Rights Watch </w:t>
      </w:r>
      <w:r w:rsidR="00C930ED" w:rsidRPr="00A222E3">
        <w:rPr>
          <w:rFonts w:cstheme="minorHAnsi"/>
          <w:i/>
          <w:iCs/>
          <w:color w:val="000000" w:themeColor="text1"/>
        </w:rPr>
        <w:t xml:space="preserve">recommends </w:t>
      </w:r>
      <w:r w:rsidR="0093740A" w:rsidRPr="00A222E3">
        <w:rPr>
          <w:rFonts w:cstheme="minorHAnsi"/>
          <w:i/>
          <w:iCs/>
          <w:color w:val="000000" w:themeColor="text1"/>
        </w:rPr>
        <w:t>that States</w:t>
      </w:r>
      <w:r w:rsidR="008527F4" w:rsidRPr="00A222E3">
        <w:rPr>
          <w:rFonts w:cstheme="minorHAnsi"/>
          <w:i/>
          <w:iCs/>
          <w:color w:val="000000" w:themeColor="text1"/>
        </w:rPr>
        <w:t>:</w:t>
      </w:r>
    </w:p>
    <w:p w14:paraId="27579BDC" w14:textId="4B6431A3" w:rsidR="00C930ED" w:rsidRDefault="008527F4" w:rsidP="00C930ED">
      <w:pPr>
        <w:pStyle w:val="ListParagraph"/>
        <w:numPr>
          <w:ilvl w:val="0"/>
          <w:numId w:val="1"/>
        </w:numPr>
        <w:rPr>
          <w:rFonts w:cstheme="minorHAnsi"/>
          <w:color w:val="000000" w:themeColor="text1"/>
        </w:rPr>
      </w:pPr>
      <w:r w:rsidRPr="00A222E3">
        <w:rPr>
          <w:rFonts w:cstheme="minorHAnsi"/>
          <w:color w:val="000000" w:themeColor="text1"/>
        </w:rPr>
        <w:t xml:space="preserve">Ensure children benefit from </w:t>
      </w:r>
      <w:r w:rsidR="008D539A">
        <w:rPr>
          <w:rFonts w:cstheme="minorHAnsi"/>
          <w:color w:val="000000" w:themeColor="text1"/>
        </w:rPr>
        <w:t xml:space="preserve">the right to </w:t>
      </w:r>
      <w:r w:rsidRPr="00A222E3">
        <w:rPr>
          <w:rFonts w:cstheme="minorHAnsi"/>
          <w:color w:val="000000" w:themeColor="text1"/>
        </w:rPr>
        <w:t xml:space="preserve">social security, including through the progressive introduction of universal child allowances for all families with children. </w:t>
      </w:r>
    </w:p>
    <w:p w14:paraId="28E0FF3A" w14:textId="3B2315EE" w:rsidR="00F24250" w:rsidRPr="00F24250" w:rsidRDefault="00F24250" w:rsidP="00F24250">
      <w:pPr>
        <w:pStyle w:val="ListParagraph"/>
        <w:numPr>
          <w:ilvl w:val="0"/>
          <w:numId w:val="1"/>
        </w:numPr>
        <w:shd w:val="clear" w:color="auto" w:fill="FFFFFF"/>
        <w:spacing w:after="0" w:line="240" w:lineRule="auto"/>
        <w:rPr>
          <w:rFonts w:ascii="Calibri" w:eastAsia="Times New Roman" w:hAnsi="Calibri" w:cs="Calibri"/>
          <w:color w:val="000000"/>
        </w:rPr>
      </w:pPr>
      <w:r w:rsidRPr="00F24250">
        <w:rPr>
          <w:rFonts w:ascii="Calibri" w:eastAsia="Times New Roman" w:hAnsi="Calibri" w:cs="Calibri"/>
          <w:color w:val="000000"/>
        </w:rPr>
        <w:t xml:space="preserve">Mobilize domestic resources to extend coverage and progressively reach universal social protection for children. For example, states can </w:t>
      </w:r>
      <w:r w:rsidR="008D539A">
        <w:rPr>
          <w:rFonts w:ascii="Calibri" w:eastAsia="Times New Roman" w:hAnsi="Calibri" w:cs="Calibri"/>
          <w:color w:val="000000"/>
        </w:rPr>
        <w:t xml:space="preserve">use the tax system whether </w:t>
      </w:r>
      <w:r w:rsidRPr="00F24250">
        <w:rPr>
          <w:rFonts w:ascii="Calibri" w:eastAsia="Times New Roman" w:hAnsi="Calibri" w:cs="Calibri"/>
          <w:color w:val="000000"/>
        </w:rPr>
        <w:t>by introducing a wealth tax or ensuring that income is taxed in a progressive fashion</w:t>
      </w:r>
      <w:r w:rsidR="008D539A">
        <w:rPr>
          <w:rFonts w:ascii="Calibri" w:eastAsia="Times New Roman" w:hAnsi="Calibri" w:cs="Calibri"/>
          <w:color w:val="000000"/>
        </w:rPr>
        <w:t>, to generate funds to fulfil this goal</w:t>
      </w:r>
      <w:r w:rsidRPr="00F24250">
        <w:rPr>
          <w:rFonts w:ascii="Calibri" w:eastAsia="Times New Roman" w:hAnsi="Calibri" w:cs="Calibri"/>
          <w:color w:val="000000"/>
        </w:rPr>
        <w:t>.</w:t>
      </w:r>
    </w:p>
    <w:p w14:paraId="75B488B1" w14:textId="0797313A" w:rsidR="00277302" w:rsidRPr="00F24250" w:rsidRDefault="00277302" w:rsidP="00F24250">
      <w:pPr>
        <w:pStyle w:val="ListParagraph"/>
        <w:numPr>
          <w:ilvl w:val="0"/>
          <w:numId w:val="1"/>
        </w:numPr>
        <w:spacing w:after="0" w:line="240" w:lineRule="auto"/>
        <w:rPr>
          <w:rFonts w:ascii="Times New Roman" w:eastAsia="Times New Roman" w:hAnsi="Times New Roman" w:cs="Times New Roman"/>
          <w:sz w:val="24"/>
          <w:szCs w:val="24"/>
        </w:rPr>
      </w:pPr>
      <w:r w:rsidRPr="00F24250">
        <w:rPr>
          <w:rFonts w:cstheme="minorHAnsi"/>
          <w:color w:val="000000"/>
        </w:rPr>
        <w:t>Conduct regular assessments, both on the adequacy of benefits but also potential barriers people experience in accessing them.</w:t>
      </w:r>
    </w:p>
    <w:p w14:paraId="31047D70" w14:textId="4B62C620" w:rsidR="008527F4" w:rsidRPr="00A222E3" w:rsidRDefault="008527F4" w:rsidP="00C930ED">
      <w:pPr>
        <w:pStyle w:val="ListParagraph"/>
        <w:numPr>
          <w:ilvl w:val="0"/>
          <w:numId w:val="1"/>
        </w:numPr>
        <w:rPr>
          <w:rFonts w:cstheme="minorHAnsi"/>
          <w:color w:val="000000" w:themeColor="text1"/>
        </w:rPr>
      </w:pPr>
      <w:r w:rsidRPr="00A222E3">
        <w:rPr>
          <w:rFonts w:cstheme="minorHAnsi"/>
          <w:color w:val="000000" w:themeColor="text1"/>
        </w:rPr>
        <w:t>Ensure that any targeted allowances benefit all families that are eligible, by taking the following steps:</w:t>
      </w:r>
    </w:p>
    <w:p w14:paraId="7DE02457" w14:textId="77777777" w:rsidR="0012369E" w:rsidRPr="00A222E3" w:rsidRDefault="008527F4" w:rsidP="0012369E">
      <w:pPr>
        <w:pStyle w:val="ListParagraph"/>
        <w:numPr>
          <w:ilvl w:val="1"/>
          <w:numId w:val="1"/>
        </w:numPr>
        <w:rPr>
          <w:rFonts w:cstheme="minorHAnsi"/>
          <w:color w:val="000000" w:themeColor="text1"/>
        </w:rPr>
      </w:pPr>
      <w:r w:rsidRPr="00A222E3">
        <w:rPr>
          <w:rFonts w:cstheme="minorHAnsi"/>
          <w:color w:val="000000" w:themeColor="text1"/>
        </w:rPr>
        <w:t xml:space="preserve">Establish effective communications strategies to ensure that everyone knows about the social protection program, its eligibility criteria, and the means of accessing </w:t>
      </w:r>
      <w:proofErr w:type="gramStart"/>
      <w:r w:rsidRPr="00A222E3">
        <w:rPr>
          <w:rFonts w:cstheme="minorHAnsi"/>
          <w:color w:val="000000" w:themeColor="text1"/>
        </w:rPr>
        <w:t>it;</w:t>
      </w:r>
      <w:proofErr w:type="gramEnd"/>
    </w:p>
    <w:p w14:paraId="71615EA0" w14:textId="77777777" w:rsidR="0012369E" w:rsidRPr="00A222E3" w:rsidRDefault="008527F4" w:rsidP="0012369E">
      <w:pPr>
        <w:pStyle w:val="ListParagraph"/>
        <w:numPr>
          <w:ilvl w:val="1"/>
          <w:numId w:val="1"/>
        </w:numPr>
        <w:rPr>
          <w:rFonts w:cstheme="minorHAnsi"/>
          <w:color w:val="000000" w:themeColor="text1"/>
        </w:rPr>
      </w:pPr>
      <w:r w:rsidRPr="00A222E3">
        <w:rPr>
          <w:rFonts w:cstheme="minorHAnsi"/>
          <w:color w:val="000000" w:themeColor="text1"/>
        </w:rPr>
        <w:t xml:space="preserve">Make the application process accessible to all, including those with low literacy and/or no internet </w:t>
      </w:r>
      <w:proofErr w:type="gramStart"/>
      <w:r w:rsidRPr="00A222E3">
        <w:rPr>
          <w:rFonts w:cstheme="minorHAnsi"/>
          <w:color w:val="000000" w:themeColor="text1"/>
        </w:rPr>
        <w:t>access;</w:t>
      </w:r>
      <w:proofErr w:type="gramEnd"/>
    </w:p>
    <w:p w14:paraId="58AF05B5" w14:textId="77777777"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Ensure that women are able to apply and receive these benefits as heads of </w:t>
      </w:r>
      <w:proofErr w:type="gramStart"/>
      <w:r w:rsidRPr="00A222E3">
        <w:rPr>
          <w:rFonts w:cstheme="minorHAnsi"/>
          <w:color w:val="000000" w:themeColor="text1"/>
        </w:rPr>
        <w:t>households;</w:t>
      </w:r>
      <w:proofErr w:type="gramEnd"/>
    </w:p>
    <w:p w14:paraId="4E5A0D1D" w14:textId="77777777"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Invest in selection mechanisms that do not overestimate incomes of any </w:t>
      </w:r>
      <w:proofErr w:type="gramStart"/>
      <w:r w:rsidRPr="00A222E3">
        <w:rPr>
          <w:rFonts w:cstheme="minorHAnsi"/>
          <w:color w:val="000000" w:themeColor="text1"/>
        </w:rPr>
        <w:t>applicant;</w:t>
      </w:r>
      <w:proofErr w:type="gramEnd"/>
    </w:p>
    <w:p w14:paraId="2AF77D8E" w14:textId="77777777"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Avoid placing quotas on the number of people who can access a </w:t>
      </w:r>
      <w:proofErr w:type="gramStart"/>
      <w:r w:rsidRPr="00A222E3">
        <w:rPr>
          <w:rFonts w:cstheme="minorHAnsi"/>
          <w:color w:val="000000" w:themeColor="text1"/>
        </w:rPr>
        <w:t>program;</w:t>
      </w:r>
      <w:proofErr w:type="gramEnd"/>
      <w:r w:rsidRPr="00A222E3">
        <w:rPr>
          <w:rFonts w:cstheme="minorHAnsi"/>
          <w:color w:val="000000" w:themeColor="text1"/>
        </w:rPr>
        <w:t xml:space="preserve"> </w:t>
      </w:r>
    </w:p>
    <w:p w14:paraId="4A87EDFC" w14:textId="77777777"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Ensure that people can apply for the program whenever they require </w:t>
      </w:r>
      <w:proofErr w:type="gramStart"/>
      <w:r w:rsidRPr="00A222E3">
        <w:rPr>
          <w:rFonts w:cstheme="minorHAnsi"/>
          <w:color w:val="000000" w:themeColor="text1"/>
        </w:rPr>
        <w:t>it;</w:t>
      </w:r>
      <w:proofErr w:type="gramEnd"/>
      <w:r w:rsidRPr="00A222E3">
        <w:rPr>
          <w:rFonts w:cstheme="minorHAnsi"/>
          <w:color w:val="000000" w:themeColor="text1"/>
        </w:rPr>
        <w:t xml:space="preserve"> </w:t>
      </w:r>
    </w:p>
    <w:p w14:paraId="19E5D2FA" w14:textId="77777777"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Ensure that decisions on selection are as objective as </w:t>
      </w:r>
      <w:proofErr w:type="gramStart"/>
      <w:r w:rsidRPr="00A222E3">
        <w:rPr>
          <w:rFonts w:cstheme="minorHAnsi"/>
          <w:color w:val="000000" w:themeColor="text1"/>
        </w:rPr>
        <w:t>possible;</w:t>
      </w:r>
      <w:proofErr w:type="gramEnd"/>
      <w:r w:rsidRPr="00A222E3">
        <w:rPr>
          <w:rFonts w:cstheme="minorHAnsi"/>
          <w:color w:val="000000" w:themeColor="text1"/>
        </w:rPr>
        <w:t xml:space="preserve"> </w:t>
      </w:r>
    </w:p>
    <w:p w14:paraId="467A8A8D" w14:textId="185F7B45"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Eliminate discrimination in </w:t>
      </w:r>
      <w:proofErr w:type="spellStart"/>
      <w:proofErr w:type="gramStart"/>
      <w:r w:rsidRPr="00A222E3">
        <w:rPr>
          <w:rFonts w:cstheme="minorHAnsi"/>
          <w:color w:val="000000" w:themeColor="text1"/>
        </w:rPr>
        <w:t>decisionmaking</w:t>
      </w:r>
      <w:proofErr w:type="spellEnd"/>
      <w:r w:rsidRPr="00A222E3">
        <w:rPr>
          <w:rFonts w:cstheme="minorHAnsi"/>
          <w:color w:val="000000" w:themeColor="text1"/>
        </w:rPr>
        <w:t>;</w:t>
      </w:r>
      <w:proofErr w:type="gramEnd"/>
      <w:r w:rsidRPr="00A222E3">
        <w:rPr>
          <w:rFonts w:cstheme="minorHAnsi"/>
          <w:color w:val="000000" w:themeColor="text1"/>
        </w:rPr>
        <w:t xml:space="preserve"> </w:t>
      </w:r>
    </w:p>
    <w:p w14:paraId="2F3C053B" w14:textId="77777777" w:rsidR="00B942C2" w:rsidRPr="00A222E3" w:rsidRDefault="008527F4" w:rsidP="00B942C2">
      <w:pPr>
        <w:pStyle w:val="ListParagraph"/>
        <w:numPr>
          <w:ilvl w:val="1"/>
          <w:numId w:val="1"/>
        </w:numPr>
        <w:rPr>
          <w:rFonts w:cstheme="minorHAnsi"/>
          <w:color w:val="000000" w:themeColor="text1"/>
        </w:rPr>
      </w:pPr>
      <w:r w:rsidRPr="00A222E3">
        <w:rPr>
          <w:rFonts w:cstheme="minorHAnsi"/>
          <w:color w:val="000000" w:themeColor="text1"/>
        </w:rPr>
        <w:t xml:space="preserve">Keep comprehensive information on selection </w:t>
      </w:r>
      <w:proofErr w:type="gramStart"/>
      <w:r w:rsidRPr="00A222E3">
        <w:rPr>
          <w:rFonts w:cstheme="minorHAnsi"/>
          <w:color w:val="000000" w:themeColor="text1"/>
        </w:rPr>
        <w:t>decisions;</w:t>
      </w:r>
      <w:proofErr w:type="gramEnd"/>
      <w:r w:rsidRPr="00A222E3">
        <w:rPr>
          <w:rFonts w:cstheme="minorHAnsi"/>
          <w:color w:val="000000" w:themeColor="text1"/>
        </w:rPr>
        <w:t xml:space="preserve"> </w:t>
      </w:r>
    </w:p>
    <w:p w14:paraId="045953D6" w14:textId="77777777" w:rsidR="0036560F" w:rsidRPr="00A222E3" w:rsidRDefault="008527F4" w:rsidP="0036560F">
      <w:pPr>
        <w:pStyle w:val="ListParagraph"/>
        <w:numPr>
          <w:ilvl w:val="1"/>
          <w:numId w:val="1"/>
        </w:numPr>
        <w:rPr>
          <w:rFonts w:cstheme="minorHAnsi"/>
          <w:color w:val="000000" w:themeColor="text1"/>
        </w:rPr>
      </w:pPr>
      <w:r w:rsidRPr="00A222E3">
        <w:rPr>
          <w:rFonts w:cstheme="minorHAnsi"/>
          <w:color w:val="000000" w:themeColor="text1"/>
        </w:rPr>
        <w:lastRenderedPageBreak/>
        <w:t xml:space="preserve">Establish effective grievance mechanisms that enable applicants to appeal unfavorable </w:t>
      </w:r>
      <w:proofErr w:type="gramStart"/>
      <w:r w:rsidRPr="00A222E3">
        <w:rPr>
          <w:rFonts w:cstheme="minorHAnsi"/>
          <w:color w:val="000000" w:themeColor="text1"/>
        </w:rPr>
        <w:t>decisions;</w:t>
      </w:r>
      <w:proofErr w:type="gramEnd"/>
    </w:p>
    <w:p w14:paraId="60AD639A" w14:textId="5F3160BE" w:rsidR="008527F4" w:rsidRPr="00A222E3" w:rsidRDefault="008527F4" w:rsidP="0036560F">
      <w:pPr>
        <w:pStyle w:val="ListParagraph"/>
        <w:numPr>
          <w:ilvl w:val="1"/>
          <w:numId w:val="1"/>
        </w:numPr>
        <w:rPr>
          <w:rFonts w:cstheme="minorHAnsi"/>
          <w:color w:val="000000" w:themeColor="text1"/>
        </w:rPr>
      </w:pPr>
      <w:r w:rsidRPr="00A222E3">
        <w:rPr>
          <w:rFonts w:cstheme="minorHAnsi"/>
          <w:color w:val="000000" w:themeColor="text1"/>
        </w:rPr>
        <w:t>Maintain a comprehensive database of information and statistics to inform planning and identification of beneficiaries for targeted allowances.</w:t>
      </w:r>
    </w:p>
    <w:p w14:paraId="5C9B79A9" w14:textId="1E1C2FE7" w:rsidR="00617A86" w:rsidRPr="00A222E3" w:rsidRDefault="00617A86" w:rsidP="00EF15ED">
      <w:pPr>
        <w:rPr>
          <w:rFonts w:cstheme="minorHAnsi"/>
          <w:color w:val="000000" w:themeColor="text1"/>
        </w:rPr>
      </w:pPr>
    </w:p>
    <w:sectPr w:rsidR="00617A86" w:rsidRPr="00A22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46D4" w14:textId="77777777" w:rsidR="00D04378" w:rsidRDefault="00D04378" w:rsidP="00705B8F">
      <w:pPr>
        <w:spacing w:after="0" w:line="240" w:lineRule="auto"/>
      </w:pPr>
      <w:r>
        <w:separator/>
      </w:r>
    </w:p>
  </w:endnote>
  <w:endnote w:type="continuationSeparator" w:id="0">
    <w:p w14:paraId="2838FE8B" w14:textId="77777777" w:rsidR="00D04378" w:rsidRDefault="00D04378" w:rsidP="0070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taPro-Bold">
    <w:altName w:val="Calibri"/>
    <w:panose1 w:val="020B0604020202020204"/>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altName w:val="Tahoma"/>
    <w:panose1 w:val="020B0604020202020204"/>
    <w:charset w:val="00"/>
    <w:family w:val="modern"/>
    <w:notTrueType/>
    <w:pitch w:val="variable"/>
    <w:sig w:usb0="A00020AF" w:usb1="D000A05A" w:usb2="00000008" w:usb3="00000000" w:csb0="00000151" w:csb1="00000000"/>
  </w:font>
  <w:font w:name="MetaPro-Medi">
    <w:altName w:val="Calibri"/>
    <w:panose1 w:val="020B0604020202020204"/>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Norm">
    <w:altName w:val="Calibri"/>
    <w:panose1 w:val="020B0604020202020204"/>
    <w:charset w:val="00"/>
    <w:family w:val="swiss"/>
    <w:notTrueType/>
    <w:pitch w:val="variable"/>
    <w:sig w:usb0="A00002FF" w:usb1="4000207B" w:usb2="00000000" w:usb3="00000000" w:csb0="0000009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95876"/>
      <w:docPartObj>
        <w:docPartGallery w:val="Page Numbers (Bottom of Page)"/>
        <w:docPartUnique/>
      </w:docPartObj>
    </w:sdtPr>
    <w:sdtEndPr>
      <w:rPr>
        <w:rFonts w:ascii="MetaPro-Medi" w:hAnsi="MetaPro-Medi"/>
        <w:noProof/>
      </w:rPr>
    </w:sdtEndPr>
    <w:sdtContent>
      <w:p w14:paraId="5DCDC0ED" w14:textId="793DB670" w:rsidR="00852081" w:rsidRPr="00852081" w:rsidRDefault="00852081">
        <w:pPr>
          <w:pStyle w:val="Footer"/>
          <w:jc w:val="center"/>
          <w:rPr>
            <w:rFonts w:ascii="MetaPro-Medi" w:hAnsi="MetaPro-Medi"/>
          </w:rPr>
        </w:pPr>
        <w:r w:rsidRPr="00852081">
          <w:rPr>
            <w:rFonts w:ascii="MetaPro-Medi" w:hAnsi="MetaPro-Medi"/>
          </w:rPr>
          <w:fldChar w:fldCharType="begin"/>
        </w:r>
        <w:r w:rsidRPr="00852081">
          <w:rPr>
            <w:rFonts w:ascii="MetaPro-Medi" w:hAnsi="MetaPro-Medi"/>
          </w:rPr>
          <w:instrText xml:space="preserve"> PAGE   \* MERGEFORMAT </w:instrText>
        </w:r>
        <w:r w:rsidRPr="00852081">
          <w:rPr>
            <w:rFonts w:ascii="MetaPro-Medi" w:hAnsi="MetaPro-Medi"/>
          </w:rPr>
          <w:fldChar w:fldCharType="separate"/>
        </w:r>
        <w:r w:rsidRPr="00852081">
          <w:rPr>
            <w:rFonts w:ascii="MetaPro-Medi" w:hAnsi="MetaPro-Medi"/>
            <w:noProof/>
          </w:rPr>
          <w:t>2</w:t>
        </w:r>
        <w:r w:rsidRPr="00852081">
          <w:rPr>
            <w:rFonts w:ascii="MetaPro-Medi" w:hAnsi="MetaPro-Medi"/>
            <w:noProof/>
          </w:rPr>
          <w:fldChar w:fldCharType="end"/>
        </w:r>
      </w:p>
    </w:sdtContent>
  </w:sdt>
  <w:p w14:paraId="29C2AC50" w14:textId="77777777" w:rsidR="00852081" w:rsidRDefault="0085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E741" w14:textId="77777777" w:rsidR="00D04378" w:rsidRDefault="00D04378" w:rsidP="00705B8F">
      <w:pPr>
        <w:spacing w:after="0" w:line="240" w:lineRule="auto"/>
      </w:pPr>
      <w:r>
        <w:separator/>
      </w:r>
    </w:p>
  </w:footnote>
  <w:footnote w:type="continuationSeparator" w:id="0">
    <w:p w14:paraId="26E3816A" w14:textId="77777777" w:rsidR="00D04378" w:rsidRDefault="00D04378" w:rsidP="00705B8F">
      <w:pPr>
        <w:spacing w:after="0" w:line="240" w:lineRule="auto"/>
      </w:pPr>
      <w:r>
        <w:continuationSeparator/>
      </w:r>
    </w:p>
  </w:footnote>
  <w:footnote w:id="1">
    <w:p w14:paraId="26322FE3" w14:textId="7AD2FF5B" w:rsidR="00C242F1" w:rsidRPr="00C74C83" w:rsidRDefault="00C242F1" w:rsidP="00C242F1">
      <w:pPr>
        <w:pStyle w:val="Heading1"/>
        <w:shd w:val="clear" w:color="auto" w:fill="FFFFFF"/>
        <w:spacing w:after="0"/>
        <w:jc w:val="left"/>
        <w:rPr>
          <w:rFonts w:asciiTheme="minorHAnsi" w:hAnsiTheme="minorHAnsi" w:cstheme="minorHAnsi"/>
          <w:b/>
          <w:bCs w:val="0"/>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bCs w:val="0"/>
          <w:sz w:val="18"/>
          <w:szCs w:val="18"/>
        </w:rPr>
        <w:t xml:space="preserve"> Christabel </w:t>
      </w:r>
      <w:proofErr w:type="spellStart"/>
      <w:r w:rsidRPr="00C74C83">
        <w:rPr>
          <w:rFonts w:asciiTheme="minorHAnsi" w:hAnsiTheme="minorHAnsi" w:cstheme="minorHAnsi"/>
          <w:bCs w:val="0"/>
          <w:sz w:val="18"/>
          <w:szCs w:val="18"/>
        </w:rPr>
        <w:t>Ewuradjoa</w:t>
      </w:r>
      <w:proofErr w:type="spellEnd"/>
      <w:r w:rsidRPr="00C74C83">
        <w:rPr>
          <w:rFonts w:asciiTheme="minorHAnsi" w:hAnsiTheme="minorHAnsi" w:cstheme="minorHAnsi"/>
          <w:bCs w:val="0"/>
          <w:sz w:val="18"/>
          <w:szCs w:val="18"/>
        </w:rPr>
        <w:t xml:space="preserve"> </w:t>
      </w:r>
      <w:proofErr w:type="spellStart"/>
      <w:r w:rsidRPr="00C74C83">
        <w:rPr>
          <w:rFonts w:asciiTheme="minorHAnsi" w:hAnsiTheme="minorHAnsi" w:cstheme="minorHAnsi"/>
          <w:bCs w:val="0"/>
          <w:sz w:val="18"/>
          <w:szCs w:val="18"/>
        </w:rPr>
        <w:t>Dadzie</w:t>
      </w:r>
      <w:proofErr w:type="spellEnd"/>
      <w:r w:rsidRPr="00C74C83">
        <w:rPr>
          <w:rFonts w:asciiTheme="minorHAnsi" w:hAnsiTheme="minorHAnsi" w:cstheme="minorHAnsi"/>
          <w:bCs w:val="0"/>
          <w:sz w:val="18"/>
          <w:szCs w:val="18"/>
        </w:rPr>
        <w:t xml:space="preserve"> and </w:t>
      </w:r>
      <w:proofErr w:type="spellStart"/>
      <w:r w:rsidRPr="00C74C83">
        <w:rPr>
          <w:rFonts w:asciiTheme="minorHAnsi" w:hAnsiTheme="minorHAnsi" w:cstheme="minorHAnsi"/>
          <w:bCs w:val="0"/>
          <w:sz w:val="18"/>
          <w:szCs w:val="18"/>
        </w:rPr>
        <w:t>Dhushyanth</w:t>
      </w:r>
      <w:proofErr w:type="spellEnd"/>
      <w:r w:rsidRPr="00C74C83">
        <w:rPr>
          <w:rFonts w:asciiTheme="minorHAnsi" w:hAnsiTheme="minorHAnsi" w:cstheme="minorHAnsi"/>
          <w:bCs w:val="0"/>
          <w:sz w:val="18"/>
          <w:szCs w:val="18"/>
        </w:rPr>
        <w:t xml:space="preserve"> Raju, “Economic relief through social safety nets during the COVID-19 crisis: the case of Ghana,” World Bank Blogs, October 26, 2020 </w:t>
      </w:r>
      <w:hyperlink r:id="rId1" w:history="1">
        <w:r w:rsidR="005616B7" w:rsidRPr="00215821">
          <w:rPr>
            <w:rStyle w:val="Hyperlink"/>
            <w:rFonts w:asciiTheme="minorHAnsi" w:hAnsiTheme="minorHAnsi" w:cstheme="minorHAnsi"/>
            <w:bCs w:val="0"/>
            <w:sz w:val="18"/>
            <w:szCs w:val="18"/>
          </w:rPr>
          <w:t>https://blogs.worldbank.org/nasikiliza/economic-relief-through-social-safety-nets-during-covid-19-crisis-case-ghana</w:t>
        </w:r>
      </w:hyperlink>
      <w:r w:rsidR="005616B7">
        <w:rPr>
          <w:rFonts w:asciiTheme="minorHAnsi" w:hAnsiTheme="minorHAnsi" w:cstheme="minorHAnsi"/>
          <w:bCs w:val="0"/>
          <w:sz w:val="18"/>
          <w:szCs w:val="18"/>
        </w:rPr>
        <w:t xml:space="preserve"> </w:t>
      </w:r>
    </w:p>
  </w:footnote>
  <w:footnote w:id="2">
    <w:p w14:paraId="6E63DD85" w14:textId="77777777" w:rsidR="00C242F1" w:rsidRPr="00C74C83" w:rsidRDefault="00C242F1" w:rsidP="00C242F1">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Benjamin Davis, Silvio </w:t>
      </w:r>
      <w:proofErr w:type="spellStart"/>
      <w:r w:rsidRPr="00C74C83">
        <w:rPr>
          <w:rFonts w:asciiTheme="minorHAnsi" w:hAnsiTheme="minorHAnsi" w:cstheme="minorHAnsi"/>
          <w:sz w:val="18"/>
          <w:szCs w:val="18"/>
        </w:rPr>
        <w:t>Daidone</w:t>
      </w:r>
      <w:proofErr w:type="spellEnd"/>
      <w:r w:rsidRPr="00C74C83">
        <w:rPr>
          <w:rFonts w:asciiTheme="minorHAnsi" w:hAnsiTheme="minorHAnsi" w:cstheme="minorHAnsi"/>
          <w:sz w:val="18"/>
          <w:szCs w:val="18"/>
        </w:rPr>
        <w:t xml:space="preserve">, Sudhanshu </w:t>
      </w:r>
      <w:proofErr w:type="spellStart"/>
      <w:r w:rsidRPr="00C74C83">
        <w:rPr>
          <w:rFonts w:asciiTheme="minorHAnsi" w:hAnsiTheme="minorHAnsi" w:cstheme="minorHAnsi"/>
          <w:sz w:val="18"/>
          <w:szCs w:val="18"/>
        </w:rPr>
        <w:t>Handa</w:t>
      </w:r>
      <w:proofErr w:type="spellEnd"/>
      <w:r w:rsidRPr="00C74C83">
        <w:rPr>
          <w:rFonts w:asciiTheme="minorHAnsi" w:hAnsiTheme="minorHAnsi" w:cstheme="minorHAnsi"/>
          <w:sz w:val="18"/>
          <w:szCs w:val="18"/>
        </w:rPr>
        <w:t xml:space="preserve">, Michael Park, Robert Osei Darko, Isaac Osei-Akoto, “The Impact of Ghana’s LEAP </w:t>
      </w:r>
      <w:proofErr w:type="spellStart"/>
      <w:r w:rsidRPr="00C74C83">
        <w:rPr>
          <w:rFonts w:asciiTheme="minorHAnsi" w:hAnsiTheme="minorHAnsi" w:cstheme="minorHAnsi"/>
          <w:sz w:val="18"/>
          <w:szCs w:val="18"/>
        </w:rPr>
        <w:t>Programme</w:t>
      </w:r>
      <w:proofErr w:type="spellEnd"/>
      <w:r w:rsidRPr="00C74C83">
        <w:rPr>
          <w:rFonts w:asciiTheme="minorHAnsi" w:hAnsiTheme="minorHAnsi" w:cstheme="minorHAnsi"/>
          <w:sz w:val="18"/>
          <w:szCs w:val="18"/>
        </w:rPr>
        <w:t>” International Policy Centre for Inclusive Growth, December 2014. https://ipcig.org/pub/eng/OP271_The_Impact_of_Ghana_s_LEAP_Programme.pdf</w:t>
      </w:r>
    </w:p>
  </w:footnote>
  <w:footnote w:id="3">
    <w:p w14:paraId="08363127" w14:textId="62AE8B2D"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r w:rsidR="00DB6AA6">
        <w:rPr>
          <w:rFonts w:asciiTheme="minorHAnsi" w:hAnsiTheme="minorHAnsi" w:cstheme="minorHAnsi"/>
          <w:sz w:val="18"/>
          <w:szCs w:val="18"/>
        </w:rPr>
        <w:t xml:space="preserve">Ibid. </w:t>
      </w:r>
    </w:p>
  </w:footnote>
  <w:footnote w:id="4">
    <w:p w14:paraId="1D716BBF" w14:textId="77777777"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World Bank, The State of Social Safety Nets 2018, p 20. </w:t>
      </w:r>
    </w:p>
  </w:footnote>
  <w:footnote w:id="5">
    <w:p w14:paraId="233F4353" w14:textId="77777777" w:rsidR="00C242F1" w:rsidRPr="00C74C83" w:rsidRDefault="00C242F1" w:rsidP="00C74C83">
      <w:pPr>
        <w:spacing w:after="0" w:line="240" w:lineRule="auto"/>
        <w:rPr>
          <w:rFonts w:cstheme="minorHAnsi"/>
          <w:sz w:val="18"/>
          <w:szCs w:val="18"/>
        </w:rPr>
      </w:pPr>
      <w:r w:rsidRPr="00C74C83">
        <w:rPr>
          <w:rStyle w:val="FootnoteReference"/>
          <w:rFonts w:asciiTheme="minorHAnsi" w:hAnsiTheme="minorHAnsi" w:cstheme="minorHAnsi"/>
          <w:sz w:val="18"/>
          <w:szCs w:val="18"/>
        </w:rPr>
        <w:footnoteRef/>
      </w:r>
      <w:r w:rsidRPr="00C74C83">
        <w:rPr>
          <w:rFonts w:cstheme="minorHAnsi"/>
          <w:sz w:val="18"/>
          <w:szCs w:val="18"/>
        </w:rPr>
        <w:t xml:space="preserve"> Ugo </w:t>
      </w:r>
      <w:proofErr w:type="spellStart"/>
      <w:r w:rsidRPr="00C74C83">
        <w:rPr>
          <w:rFonts w:cstheme="minorHAnsi"/>
          <w:sz w:val="18"/>
          <w:szCs w:val="18"/>
        </w:rPr>
        <w:t>Gentilini</w:t>
      </w:r>
      <w:proofErr w:type="spellEnd"/>
      <w:r w:rsidRPr="00C74C83">
        <w:rPr>
          <w:rFonts w:cstheme="minorHAnsi"/>
          <w:sz w:val="18"/>
          <w:szCs w:val="18"/>
        </w:rPr>
        <w:t xml:space="preserve">, Mohamed </w:t>
      </w:r>
      <w:proofErr w:type="spellStart"/>
      <w:r w:rsidRPr="00C74C83">
        <w:rPr>
          <w:rFonts w:cstheme="minorHAnsi"/>
          <w:sz w:val="18"/>
          <w:szCs w:val="18"/>
        </w:rPr>
        <w:t>Almenfi</w:t>
      </w:r>
      <w:proofErr w:type="spellEnd"/>
      <w:r w:rsidRPr="00C74C83">
        <w:rPr>
          <w:rFonts w:cstheme="minorHAnsi"/>
          <w:sz w:val="18"/>
          <w:szCs w:val="18"/>
        </w:rPr>
        <w:t xml:space="preserve">, and Pamela Dale, “Social Protection and Jobs Responses to COVID-19: A Real-Time Review of Country Measures” “Living paper” version 14, World Bank, December 11, 2020, p 7. </w:t>
      </w:r>
    </w:p>
  </w:footnote>
  <w:footnote w:id="6">
    <w:p w14:paraId="0D3C3CEC" w14:textId="1FB8364E" w:rsidR="00C242F1" w:rsidRPr="00C74C83" w:rsidRDefault="00C242F1" w:rsidP="00C74C83">
      <w:pPr>
        <w:spacing w:after="0" w:line="240" w:lineRule="auto"/>
        <w:rPr>
          <w:rFonts w:cstheme="minorHAnsi"/>
          <w:sz w:val="18"/>
          <w:szCs w:val="18"/>
        </w:rPr>
      </w:pPr>
      <w:r w:rsidRPr="00C74C83">
        <w:rPr>
          <w:rStyle w:val="FootnoteReference"/>
          <w:rFonts w:asciiTheme="minorHAnsi" w:hAnsiTheme="minorHAnsi" w:cstheme="minorHAnsi"/>
          <w:sz w:val="18"/>
          <w:szCs w:val="18"/>
        </w:rPr>
        <w:footnoteRef/>
      </w:r>
      <w:r w:rsidRPr="00C74C83">
        <w:rPr>
          <w:rFonts w:cstheme="minorHAnsi"/>
          <w:sz w:val="18"/>
          <w:szCs w:val="18"/>
        </w:rPr>
        <w:t xml:space="preserve"> Martin Evans, “Simulating policy options for universal child allowances in Ghana,” WIDER Working Paper 2018/145, United Nations University, 2018, p 16, 18-20. https://www.wider.unu.edu/sites/default/files/Publications/Working-paper/PDF/wp2018-145_0.pdf</w:t>
      </w:r>
    </w:p>
  </w:footnote>
  <w:footnote w:id="7">
    <w:p w14:paraId="52474D51" w14:textId="3BD7C12C" w:rsidR="00B53738" w:rsidRPr="00C74C83" w:rsidRDefault="00B53738"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Human Rights Watch, </w:t>
      </w:r>
      <w:r w:rsidRPr="00C74C83">
        <w:rPr>
          <w:rFonts w:asciiTheme="minorHAnsi" w:hAnsiTheme="minorHAnsi" w:cstheme="minorHAnsi"/>
          <w:i/>
          <w:iCs/>
          <w:sz w:val="18"/>
          <w:szCs w:val="18"/>
        </w:rPr>
        <w:t>“”I Must Work to Eat</w:t>
      </w:r>
      <w:r w:rsidR="00C74C83" w:rsidRPr="00C74C83">
        <w:rPr>
          <w:rFonts w:asciiTheme="minorHAnsi" w:hAnsiTheme="minorHAnsi" w:cstheme="minorHAnsi"/>
          <w:i/>
          <w:iCs/>
          <w:sz w:val="18"/>
          <w:szCs w:val="18"/>
        </w:rPr>
        <w:t>”</w:t>
      </w:r>
      <w:r w:rsidRPr="00C74C83">
        <w:rPr>
          <w:rFonts w:asciiTheme="minorHAnsi" w:hAnsiTheme="minorHAnsi" w:cstheme="minorHAnsi"/>
          <w:i/>
          <w:iCs/>
          <w:sz w:val="18"/>
          <w:szCs w:val="18"/>
        </w:rPr>
        <w:t>: Covid-19, Child Labor and Poverty in Ghana, Nepal, and Uganda,”</w:t>
      </w:r>
      <w:r w:rsidRPr="00C74C83">
        <w:rPr>
          <w:rFonts w:asciiTheme="minorHAnsi" w:hAnsiTheme="minorHAnsi" w:cstheme="minorHAnsi"/>
          <w:sz w:val="18"/>
          <w:szCs w:val="18"/>
        </w:rPr>
        <w:t xml:space="preserve"> May 26, 2021, </w:t>
      </w:r>
      <w:hyperlink r:id="rId2" w:history="1">
        <w:r w:rsidRPr="00C74C83">
          <w:rPr>
            <w:rStyle w:val="Hyperlink"/>
            <w:rFonts w:asciiTheme="minorHAnsi" w:hAnsiTheme="minorHAnsi" w:cstheme="minorHAnsi"/>
            <w:sz w:val="18"/>
            <w:szCs w:val="18"/>
          </w:rPr>
          <w:t>https://www.hrw.org/report/2021/05/26/i-must-work-eat/covid-19-poverty-and-child-labor-ghana-nepal-and-uganda</w:t>
        </w:r>
      </w:hyperlink>
      <w:r w:rsidRPr="00C74C83">
        <w:rPr>
          <w:rFonts w:asciiTheme="minorHAnsi" w:hAnsiTheme="minorHAnsi" w:cstheme="minorHAnsi"/>
          <w:sz w:val="18"/>
          <w:szCs w:val="18"/>
        </w:rPr>
        <w:t xml:space="preserve"> </w:t>
      </w:r>
    </w:p>
  </w:footnote>
  <w:footnote w:id="8">
    <w:p w14:paraId="4399AC18" w14:textId="0D3799A4" w:rsidR="00122395" w:rsidRPr="00C74C83" w:rsidRDefault="00122395"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 </w:t>
      </w:r>
    </w:p>
  </w:footnote>
  <w:footnote w:id="9">
    <w:p w14:paraId="7EFD6F6B" w14:textId="22C3DF17" w:rsidR="00B678AA" w:rsidRPr="00C74C83" w:rsidRDefault="00B678AA"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hyperlink r:id="rId3" w:history="1">
        <w:r w:rsidRPr="00C74C83">
          <w:rPr>
            <w:rStyle w:val="Hyperlink"/>
            <w:rFonts w:asciiTheme="minorHAnsi" w:hAnsiTheme="minorHAnsi" w:cstheme="minorHAnsi"/>
            <w:sz w:val="18"/>
            <w:szCs w:val="18"/>
          </w:rPr>
          <w:t>https://www.gov.kz/memleket/entities/enbek/activities/192?lang=ru</w:t>
        </w:r>
      </w:hyperlink>
      <w:r w:rsidRPr="00C74C83">
        <w:rPr>
          <w:rFonts w:asciiTheme="minorHAnsi" w:hAnsiTheme="minorHAnsi" w:cstheme="minorHAnsi"/>
          <w:sz w:val="18"/>
          <w:szCs w:val="18"/>
        </w:rPr>
        <w:t xml:space="preserve"> </w:t>
      </w:r>
    </w:p>
  </w:footnote>
  <w:footnote w:id="10">
    <w:p w14:paraId="79562FA5" w14:textId="1ED61138"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Human Rights Watch, “Kazakhstan: Families Struggle to Enjoy Basic Rights,</w:t>
      </w:r>
      <w:r w:rsidR="00C74C83">
        <w:rPr>
          <w:rFonts w:asciiTheme="minorHAnsi" w:hAnsiTheme="minorHAnsi" w:cstheme="minorHAnsi"/>
          <w:sz w:val="18"/>
          <w:szCs w:val="18"/>
        </w:rPr>
        <w:t>”</w:t>
      </w:r>
      <w:r w:rsidRPr="00C74C83">
        <w:rPr>
          <w:rFonts w:asciiTheme="minorHAnsi" w:hAnsiTheme="minorHAnsi" w:cstheme="minorHAnsi"/>
          <w:sz w:val="18"/>
          <w:szCs w:val="18"/>
        </w:rPr>
        <w:t xml:space="preserve"> October 5, 2022, </w:t>
      </w:r>
      <w:hyperlink r:id="rId4" w:anchor=":~:text=Kazakhstan's%20social%20protection%20system%20includes,people%20below%20the%20poverty%20line" w:history="1">
        <w:r w:rsidRPr="00C74C83">
          <w:rPr>
            <w:rStyle w:val="Hyperlink"/>
            <w:rFonts w:asciiTheme="minorHAnsi" w:hAnsiTheme="minorHAnsi" w:cstheme="minorHAnsi"/>
            <w:sz w:val="18"/>
            <w:szCs w:val="18"/>
          </w:rPr>
          <w:t>https://www.hrw.org/news/2022/10/05/kazakhstan-families-struggle-enjoy-basic-rights#:~:text=Kazakhstan's%20social%20protection%20system%20includes,people%20below%20the%20poverty%20line</w:t>
        </w:r>
      </w:hyperlink>
      <w:r w:rsidRPr="00C74C83">
        <w:rPr>
          <w:rFonts w:asciiTheme="minorHAnsi" w:hAnsiTheme="minorHAnsi" w:cstheme="minorHAnsi"/>
          <w:sz w:val="18"/>
          <w:szCs w:val="18"/>
        </w:rPr>
        <w:t xml:space="preserve">. </w:t>
      </w:r>
    </w:p>
  </w:footnote>
  <w:footnote w:id="11">
    <w:p w14:paraId="3BC912A9" w14:textId="1EE85BCB" w:rsidR="00711527" w:rsidRPr="00C74C83" w:rsidRDefault="00711527"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Oxford Policy Management,</w:t>
      </w:r>
      <w:r w:rsidR="000E73BC" w:rsidRPr="00C74C83">
        <w:rPr>
          <w:rFonts w:asciiTheme="minorHAnsi" w:hAnsiTheme="minorHAnsi" w:cstheme="minorHAnsi"/>
          <w:sz w:val="18"/>
          <w:szCs w:val="18"/>
        </w:rPr>
        <w:t xml:space="preserve"> </w:t>
      </w:r>
      <w:r w:rsidR="000E73BC" w:rsidRPr="00C74C83">
        <w:rPr>
          <w:rFonts w:asciiTheme="minorHAnsi" w:hAnsiTheme="minorHAnsi" w:cstheme="minorHAnsi"/>
          <w:i/>
          <w:iCs/>
          <w:sz w:val="18"/>
          <w:szCs w:val="18"/>
        </w:rPr>
        <w:t>Technical support to improve design of targeted cash transfer program to be more responsive to the needs of families with children,</w:t>
      </w:r>
      <w:r w:rsidR="000E73BC" w:rsidRPr="00C74C83">
        <w:rPr>
          <w:rFonts w:asciiTheme="minorHAnsi" w:hAnsiTheme="minorHAnsi" w:cstheme="minorHAnsi"/>
          <w:sz w:val="18"/>
          <w:szCs w:val="18"/>
        </w:rPr>
        <w:t xml:space="preserve"> April 2017, </w:t>
      </w:r>
      <w:r w:rsidRPr="00C74C83">
        <w:rPr>
          <w:rFonts w:asciiTheme="minorHAnsi" w:hAnsiTheme="minorHAnsi" w:cstheme="minorHAnsi"/>
          <w:sz w:val="18"/>
          <w:szCs w:val="18"/>
        </w:rPr>
        <w:t xml:space="preserve"> </w:t>
      </w:r>
      <w:hyperlink r:id="rId5" w:history="1">
        <w:r w:rsidRPr="00C74C83">
          <w:rPr>
            <w:rStyle w:val="Hyperlink"/>
            <w:rFonts w:asciiTheme="minorHAnsi" w:hAnsiTheme="minorHAnsi" w:cstheme="minorHAnsi"/>
            <w:sz w:val="18"/>
            <w:szCs w:val="18"/>
          </w:rPr>
          <w:t>https://p4ec.ru/wp-content/uploads/2019/03/UNICEF-Kazahstan-FINAL-report_05052017.pdf</w:t>
        </w:r>
      </w:hyperlink>
      <w:r w:rsidRPr="00C74C83">
        <w:rPr>
          <w:rFonts w:asciiTheme="minorHAnsi" w:hAnsiTheme="minorHAnsi" w:cstheme="minorHAnsi"/>
          <w:sz w:val="18"/>
          <w:szCs w:val="18"/>
        </w:rPr>
        <w:t xml:space="preserve"> </w:t>
      </w:r>
    </w:p>
  </w:footnote>
  <w:footnote w:id="12">
    <w:p w14:paraId="579362B0" w14:textId="78BA5768" w:rsidR="00F24250" w:rsidRPr="00F24250" w:rsidRDefault="00F24250">
      <w:pPr>
        <w:pStyle w:val="FootnoteText"/>
        <w:rPr>
          <w:rFonts w:asciiTheme="minorHAnsi" w:hAnsiTheme="minorHAnsi" w:cstheme="minorHAnsi"/>
          <w:sz w:val="18"/>
          <w:szCs w:val="18"/>
        </w:rPr>
      </w:pPr>
      <w:r w:rsidRPr="00F24250">
        <w:rPr>
          <w:rStyle w:val="FootnoteReference"/>
          <w:rFonts w:asciiTheme="minorHAnsi" w:hAnsiTheme="minorHAnsi" w:cstheme="minorHAnsi"/>
          <w:sz w:val="18"/>
          <w:szCs w:val="18"/>
        </w:rPr>
        <w:footnoteRef/>
      </w:r>
      <w:r w:rsidRPr="00F24250">
        <w:rPr>
          <w:rFonts w:asciiTheme="minorHAnsi" w:hAnsiTheme="minorHAnsi" w:cstheme="minorHAnsi"/>
          <w:sz w:val="18"/>
          <w:szCs w:val="18"/>
        </w:rPr>
        <w:t xml:space="preserve"> UNICEF, “Targeted Social Assistance and Special Social Services,”  </w:t>
      </w:r>
      <w:hyperlink r:id="rId6" w:history="1">
        <w:r w:rsidRPr="00F24250">
          <w:rPr>
            <w:rStyle w:val="Hyperlink"/>
            <w:rFonts w:asciiTheme="minorHAnsi" w:hAnsiTheme="minorHAnsi" w:cstheme="minorHAnsi"/>
            <w:sz w:val="18"/>
            <w:szCs w:val="18"/>
          </w:rPr>
          <w:t>www.unicef.org/kazakhstan/media/231/file</w:t>
        </w:r>
      </w:hyperlink>
      <w:r w:rsidRPr="00F24250">
        <w:rPr>
          <w:rFonts w:asciiTheme="minorHAnsi" w:hAnsiTheme="minorHAnsi" w:cstheme="minorHAnsi"/>
          <w:sz w:val="18"/>
          <w:szCs w:val="18"/>
        </w:rPr>
        <w:t xml:space="preserve"> </w:t>
      </w:r>
    </w:p>
  </w:footnote>
  <w:footnote w:id="13">
    <w:p w14:paraId="43FB19FB" w14:textId="2BDEF780"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r w:rsidR="005E36D2">
        <w:rPr>
          <w:rFonts w:asciiTheme="minorHAnsi" w:hAnsiTheme="minorHAnsi" w:cstheme="minorHAnsi"/>
          <w:sz w:val="18"/>
          <w:szCs w:val="18"/>
        </w:rPr>
        <w:t>Mark Garde et al, “</w:t>
      </w:r>
      <w:r w:rsidR="005E36D2" w:rsidRPr="005E36D2">
        <w:rPr>
          <w:rFonts w:asciiTheme="minorHAnsi" w:hAnsiTheme="minorHAnsi" w:cstheme="minorHAnsi"/>
          <w:sz w:val="18"/>
          <w:szCs w:val="18"/>
        </w:rPr>
        <w:t>The evolution of Nepal’s child grant: from humble beginnings to a real driver of change for children?</w:t>
      </w:r>
      <w:r w:rsidR="005E36D2">
        <w:rPr>
          <w:rFonts w:asciiTheme="minorHAnsi" w:hAnsiTheme="minorHAnsi" w:cstheme="minorHAnsi"/>
          <w:sz w:val="18"/>
          <w:szCs w:val="18"/>
        </w:rPr>
        <w:t xml:space="preserve">” </w:t>
      </w:r>
      <w:r w:rsidR="005E36D2" w:rsidRPr="005E36D2">
        <w:rPr>
          <w:rFonts w:asciiTheme="minorHAnsi" w:hAnsiTheme="minorHAnsi" w:cstheme="minorHAnsi"/>
          <w:i/>
          <w:iCs/>
          <w:sz w:val="18"/>
          <w:szCs w:val="18"/>
        </w:rPr>
        <w:t>Global Social Policy</w:t>
      </w:r>
      <w:r w:rsidR="005E36D2">
        <w:rPr>
          <w:rFonts w:asciiTheme="minorHAnsi" w:hAnsiTheme="minorHAnsi" w:cstheme="minorHAnsi"/>
          <w:sz w:val="18"/>
          <w:szCs w:val="18"/>
        </w:rPr>
        <w:t xml:space="preserve">, 2017, </w:t>
      </w:r>
      <w:hyperlink r:id="rId7" w:history="1">
        <w:r w:rsidR="005E36D2" w:rsidRPr="00215821">
          <w:rPr>
            <w:rStyle w:val="Hyperlink"/>
            <w:rFonts w:asciiTheme="minorHAnsi" w:hAnsiTheme="minorHAnsi" w:cstheme="minorHAnsi"/>
            <w:sz w:val="18"/>
            <w:szCs w:val="18"/>
          </w:rPr>
          <w:t>https://eprints.lse.ac.uk/85326/1/Garde_Mathers_Dhakal_The%20evolution.pdf</w:t>
        </w:r>
      </w:hyperlink>
      <w:r w:rsidR="005E36D2">
        <w:rPr>
          <w:rFonts w:asciiTheme="minorHAnsi" w:hAnsiTheme="minorHAnsi" w:cstheme="minorHAnsi"/>
          <w:sz w:val="18"/>
          <w:szCs w:val="18"/>
        </w:rPr>
        <w:t xml:space="preserve"> </w:t>
      </w:r>
    </w:p>
  </w:footnote>
  <w:footnote w:id="14">
    <w:p w14:paraId="13207BC4" w14:textId="77777777" w:rsidR="00C242F1" w:rsidRPr="00C74C83" w:rsidRDefault="00C242F1" w:rsidP="00C74C83">
      <w:pPr>
        <w:spacing w:after="0" w:line="240" w:lineRule="auto"/>
        <w:rPr>
          <w:rFonts w:cstheme="minorHAnsi"/>
          <w:sz w:val="18"/>
          <w:szCs w:val="18"/>
        </w:rPr>
      </w:pPr>
      <w:r w:rsidRPr="00C74C83">
        <w:rPr>
          <w:rStyle w:val="FootnoteReference"/>
          <w:rFonts w:asciiTheme="minorHAnsi" w:hAnsiTheme="minorHAnsi" w:cstheme="minorHAnsi"/>
          <w:sz w:val="18"/>
          <w:szCs w:val="18"/>
        </w:rPr>
        <w:footnoteRef/>
      </w:r>
      <w:r w:rsidRPr="00C74C83">
        <w:rPr>
          <w:rFonts w:cstheme="minorHAnsi"/>
          <w:sz w:val="18"/>
          <w:szCs w:val="18"/>
        </w:rPr>
        <w:t xml:space="preserve"> UNICEF policy brief Nov 2016</w:t>
      </w:r>
    </w:p>
    <w:p w14:paraId="6038CFEA" w14:textId="41FDD272" w:rsidR="00C242F1" w:rsidRPr="00C74C83" w:rsidRDefault="00000000" w:rsidP="00C74C83">
      <w:pPr>
        <w:spacing w:after="0" w:line="240" w:lineRule="auto"/>
        <w:rPr>
          <w:rFonts w:cstheme="minorHAnsi"/>
          <w:sz w:val="18"/>
          <w:szCs w:val="18"/>
        </w:rPr>
      </w:pPr>
      <w:hyperlink r:id="rId8" w:history="1">
        <w:r w:rsidR="00DB6AA6" w:rsidRPr="00215821">
          <w:rPr>
            <w:rStyle w:val="Hyperlink"/>
            <w:rFonts w:cstheme="minorHAnsi"/>
            <w:sz w:val="18"/>
            <w:szCs w:val="18"/>
          </w:rPr>
          <w:t>https://www.unicef.org/nepal/media/2451/file/Why%20a%20universal%20Child%20Grant%20makes%20sense%20for%20Nepal.pdf</w:t>
        </w:r>
      </w:hyperlink>
      <w:r w:rsidR="00DB6AA6">
        <w:rPr>
          <w:rFonts w:cstheme="minorHAnsi"/>
          <w:sz w:val="18"/>
          <w:szCs w:val="18"/>
        </w:rPr>
        <w:t xml:space="preserve"> </w:t>
      </w:r>
    </w:p>
  </w:footnote>
  <w:footnote w:id="15">
    <w:p w14:paraId="0876ABB9" w14:textId="2CB19258" w:rsidR="00C242F1" w:rsidRPr="00C74C83" w:rsidRDefault="00C242F1" w:rsidP="00DB6AA6">
      <w:pPr>
        <w:spacing w:after="0" w:line="240" w:lineRule="auto"/>
        <w:rPr>
          <w:rFonts w:cstheme="minorHAnsi"/>
          <w:sz w:val="18"/>
          <w:szCs w:val="18"/>
        </w:rPr>
      </w:pPr>
      <w:r w:rsidRPr="00C74C83">
        <w:rPr>
          <w:rStyle w:val="FootnoteReference"/>
          <w:rFonts w:asciiTheme="minorHAnsi" w:hAnsiTheme="minorHAnsi" w:cstheme="minorHAnsi"/>
          <w:sz w:val="18"/>
          <w:szCs w:val="18"/>
        </w:rPr>
        <w:footnoteRef/>
      </w:r>
      <w:r w:rsidRPr="00C74C83">
        <w:rPr>
          <w:rFonts w:cstheme="minorHAnsi"/>
          <w:sz w:val="18"/>
          <w:szCs w:val="18"/>
        </w:rPr>
        <w:t xml:space="preserve"> </w:t>
      </w:r>
      <w:r w:rsidR="00DB6AA6">
        <w:rPr>
          <w:rFonts w:cstheme="minorHAnsi"/>
          <w:sz w:val="18"/>
          <w:szCs w:val="18"/>
        </w:rPr>
        <w:t xml:space="preserve">Ibid. </w:t>
      </w:r>
    </w:p>
  </w:footnote>
  <w:footnote w:id="16">
    <w:p w14:paraId="4BA67A99" w14:textId="77777777"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Email communication from UNICEF Nepal to Human Rights Watch, February 14, 2021.</w:t>
      </w:r>
    </w:p>
  </w:footnote>
  <w:footnote w:id="17">
    <w:p w14:paraId="4CBA27BB" w14:textId="77777777" w:rsidR="00C242F1" w:rsidRPr="00C74C83" w:rsidRDefault="00C242F1" w:rsidP="00C74C83">
      <w:pPr>
        <w:spacing w:after="0" w:line="240" w:lineRule="auto"/>
        <w:rPr>
          <w:rFonts w:cstheme="minorHAnsi"/>
          <w:sz w:val="18"/>
          <w:szCs w:val="18"/>
        </w:rPr>
      </w:pPr>
      <w:r w:rsidRPr="00C74C83">
        <w:rPr>
          <w:rStyle w:val="FootnoteReference"/>
          <w:rFonts w:asciiTheme="minorHAnsi" w:hAnsiTheme="minorHAnsi" w:cstheme="minorHAnsi"/>
          <w:sz w:val="18"/>
          <w:szCs w:val="18"/>
        </w:rPr>
        <w:footnoteRef/>
      </w:r>
      <w:r w:rsidRPr="00C74C83">
        <w:rPr>
          <w:rFonts w:cstheme="minorHAnsi"/>
          <w:sz w:val="18"/>
          <w:szCs w:val="18"/>
        </w:rPr>
        <w:t xml:space="preserve"> UNICEF, “An expansion strategy for Nepal’s Child Grant,” Policy Brief, November 2016: p 6. </w:t>
      </w:r>
    </w:p>
    <w:p w14:paraId="1C931D35" w14:textId="77777777" w:rsidR="00C242F1" w:rsidRPr="00C74C83" w:rsidRDefault="00000000" w:rsidP="00C74C83">
      <w:pPr>
        <w:spacing w:after="0" w:line="240" w:lineRule="auto"/>
        <w:rPr>
          <w:rFonts w:cstheme="minorHAnsi"/>
          <w:sz w:val="18"/>
          <w:szCs w:val="18"/>
        </w:rPr>
      </w:pPr>
      <w:hyperlink r:id="rId9" w:history="1">
        <w:r w:rsidR="00C242F1" w:rsidRPr="00C74C83">
          <w:rPr>
            <w:rStyle w:val="Hyperlink"/>
            <w:rFonts w:cstheme="minorHAnsi"/>
            <w:sz w:val="18"/>
            <w:szCs w:val="18"/>
          </w:rPr>
          <w:t>https://www.unicef.org/nepal/media/2426/file/An%20expansion%20strategy%20for%20Nepal%E2%80%99s%20Child%20Grant.pdf</w:t>
        </w:r>
      </w:hyperlink>
      <w:r w:rsidR="00C242F1" w:rsidRPr="00C74C83">
        <w:rPr>
          <w:rStyle w:val="Hyperlink"/>
          <w:rFonts w:cstheme="minorHAnsi"/>
          <w:sz w:val="18"/>
          <w:szCs w:val="18"/>
        </w:rPr>
        <w:t xml:space="preserve"> (accessed April 14, 2021). </w:t>
      </w:r>
    </w:p>
  </w:footnote>
  <w:footnote w:id="18">
    <w:p w14:paraId="48294891" w14:textId="7CDD9842" w:rsidR="004D18E2" w:rsidRPr="00C74C83" w:rsidRDefault="004D18E2"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UNICEF, </w:t>
      </w:r>
      <w:r w:rsidRPr="00C74C83">
        <w:rPr>
          <w:rFonts w:asciiTheme="minorHAnsi" w:hAnsiTheme="minorHAnsi" w:cstheme="minorHAnsi"/>
          <w:i/>
          <w:iCs/>
          <w:sz w:val="18"/>
          <w:szCs w:val="18"/>
        </w:rPr>
        <w:t>Universal Child Benefits:  transforming the lives of children across South Asia</w:t>
      </w:r>
      <w:r w:rsidRPr="00C74C83">
        <w:rPr>
          <w:rFonts w:asciiTheme="minorHAnsi" w:hAnsiTheme="minorHAnsi" w:cstheme="minorHAnsi"/>
          <w:sz w:val="18"/>
          <w:szCs w:val="18"/>
        </w:rPr>
        <w:t xml:space="preserve">, March 2021,  </w:t>
      </w:r>
      <w:hyperlink r:id="rId10" w:history="1">
        <w:r w:rsidRPr="00C74C83">
          <w:rPr>
            <w:rStyle w:val="Hyperlink"/>
            <w:rFonts w:asciiTheme="minorHAnsi" w:hAnsiTheme="minorHAnsi" w:cstheme="minorHAnsi"/>
            <w:sz w:val="18"/>
            <w:szCs w:val="18"/>
          </w:rPr>
          <w:t>https://www.developmentpathways.co.uk/wp-content/uploads/2021/03/UNICEF-South-Asia-Paper-2021.pdf</w:t>
        </w:r>
      </w:hyperlink>
      <w:r w:rsidRPr="00C74C83">
        <w:rPr>
          <w:rFonts w:asciiTheme="minorHAnsi" w:hAnsiTheme="minorHAnsi" w:cstheme="minorHAnsi"/>
          <w:sz w:val="18"/>
          <w:szCs w:val="18"/>
        </w:rPr>
        <w:t xml:space="preserve"> </w:t>
      </w:r>
    </w:p>
  </w:footnote>
  <w:footnote w:id="19">
    <w:p w14:paraId="4E060D2C" w14:textId="486C5542" w:rsidR="00A30A7E" w:rsidRPr="00C74C83" w:rsidRDefault="00A30A7E"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UNICEF, Social Protection Budget Brief, September 2020, </w:t>
      </w:r>
      <w:hyperlink r:id="rId11" w:history="1">
        <w:r w:rsidRPr="00C74C83">
          <w:rPr>
            <w:rStyle w:val="Hyperlink"/>
            <w:rFonts w:asciiTheme="minorHAnsi" w:hAnsiTheme="minorHAnsi" w:cstheme="minorHAnsi"/>
            <w:sz w:val="18"/>
            <w:szCs w:val="18"/>
          </w:rPr>
          <w:t>https://www.unicef.org/nepal/media/13261/file/Social%20Protection%20-%20Budget%20Brief.pdf</w:t>
        </w:r>
      </w:hyperlink>
      <w:r w:rsidRPr="00C74C83">
        <w:rPr>
          <w:rFonts w:asciiTheme="minorHAnsi" w:hAnsiTheme="minorHAnsi" w:cstheme="minorHAnsi"/>
          <w:sz w:val="18"/>
          <w:szCs w:val="18"/>
        </w:rPr>
        <w:t xml:space="preserve"> </w:t>
      </w:r>
    </w:p>
  </w:footnote>
  <w:footnote w:id="20">
    <w:p w14:paraId="52D43FC9" w14:textId="77777777"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Ugo </w:t>
      </w:r>
      <w:proofErr w:type="spellStart"/>
      <w:r w:rsidRPr="00C74C83">
        <w:rPr>
          <w:rFonts w:asciiTheme="minorHAnsi" w:hAnsiTheme="minorHAnsi" w:cstheme="minorHAnsi"/>
          <w:sz w:val="18"/>
          <w:szCs w:val="18"/>
        </w:rPr>
        <w:t>Gentilini</w:t>
      </w:r>
      <w:proofErr w:type="spellEnd"/>
      <w:r w:rsidRPr="00C74C83">
        <w:rPr>
          <w:rFonts w:asciiTheme="minorHAnsi" w:hAnsiTheme="minorHAnsi" w:cstheme="minorHAnsi"/>
          <w:sz w:val="18"/>
          <w:szCs w:val="18"/>
        </w:rPr>
        <w:t xml:space="preserve">, Mohamed </w:t>
      </w:r>
      <w:proofErr w:type="spellStart"/>
      <w:r w:rsidRPr="00C74C83">
        <w:rPr>
          <w:rFonts w:asciiTheme="minorHAnsi" w:hAnsiTheme="minorHAnsi" w:cstheme="minorHAnsi"/>
          <w:sz w:val="18"/>
          <w:szCs w:val="18"/>
        </w:rPr>
        <w:t>Almenfi</w:t>
      </w:r>
      <w:proofErr w:type="spellEnd"/>
      <w:r w:rsidRPr="00C74C83">
        <w:rPr>
          <w:rFonts w:asciiTheme="minorHAnsi" w:hAnsiTheme="minorHAnsi" w:cstheme="minorHAnsi"/>
          <w:sz w:val="18"/>
          <w:szCs w:val="18"/>
        </w:rPr>
        <w:t xml:space="preserve">, and Pamela Dale, Social Protection and Jobs Responses to COVID-19: A Real-Time Review of Country Measures, World Bank, December 11, 2020,  p 3, </w:t>
      </w:r>
      <w:hyperlink r:id="rId12" w:history="1">
        <w:r w:rsidRPr="00C74C83">
          <w:rPr>
            <w:rStyle w:val="Hyperlink"/>
            <w:rFonts w:asciiTheme="minorHAnsi" w:hAnsiTheme="minorHAnsi" w:cstheme="minorHAnsi"/>
            <w:sz w:val="18"/>
            <w:szCs w:val="18"/>
          </w:rPr>
          <w:t>https://www.worldbank.org/en/topic/socialprotection/coronavirus</w:t>
        </w:r>
      </w:hyperlink>
    </w:p>
  </w:footnote>
  <w:footnote w:id="21">
    <w:p w14:paraId="339FF170" w14:textId="77777777"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 p 398. </w:t>
      </w:r>
    </w:p>
  </w:footnote>
  <w:footnote w:id="22">
    <w:p w14:paraId="19FE335A" w14:textId="77777777"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 p 74.</w:t>
      </w:r>
    </w:p>
  </w:footnote>
  <w:footnote w:id="23">
    <w:p w14:paraId="4804B91E" w14:textId="77777777" w:rsidR="00C242F1" w:rsidRPr="00C74C83" w:rsidRDefault="00C242F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 p 259.</w:t>
      </w:r>
    </w:p>
  </w:footnote>
  <w:footnote w:id="24">
    <w:p w14:paraId="3F9BDD08" w14:textId="6E589739" w:rsidR="007E72B1" w:rsidRPr="00C74C83" w:rsidRDefault="007E72B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Human Rights Watch, “”I Must Work to Eat: Covid-19, Child Labor and Poverty in Ghana, Nepal, and Uganda,” May 26, 2021, </w:t>
      </w:r>
      <w:hyperlink r:id="rId13" w:history="1">
        <w:r w:rsidRPr="00C74C83">
          <w:rPr>
            <w:rStyle w:val="Hyperlink"/>
            <w:rFonts w:asciiTheme="minorHAnsi" w:hAnsiTheme="minorHAnsi" w:cstheme="minorHAnsi"/>
            <w:sz w:val="18"/>
            <w:szCs w:val="18"/>
          </w:rPr>
          <w:t>https://www.hrw.org/report/2021/05/26/i-must-work-eat/covid-19-poverty-and-child-labor-ghana-nepal-and-uganda</w:t>
        </w:r>
      </w:hyperlink>
    </w:p>
  </w:footnote>
  <w:footnote w:id="25">
    <w:p w14:paraId="57353CA7" w14:textId="6DF434BC" w:rsidR="007E72B1" w:rsidRPr="00C74C83" w:rsidRDefault="007E72B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w:t>
      </w:r>
    </w:p>
  </w:footnote>
  <w:footnote w:id="26">
    <w:p w14:paraId="7437582C" w14:textId="57F35935" w:rsidR="001B61D7" w:rsidRPr="00C74C83" w:rsidRDefault="001B61D7"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r w:rsidR="003975AD" w:rsidRPr="003975AD">
        <w:rPr>
          <w:rFonts w:asciiTheme="minorHAnsi" w:hAnsiTheme="minorHAnsi" w:cstheme="minorHAnsi"/>
          <w:sz w:val="18"/>
          <w:szCs w:val="18"/>
        </w:rPr>
        <w:t xml:space="preserve">World Bank, The State of Social Safety Nets 2018, 2018, </w:t>
      </w:r>
      <w:hyperlink r:id="rId14" w:history="1">
        <w:r w:rsidR="003975AD" w:rsidRPr="00215821">
          <w:rPr>
            <w:rStyle w:val="Hyperlink"/>
            <w:rFonts w:asciiTheme="minorHAnsi" w:hAnsiTheme="minorHAnsi" w:cstheme="minorHAnsi"/>
            <w:sz w:val="18"/>
            <w:szCs w:val="18"/>
          </w:rPr>
          <w:t>https://openknowledge.worldbank.org/bitstream/handle/10986/29115/9781464812545.pdf?sequence=5&amp;isAllowed=y</w:t>
        </w:r>
      </w:hyperlink>
      <w:r w:rsidR="003975AD">
        <w:rPr>
          <w:rFonts w:asciiTheme="minorHAnsi" w:hAnsiTheme="minorHAnsi" w:cstheme="minorHAnsi"/>
          <w:sz w:val="18"/>
          <w:szCs w:val="18"/>
        </w:rPr>
        <w:t xml:space="preserve"> </w:t>
      </w:r>
    </w:p>
  </w:footnote>
  <w:footnote w:id="27">
    <w:p w14:paraId="0A3E9699" w14:textId="60BA2E04" w:rsidR="001B61D7" w:rsidRPr="00C74C83" w:rsidRDefault="001B61D7"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r w:rsidR="003975AD">
        <w:rPr>
          <w:rFonts w:asciiTheme="minorHAnsi" w:hAnsiTheme="minorHAnsi" w:cstheme="minorHAnsi"/>
          <w:sz w:val="18"/>
          <w:szCs w:val="18"/>
        </w:rPr>
        <w:t xml:space="preserve">Ibid. </w:t>
      </w:r>
    </w:p>
  </w:footnote>
  <w:footnote w:id="28">
    <w:p w14:paraId="0101F4B7" w14:textId="77777777" w:rsidR="001B61D7" w:rsidRPr="00C74C83" w:rsidRDefault="001B61D7"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 p 17. </w:t>
      </w:r>
    </w:p>
  </w:footnote>
  <w:footnote w:id="29">
    <w:p w14:paraId="1ED8ADFB" w14:textId="041F58FB" w:rsidR="00FA6C74" w:rsidRPr="00C74C83" w:rsidRDefault="00FA6C74"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Human Rights Watch, “”I Must Work to Eat: Covid-19, Child Labor and Poverty in Ghana, Nepal, and Uganda,” May 26, 2021, </w:t>
      </w:r>
      <w:hyperlink r:id="rId15" w:history="1">
        <w:r w:rsidRPr="00C74C83">
          <w:rPr>
            <w:rStyle w:val="Hyperlink"/>
            <w:rFonts w:asciiTheme="minorHAnsi" w:hAnsiTheme="minorHAnsi" w:cstheme="minorHAnsi"/>
            <w:sz w:val="18"/>
            <w:szCs w:val="18"/>
          </w:rPr>
          <w:t>https://www.hrw.org/report/2021/05/26/i-must-work-eat/covid-19-poverty-and-child-labor-ghana-nepal-and-uganda</w:t>
        </w:r>
      </w:hyperlink>
    </w:p>
  </w:footnote>
  <w:footnote w:id="30">
    <w:p w14:paraId="7EEF5565" w14:textId="40195232" w:rsidR="00FA6C74" w:rsidRPr="00C74C83" w:rsidRDefault="00FA6C74"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Ibid. </w:t>
      </w:r>
    </w:p>
  </w:footnote>
  <w:footnote w:id="31">
    <w:p w14:paraId="715DF7BA" w14:textId="163AFE7D" w:rsidR="00351931" w:rsidRPr="00C74C83" w:rsidRDefault="0035193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OECD, “How does the US compare on child wellbeing?” factsheet, November 2017,  </w:t>
      </w:r>
      <w:hyperlink r:id="rId16" w:history="1">
        <w:r w:rsidRPr="00C74C83">
          <w:rPr>
            <w:rStyle w:val="Hyperlink"/>
            <w:rFonts w:asciiTheme="minorHAnsi" w:hAnsiTheme="minorHAnsi" w:cstheme="minorHAnsi"/>
            <w:sz w:val="18"/>
            <w:szCs w:val="18"/>
          </w:rPr>
          <w:t>https://www.oecd.org/els/family/CWBDP_Factsheet_USA.pdf</w:t>
        </w:r>
      </w:hyperlink>
      <w:r w:rsidRPr="00C74C83">
        <w:rPr>
          <w:rFonts w:asciiTheme="minorHAnsi" w:hAnsiTheme="minorHAnsi" w:cstheme="minorHAnsi"/>
          <w:sz w:val="18"/>
          <w:szCs w:val="18"/>
        </w:rPr>
        <w:t xml:space="preserve">; Human Rights Watch, “US: Failure to Pass Build Back Better Imperils Rights,” December 20, 2021,   </w:t>
      </w:r>
      <w:hyperlink r:id="rId17" w:history="1">
        <w:r w:rsidRPr="00C74C83">
          <w:rPr>
            <w:rStyle w:val="Hyperlink"/>
            <w:rFonts w:asciiTheme="minorHAnsi" w:hAnsiTheme="minorHAnsi" w:cstheme="minorHAnsi"/>
            <w:sz w:val="18"/>
            <w:szCs w:val="18"/>
          </w:rPr>
          <w:t>https://www.hrw.org/news/2021/12/20/us-failure-pass-build-back-better-act-imperils-rights</w:t>
        </w:r>
      </w:hyperlink>
      <w:r w:rsidRPr="00C74C83">
        <w:rPr>
          <w:rFonts w:asciiTheme="minorHAnsi" w:hAnsiTheme="minorHAnsi" w:cstheme="minorHAnsi"/>
          <w:sz w:val="18"/>
          <w:szCs w:val="18"/>
        </w:rPr>
        <w:t xml:space="preserve"> </w:t>
      </w:r>
    </w:p>
  </w:footnote>
  <w:footnote w:id="32">
    <w:p w14:paraId="0192155E" w14:textId="497F68F6" w:rsidR="00351931" w:rsidRPr="00C74C83" w:rsidRDefault="002906A6"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r w:rsidR="00351931" w:rsidRPr="00C74C83">
        <w:rPr>
          <w:rFonts w:asciiTheme="minorHAnsi" w:hAnsiTheme="minorHAnsi" w:cstheme="minorHAnsi"/>
          <w:sz w:val="18"/>
          <w:szCs w:val="18"/>
        </w:rPr>
        <w:t xml:space="preserve">Center for American Program, The Basic Facts About Children in Poverty, January 12, 2021,  </w:t>
      </w:r>
      <w:hyperlink r:id="rId18" w:history="1">
        <w:r w:rsidR="00351931" w:rsidRPr="00C74C83">
          <w:rPr>
            <w:rStyle w:val="Hyperlink"/>
            <w:rFonts w:asciiTheme="minorHAnsi" w:hAnsiTheme="minorHAnsi" w:cstheme="minorHAnsi"/>
            <w:sz w:val="18"/>
            <w:szCs w:val="18"/>
          </w:rPr>
          <w:t>https://www.americanprogress.org/article/basic-facts-children-poverty/</w:t>
        </w:r>
      </w:hyperlink>
      <w:r w:rsidR="00351931" w:rsidRPr="00C74C83">
        <w:rPr>
          <w:rFonts w:asciiTheme="minorHAnsi" w:hAnsiTheme="minorHAnsi" w:cstheme="minorHAnsi"/>
          <w:sz w:val="18"/>
          <w:szCs w:val="18"/>
        </w:rPr>
        <w:t xml:space="preserve"> </w:t>
      </w:r>
    </w:p>
    <w:p w14:paraId="7237A895" w14:textId="42F29ED6" w:rsidR="002906A6" w:rsidRPr="00C74C83" w:rsidRDefault="002906A6" w:rsidP="00C74C83">
      <w:pPr>
        <w:pStyle w:val="FootnoteText"/>
        <w:rPr>
          <w:rFonts w:asciiTheme="minorHAnsi" w:hAnsiTheme="minorHAnsi" w:cstheme="minorHAnsi"/>
          <w:sz w:val="18"/>
          <w:szCs w:val="18"/>
        </w:rPr>
      </w:pPr>
    </w:p>
  </w:footnote>
  <w:footnote w:id="33">
    <w:p w14:paraId="179D94AB" w14:textId="6848AF75" w:rsidR="00FF72D2" w:rsidRPr="00C74C83" w:rsidRDefault="00FF72D2" w:rsidP="00C74C83">
      <w:pPr>
        <w:pStyle w:val="Heading1"/>
        <w:shd w:val="clear" w:color="auto" w:fill="FFFFFF"/>
        <w:spacing w:after="0"/>
        <w:jc w:val="left"/>
        <w:rPr>
          <w:rFonts w:asciiTheme="minorHAnsi" w:hAnsiTheme="minorHAnsi" w:cstheme="minorHAnsi"/>
          <w:color w:val="000000"/>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Columbia University Center on Poverty and Social Policy, “</w:t>
      </w:r>
      <w:r w:rsidRPr="00C74C83">
        <w:rPr>
          <w:rFonts w:asciiTheme="minorHAnsi" w:hAnsiTheme="minorHAnsi" w:cstheme="minorHAnsi"/>
          <w:color w:val="000000"/>
          <w:sz w:val="18"/>
          <w:szCs w:val="18"/>
        </w:rPr>
        <w:t xml:space="preserve">Child poverty drops in July with the Child Tax Credit expansion,” August 2021, </w:t>
      </w:r>
      <w:hyperlink r:id="rId19" w:history="1">
        <w:r w:rsidR="00C74C83" w:rsidRPr="00C74C83">
          <w:rPr>
            <w:rStyle w:val="Hyperlink"/>
            <w:rFonts w:asciiTheme="minorHAnsi" w:hAnsiTheme="minorHAnsi" w:cstheme="minorHAnsi"/>
            <w:sz w:val="18"/>
            <w:szCs w:val="18"/>
          </w:rPr>
          <w:t>https://www.povertycenter.columbia.edu/news-internal/monthly-poverty-july-2021</w:t>
        </w:r>
      </w:hyperlink>
      <w:r w:rsidR="00C74C83" w:rsidRPr="00C74C83">
        <w:rPr>
          <w:rFonts w:asciiTheme="minorHAnsi" w:hAnsiTheme="minorHAnsi" w:cstheme="minorHAnsi"/>
          <w:color w:val="000000"/>
          <w:sz w:val="18"/>
          <w:szCs w:val="18"/>
        </w:rPr>
        <w:t xml:space="preserve"> </w:t>
      </w:r>
    </w:p>
  </w:footnote>
  <w:footnote w:id="34">
    <w:p w14:paraId="245AB36A" w14:textId="545532E7" w:rsidR="00351931" w:rsidRPr="00C74C83" w:rsidRDefault="00351931"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Leah Hamilton et al, “Employment, Financial and Well-being Effects of the 2021 Expanded Child Tax Credit,”  September 2021, Washington University in St. Louis Social Policy Institute,  </w:t>
      </w:r>
      <w:hyperlink r:id="rId20" w:history="1">
        <w:r w:rsidR="00C74C83" w:rsidRPr="00C74C83">
          <w:rPr>
            <w:rStyle w:val="Hyperlink"/>
            <w:rFonts w:asciiTheme="minorHAnsi" w:hAnsiTheme="minorHAnsi" w:cstheme="minorHAnsi"/>
            <w:sz w:val="18"/>
            <w:szCs w:val="18"/>
          </w:rPr>
          <w:t>https://cpb-us-w2.wpmucdn.com/sites.wustl.edu/dist/a/2003/files/2021/09/Wave-1-executive-summary_FINAL.pdf</w:t>
        </w:r>
      </w:hyperlink>
      <w:r w:rsidR="00C74C83" w:rsidRPr="00C74C83">
        <w:rPr>
          <w:rFonts w:asciiTheme="minorHAnsi" w:hAnsiTheme="minorHAnsi" w:cstheme="minorHAnsi"/>
          <w:sz w:val="18"/>
          <w:szCs w:val="18"/>
        </w:rPr>
        <w:t xml:space="preserve"> </w:t>
      </w:r>
    </w:p>
  </w:footnote>
  <w:footnote w:id="35">
    <w:p w14:paraId="0AFD5449" w14:textId="6FF7AD09" w:rsidR="00FF72D2" w:rsidRPr="00C74C83" w:rsidRDefault="00FF72D2"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Columbia University Center on Poverty and Social Policy, “Child Tax Credit,” </w:t>
      </w:r>
      <w:hyperlink r:id="rId21" w:history="1">
        <w:r w:rsidRPr="00C74C83">
          <w:rPr>
            <w:rStyle w:val="Hyperlink"/>
            <w:rFonts w:asciiTheme="minorHAnsi" w:hAnsiTheme="minorHAnsi" w:cstheme="minorHAnsi"/>
            <w:sz w:val="18"/>
            <w:szCs w:val="18"/>
          </w:rPr>
          <w:t>https://www.povertycenter.columbia.edu/child-tax-credit</w:t>
        </w:r>
      </w:hyperlink>
      <w:r w:rsidRPr="00C74C83">
        <w:rPr>
          <w:rFonts w:asciiTheme="minorHAnsi" w:hAnsiTheme="minorHAnsi" w:cstheme="minorHAnsi"/>
          <w:sz w:val="18"/>
          <w:szCs w:val="18"/>
        </w:rPr>
        <w:t xml:space="preserve"> </w:t>
      </w:r>
    </w:p>
  </w:footnote>
  <w:footnote w:id="36">
    <w:p w14:paraId="48BA622F" w14:textId="7463ECA3" w:rsidR="002906A6" w:rsidRPr="003975AD" w:rsidRDefault="002906A6" w:rsidP="003975AD">
      <w:pPr>
        <w:pStyle w:val="Heading1"/>
        <w:shd w:val="clear" w:color="auto" w:fill="FFFFFF"/>
        <w:spacing w:after="0"/>
        <w:jc w:val="left"/>
        <w:rPr>
          <w:rFonts w:ascii="proxima-nova" w:eastAsia="Times New Roman" w:hAnsi="proxima-nova" w:cs="Times New Roman"/>
          <w:bCs w:val="0"/>
          <w:color w:val="000000"/>
          <w:kern w:val="36"/>
          <w:sz w:val="48"/>
          <w:szCs w:val="48"/>
          <w:lang w:eastAsia="en-US"/>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w:t>
      </w:r>
      <w:r w:rsidR="003975AD" w:rsidRPr="00C74C83">
        <w:rPr>
          <w:rFonts w:asciiTheme="minorHAnsi" w:hAnsiTheme="minorHAnsi" w:cstheme="minorHAnsi"/>
          <w:sz w:val="18"/>
          <w:szCs w:val="18"/>
        </w:rPr>
        <w:t xml:space="preserve">Columbia University Center on Poverty and Social </w:t>
      </w:r>
      <w:r w:rsidR="003975AD" w:rsidRPr="003975AD">
        <w:rPr>
          <w:rFonts w:asciiTheme="minorHAnsi" w:hAnsiTheme="minorHAnsi" w:cstheme="minorHAnsi"/>
          <w:sz w:val="18"/>
          <w:szCs w:val="18"/>
        </w:rPr>
        <w:t>Policy, “</w:t>
      </w:r>
      <w:r w:rsidR="003975AD" w:rsidRPr="003975AD">
        <w:rPr>
          <w:rFonts w:asciiTheme="minorHAnsi" w:eastAsia="Times New Roman" w:hAnsiTheme="minorHAnsi" w:cstheme="minorHAnsi"/>
          <w:bCs w:val="0"/>
          <w:color w:val="000000"/>
          <w:kern w:val="36"/>
          <w:sz w:val="18"/>
          <w:szCs w:val="18"/>
          <w:lang w:eastAsia="en-US"/>
        </w:rPr>
        <w:t>Absence of Monthly Child Tax Credit Leads to 3.7 Million More Children in Poverty in January 2022,” policy brief, February 2022,</w:t>
      </w:r>
      <w:r w:rsidR="003975AD">
        <w:rPr>
          <w:rFonts w:asciiTheme="minorHAnsi" w:hAnsiTheme="minorHAnsi" w:cstheme="minorHAnsi"/>
          <w:sz w:val="18"/>
          <w:szCs w:val="18"/>
        </w:rPr>
        <w:t xml:space="preserve"> </w:t>
      </w:r>
      <w:hyperlink r:id="rId22" w:history="1">
        <w:r w:rsidR="003975AD" w:rsidRPr="00215821">
          <w:rPr>
            <w:rStyle w:val="Hyperlink"/>
            <w:rFonts w:asciiTheme="minorHAnsi" w:hAnsiTheme="minorHAnsi" w:cstheme="minorHAnsi"/>
            <w:sz w:val="18"/>
            <w:szCs w:val="18"/>
          </w:rPr>
          <w:t>https://www.povertycenter.columbia.edu/publication/monthly-poverty-january-2022</w:t>
        </w:r>
      </w:hyperlink>
      <w:r w:rsidR="003975AD">
        <w:rPr>
          <w:rFonts w:asciiTheme="minorHAnsi" w:hAnsiTheme="minorHAnsi" w:cstheme="minorHAnsi"/>
          <w:sz w:val="18"/>
          <w:szCs w:val="18"/>
        </w:rPr>
        <w:t xml:space="preserve"> </w:t>
      </w:r>
    </w:p>
  </w:footnote>
  <w:footnote w:id="37">
    <w:p w14:paraId="4E4BD7CA" w14:textId="77777777" w:rsidR="00E40BC5" w:rsidRPr="00C74C83" w:rsidRDefault="00E40BC5" w:rsidP="00C74C83">
      <w:pPr>
        <w:spacing w:after="0" w:line="240" w:lineRule="auto"/>
        <w:rPr>
          <w:rFonts w:cstheme="minorHAnsi"/>
          <w:sz w:val="18"/>
          <w:szCs w:val="18"/>
        </w:rPr>
      </w:pPr>
      <w:r w:rsidRPr="00C74C83">
        <w:rPr>
          <w:rStyle w:val="FootnoteReference"/>
          <w:rFonts w:asciiTheme="minorHAnsi" w:hAnsiTheme="minorHAnsi" w:cstheme="minorHAnsi"/>
          <w:sz w:val="18"/>
          <w:szCs w:val="18"/>
        </w:rPr>
        <w:footnoteRef/>
      </w:r>
      <w:r w:rsidRPr="00C74C83">
        <w:rPr>
          <w:rFonts w:cstheme="minorHAnsi"/>
          <w:sz w:val="18"/>
          <w:szCs w:val="18"/>
        </w:rPr>
        <w:t xml:space="preserve"> Francesca </w:t>
      </w:r>
      <w:proofErr w:type="spellStart"/>
      <w:r w:rsidRPr="00C74C83">
        <w:rPr>
          <w:rFonts w:cstheme="minorHAnsi"/>
          <w:sz w:val="18"/>
          <w:szCs w:val="18"/>
        </w:rPr>
        <w:t>Bastagli</w:t>
      </w:r>
      <w:proofErr w:type="spellEnd"/>
      <w:r w:rsidRPr="00C74C83">
        <w:rPr>
          <w:rFonts w:cstheme="minorHAnsi"/>
          <w:sz w:val="18"/>
          <w:szCs w:val="18"/>
        </w:rPr>
        <w:t>, Jessica Hagen-</w:t>
      </w:r>
      <w:proofErr w:type="spellStart"/>
      <w:r w:rsidRPr="00C74C83">
        <w:rPr>
          <w:rFonts w:cstheme="minorHAnsi"/>
          <w:sz w:val="18"/>
          <w:szCs w:val="18"/>
        </w:rPr>
        <w:t>Zanker</w:t>
      </w:r>
      <w:proofErr w:type="spellEnd"/>
      <w:r w:rsidRPr="00C74C83">
        <w:rPr>
          <w:rFonts w:cstheme="minorHAnsi"/>
          <w:sz w:val="18"/>
          <w:szCs w:val="18"/>
        </w:rPr>
        <w:t xml:space="preserve">, Luke Harman, Valentina Barca, Georgina Sturge and Tanja Schmidt, with Luca </w:t>
      </w:r>
      <w:proofErr w:type="spellStart"/>
      <w:r w:rsidRPr="00C74C83">
        <w:rPr>
          <w:rFonts w:cstheme="minorHAnsi"/>
          <w:sz w:val="18"/>
          <w:szCs w:val="18"/>
        </w:rPr>
        <w:t>Pellerano</w:t>
      </w:r>
      <w:proofErr w:type="spellEnd"/>
      <w:r w:rsidRPr="00C74C83">
        <w:rPr>
          <w:rFonts w:cstheme="minorHAnsi"/>
          <w:sz w:val="18"/>
          <w:szCs w:val="18"/>
        </w:rPr>
        <w:t xml:space="preserve">, Cash transfers: what does the evidence say? A rigorous review of </w:t>
      </w:r>
      <w:proofErr w:type="spellStart"/>
      <w:r w:rsidRPr="00C74C83">
        <w:rPr>
          <w:rFonts w:cstheme="minorHAnsi"/>
          <w:sz w:val="18"/>
          <w:szCs w:val="18"/>
        </w:rPr>
        <w:t>programme</w:t>
      </w:r>
      <w:proofErr w:type="spellEnd"/>
      <w:r w:rsidRPr="00C74C83">
        <w:rPr>
          <w:rFonts w:cstheme="minorHAnsi"/>
          <w:sz w:val="18"/>
          <w:szCs w:val="18"/>
        </w:rPr>
        <w:t xml:space="preserve"> impact and of the role of design and implementation features, Overseas Development Institute, July 2016, p 12, 99. </w:t>
      </w:r>
      <w:hyperlink r:id="rId23" w:history="1">
        <w:r w:rsidRPr="00C74C83">
          <w:rPr>
            <w:rStyle w:val="Hyperlink"/>
            <w:rFonts w:cstheme="minorHAnsi"/>
            <w:sz w:val="18"/>
            <w:szCs w:val="18"/>
          </w:rPr>
          <w:t>https://www.odi.org/sites/odi.org.uk/files/resource-documents/11316.pdf</w:t>
        </w:r>
      </w:hyperlink>
      <w:r w:rsidRPr="00C74C83">
        <w:rPr>
          <w:rFonts w:cstheme="minorHAnsi"/>
          <w:sz w:val="18"/>
          <w:szCs w:val="18"/>
        </w:rPr>
        <w:t xml:space="preserve"> </w:t>
      </w:r>
    </w:p>
  </w:footnote>
  <w:footnote w:id="38">
    <w:p w14:paraId="5BB4F907" w14:textId="6395A3CD" w:rsidR="00171956" w:rsidRPr="00171956" w:rsidRDefault="00171956">
      <w:pPr>
        <w:pStyle w:val="FootnoteText"/>
        <w:rPr>
          <w:rFonts w:asciiTheme="minorHAnsi" w:hAnsiTheme="minorHAnsi" w:cstheme="minorHAnsi"/>
          <w:sz w:val="18"/>
          <w:szCs w:val="18"/>
        </w:rPr>
      </w:pPr>
      <w:r w:rsidRPr="00171956">
        <w:rPr>
          <w:rStyle w:val="FootnoteReference"/>
          <w:rFonts w:asciiTheme="minorHAnsi" w:hAnsiTheme="minorHAnsi" w:cstheme="minorHAnsi"/>
          <w:sz w:val="18"/>
          <w:szCs w:val="18"/>
        </w:rPr>
        <w:footnoteRef/>
      </w:r>
      <w:r w:rsidRPr="00171956">
        <w:rPr>
          <w:rFonts w:asciiTheme="minorHAnsi" w:hAnsiTheme="minorHAnsi" w:cstheme="minorHAnsi"/>
          <w:sz w:val="18"/>
          <w:szCs w:val="18"/>
        </w:rPr>
        <w:t xml:space="preserve"> Human Rights Watch, “IMF/World Bank: Targeted Safety Net Programs Fall Short on Rights Protection,” April 14, 2022, </w:t>
      </w:r>
      <w:hyperlink r:id="rId24" w:history="1">
        <w:r w:rsidRPr="00171956">
          <w:rPr>
            <w:rStyle w:val="Hyperlink"/>
            <w:rFonts w:asciiTheme="minorHAnsi" w:hAnsiTheme="minorHAnsi" w:cstheme="minorHAnsi"/>
            <w:sz w:val="18"/>
            <w:szCs w:val="18"/>
          </w:rPr>
          <w:t>https://www.hrw.org/news/2022/04/14/imf/world-bank-targeted-safety-net-programs-fall-short-rights-protection</w:t>
        </w:r>
      </w:hyperlink>
    </w:p>
  </w:footnote>
  <w:footnote w:id="39">
    <w:p w14:paraId="03F4AC14" w14:textId="77777777" w:rsidR="00E40BC5" w:rsidRPr="00C74C83" w:rsidRDefault="00E40BC5"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For example, the results of a UNICEF and the Overseas Development Institute nine-country simulation found that 80 percent of households living in poverty were counted as not in fact living in poverty, while 40 percent of households not living in poverty were counted as living in poverty. See ODI/UNICEF, Universal Child Benefits: policy issues and options, 2020, p 79. </w:t>
      </w:r>
      <w:hyperlink r:id="rId25" w:history="1">
        <w:r w:rsidRPr="00C74C83">
          <w:rPr>
            <w:rStyle w:val="Hyperlink"/>
            <w:rFonts w:asciiTheme="minorHAnsi" w:hAnsiTheme="minorHAnsi" w:cstheme="minorHAnsi"/>
            <w:sz w:val="18"/>
            <w:szCs w:val="18"/>
          </w:rPr>
          <w:t>https://www.unicef.org/media/72916/file/UCB-ODI-UNICEF-Report-2020.pdf</w:t>
        </w:r>
      </w:hyperlink>
      <w:r w:rsidRPr="00C74C83">
        <w:rPr>
          <w:rFonts w:asciiTheme="minorHAnsi" w:hAnsiTheme="minorHAnsi" w:cstheme="minorHAnsi"/>
          <w:sz w:val="18"/>
          <w:szCs w:val="18"/>
        </w:rPr>
        <w:t xml:space="preserve"> </w:t>
      </w:r>
    </w:p>
  </w:footnote>
  <w:footnote w:id="40">
    <w:p w14:paraId="10640966" w14:textId="5CB56F0B" w:rsidR="00E40BC5" w:rsidRPr="00C74C83" w:rsidRDefault="00E40BC5"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ODI/UNICEF, </w:t>
      </w:r>
      <w:r w:rsidR="00F24250">
        <w:rPr>
          <w:rFonts w:asciiTheme="minorHAnsi" w:hAnsiTheme="minorHAnsi" w:cstheme="minorHAnsi"/>
          <w:sz w:val="18"/>
          <w:szCs w:val="18"/>
        </w:rPr>
        <w:t>“</w:t>
      </w:r>
      <w:r w:rsidRPr="00C74C83">
        <w:rPr>
          <w:rFonts w:asciiTheme="minorHAnsi" w:hAnsiTheme="minorHAnsi" w:cstheme="minorHAnsi"/>
          <w:sz w:val="18"/>
          <w:szCs w:val="18"/>
        </w:rPr>
        <w:t>Universal Child Benefits: policy issues and options,</w:t>
      </w:r>
      <w:r w:rsidR="00F24250">
        <w:rPr>
          <w:rFonts w:asciiTheme="minorHAnsi" w:hAnsiTheme="minorHAnsi" w:cstheme="minorHAnsi"/>
          <w:sz w:val="18"/>
          <w:szCs w:val="18"/>
        </w:rPr>
        <w:t>”</w:t>
      </w:r>
      <w:r w:rsidRPr="00C74C83">
        <w:rPr>
          <w:rFonts w:asciiTheme="minorHAnsi" w:hAnsiTheme="minorHAnsi" w:cstheme="minorHAnsi"/>
          <w:sz w:val="18"/>
          <w:szCs w:val="18"/>
        </w:rPr>
        <w:t xml:space="preserve"> 2020, p 74. </w:t>
      </w:r>
      <w:hyperlink r:id="rId26" w:history="1">
        <w:r w:rsidRPr="00C74C83">
          <w:rPr>
            <w:rStyle w:val="Hyperlink"/>
            <w:rFonts w:asciiTheme="minorHAnsi" w:hAnsiTheme="minorHAnsi" w:cstheme="minorHAnsi"/>
            <w:sz w:val="18"/>
            <w:szCs w:val="18"/>
          </w:rPr>
          <w:t>https://www.unicef.org/media/72916/file/UCB-ODI-UNICEF-Report-2020.pdf</w:t>
        </w:r>
      </w:hyperlink>
    </w:p>
  </w:footnote>
  <w:footnote w:id="41">
    <w:p w14:paraId="68C937A3" w14:textId="77777777" w:rsidR="00E40BC5" w:rsidRPr="00C74C83" w:rsidRDefault="00E40BC5" w:rsidP="00C74C83">
      <w:pPr>
        <w:pStyle w:val="FootnoteText"/>
        <w:rPr>
          <w:rFonts w:asciiTheme="minorHAnsi" w:hAnsiTheme="minorHAnsi" w:cstheme="minorHAnsi"/>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sz w:val="18"/>
          <w:szCs w:val="18"/>
        </w:rPr>
        <w:t xml:space="preserve"> ODI/UNICEF p 82</w:t>
      </w:r>
    </w:p>
  </w:footnote>
  <w:footnote w:id="42">
    <w:p w14:paraId="0A686127" w14:textId="0FA798DD" w:rsidR="00E40BC5" w:rsidRPr="00812B77" w:rsidRDefault="00E40BC5" w:rsidP="00C74C83">
      <w:pPr>
        <w:pStyle w:val="Heading1"/>
        <w:shd w:val="clear" w:color="auto" w:fill="FFFFFF"/>
        <w:spacing w:after="0"/>
        <w:jc w:val="left"/>
        <w:rPr>
          <w:rFonts w:asciiTheme="minorHAnsi" w:hAnsiTheme="minorHAnsi" w:cstheme="minorHAnsi"/>
          <w:b/>
          <w:bCs w:val="0"/>
          <w:color w:val="000000"/>
          <w:spacing w:val="-8"/>
          <w:sz w:val="18"/>
          <w:szCs w:val="18"/>
        </w:rPr>
      </w:pPr>
      <w:r w:rsidRPr="00C74C83">
        <w:rPr>
          <w:rStyle w:val="FootnoteReference"/>
          <w:rFonts w:asciiTheme="minorHAnsi" w:hAnsiTheme="minorHAnsi" w:cstheme="minorHAnsi"/>
          <w:sz w:val="18"/>
          <w:szCs w:val="18"/>
        </w:rPr>
        <w:footnoteRef/>
      </w:r>
      <w:r w:rsidRPr="00C74C83">
        <w:rPr>
          <w:rFonts w:asciiTheme="minorHAnsi" w:hAnsiTheme="minorHAnsi" w:cstheme="minorHAnsi"/>
          <w:bCs w:val="0"/>
          <w:sz w:val="18"/>
          <w:szCs w:val="18"/>
        </w:rPr>
        <w:t xml:space="preserve"> </w:t>
      </w:r>
      <w:r w:rsidR="0068196D" w:rsidRPr="00C74C83">
        <w:rPr>
          <w:rFonts w:asciiTheme="minorHAnsi" w:hAnsiTheme="minorHAnsi" w:cstheme="minorHAnsi"/>
          <w:sz w:val="18"/>
          <w:szCs w:val="18"/>
        </w:rPr>
        <w:t xml:space="preserve">ODI/UNICEF, p </w:t>
      </w:r>
      <w:r w:rsidR="0068196D">
        <w:rPr>
          <w:rFonts w:asciiTheme="minorHAnsi" w:hAnsiTheme="minorHAnsi" w:cstheme="minorHAnsi"/>
          <w:sz w:val="18"/>
          <w:szCs w:val="18"/>
        </w:rPr>
        <w:t>91</w:t>
      </w:r>
      <w:r w:rsidR="0068196D" w:rsidRPr="00C74C83">
        <w:rPr>
          <w:rFonts w:asciiTheme="minorHAnsi" w:hAnsiTheme="minorHAnsi" w:cstheme="minorHAnsi"/>
          <w:sz w:val="18"/>
          <w:szCs w:val="18"/>
        </w:rPr>
        <w:t>.</w:t>
      </w:r>
      <w:r w:rsidR="00F24250">
        <w:rPr>
          <w:rFonts w:asciiTheme="minorHAnsi" w:hAnsiTheme="minorHAnsi" w:cstheme="minorHAnsi"/>
          <w:sz w:val="18"/>
          <w:szCs w:val="18"/>
        </w:rPr>
        <w:t>;</w:t>
      </w:r>
      <w:r w:rsidR="0068196D" w:rsidRPr="00C74C83">
        <w:rPr>
          <w:rFonts w:asciiTheme="minorHAnsi" w:hAnsiTheme="minorHAnsi" w:cstheme="minorHAnsi"/>
          <w:sz w:val="18"/>
          <w:szCs w:val="18"/>
        </w:rPr>
        <w:t xml:space="preserve"> </w:t>
      </w:r>
      <w:r w:rsidR="00F24250">
        <w:rPr>
          <w:rFonts w:asciiTheme="minorHAnsi" w:hAnsiTheme="minorHAnsi" w:cstheme="minorHAnsi"/>
          <w:bCs w:val="0"/>
          <w:sz w:val="18"/>
          <w:szCs w:val="18"/>
        </w:rPr>
        <w:t>see a</w:t>
      </w:r>
      <w:r w:rsidR="0068196D">
        <w:rPr>
          <w:rFonts w:asciiTheme="minorHAnsi" w:hAnsiTheme="minorHAnsi" w:cstheme="minorHAnsi"/>
          <w:bCs w:val="0"/>
          <w:sz w:val="18"/>
          <w:szCs w:val="18"/>
        </w:rPr>
        <w:t>lso, L</w:t>
      </w:r>
      <w:r w:rsidRPr="00C74C83">
        <w:rPr>
          <w:rFonts w:asciiTheme="minorHAnsi" w:hAnsiTheme="minorHAnsi" w:cstheme="minorHAnsi"/>
          <w:bCs w:val="0"/>
          <w:sz w:val="18"/>
          <w:szCs w:val="18"/>
        </w:rPr>
        <w:t>auren Jones, Kevin Milligan, and Mark Stabile, “</w:t>
      </w:r>
      <w:r w:rsidRPr="00C74C83">
        <w:rPr>
          <w:rFonts w:asciiTheme="minorHAnsi" w:hAnsiTheme="minorHAnsi" w:cstheme="minorHAnsi"/>
          <w:bCs w:val="0"/>
          <w:color w:val="000000"/>
          <w:spacing w:val="-8"/>
          <w:sz w:val="18"/>
          <w:szCs w:val="18"/>
        </w:rPr>
        <w:t xml:space="preserve">Child Cash Benefits and Family Expenditures: Evidence from the National Child Benefit,” National Bureau of Economic Research (Canada), April 2015; </w:t>
      </w:r>
      <w:hyperlink r:id="rId27" w:history="1">
        <w:r w:rsidRPr="00C74C83">
          <w:rPr>
            <w:rStyle w:val="Hyperlink"/>
            <w:rFonts w:asciiTheme="minorHAnsi" w:hAnsiTheme="minorHAnsi" w:cstheme="minorHAnsi"/>
            <w:bCs w:val="0"/>
            <w:sz w:val="18"/>
            <w:szCs w:val="18"/>
          </w:rPr>
          <w:t>https://www.nber.org/papers/w21101</w:t>
        </w:r>
      </w:hyperlink>
      <w:r w:rsidRPr="00812B77">
        <w:rPr>
          <w:rFonts w:asciiTheme="minorHAnsi" w:hAnsiTheme="minorHAnsi" w:cstheme="minorHAnsi"/>
          <w:bCs w:val="0"/>
          <w:sz w:val="18"/>
          <w:szCs w:val="18"/>
        </w:rPr>
        <w:t xml:space="preserve"> </w:t>
      </w:r>
    </w:p>
  </w:footnote>
  <w:footnote w:id="43">
    <w:p w14:paraId="27A89B8A" w14:textId="77777777" w:rsidR="00171956" w:rsidRPr="00171956" w:rsidRDefault="00171956" w:rsidP="00171956">
      <w:pPr>
        <w:pStyle w:val="FootnoteText"/>
        <w:rPr>
          <w:rFonts w:asciiTheme="minorHAnsi" w:hAnsiTheme="minorHAnsi" w:cstheme="minorHAnsi"/>
          <w:sz w:val="18"/>
          <w:szCs w:val="18"/>
        </w:rPr>
      </w:pPr>
      <w:r>
        <w:rPr>
          <w:rStyle w:val="FootnoteReference"/>
        </w:rPr>
        <w:footnoteRef/>
      </w:r>
      <w:r>
        <w:t xml:space="preserve"> </w:t>
      </w:r>
      <w:r w:rsidRPr="00171956">
        <w:rPr>
          <w:rFonts w:asciiTheme="minorHAnsi" w:hAnsiTheme="minorHAnsi" w:cstheme="minorHAnsi"/>
          <w:sz w:val="18"/>
          <w:szCs w:val="18"/>
        </w:rPr>
        <w:t xml:space="preserve">Human Rights Watch, “IMF/World Bank: Targeted Safety Net Programs Fall Short on Rights Protection,” April 14, 2022, </w:t>
      </w:r>
      <w:hyperlink r:id="rId28" w:history="1">
        <w:r w:rsidRPr="00171956">
          <w:rPr>
            <w:rStyle w:val="Hyperlink"/>
            <w:rFonts w:asciiTheme="minorHAnsi" w:hAnsiTheme="minorHAnsi" w:cstheme="minorHAnsi"/>
            <w:sz w:val="18"/>
            <w:szCs w:val="18"/>
          </w:rPr>
          <w:t>https://www.hrw.org/news/2022/04/14/imf/world-bank-targeted-safety-net-programs-fall-short-rights-protection</w:t>
        </w:r>
      </w:hyperlink>
    </w:p>
    <w:p w14:paraId="3B690479" w14:textId="0A63C538" w:rsidR="00171956" w:rsidRDefault="001719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0EB"/>
    <w:multiLevelType w:val="hybridMultilevel"/>
    <w:tmpl w:val="B4F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71325"/>
    <w:multiLevelType w:val="hybridMultilevel"/>
    <w:tmpl w:val="DD407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40119"/>
    <w:multiLevelType w:val="hybridMultilevel"/>
    <w:tmpl w:val="8AE03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881">
    <w:abstractNumId w:val="1"/>
  </w:num>
  <w:num w:numId="2" w16cid:durableId="1644000568">
    <w:abstractNumId w:val="2"/>
  </w:num>
  <w:num w:numId="3" w16cid:durableId="196511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0F"/>
    <w:rsid w:val="00012A3D"/>
    <w:rsid w:val="0002219B"/>
    <w:rsid w:val="000368DC"/>
    <w:rsid w:val="00044878"/>
    <w:rsid w:val="0004778F"/>
    <w:rsid w:val="00053BAA"/>
    <w:rsid w:val="00057A5A"/>
    <w:rsid w:val="00060226"/>
    <w:rsid w:val="00067C5E"/>
    <w:rsid w:val="00076A26"/>
    <w:rsid w:val="0008636E"/>
    <w:rsid w:val="0008754B"/>
    <w:rsid w:val="000944A5"/>
    <w:rsid w:val="0009569C"/>
    <w:rsid w:val="000A2E86"/>
    <w:rsid w:val="000A4D41"/>
    <w:rsid w:val="000B1A21"/>
    <w:rsid w:val="000C2FFA"/>
    <w:rsid w:val="000D1154"/>
    <w:rsid w:val="000E73BC"/>
    <w:rsid w:val="000F2EC0"/>
    <w:rsid w:val="00110DE5"/>
    <w:rsid w:val="001166CE"/>
    <w:rsid w:val="00122395"/>
    <w:rsid w:val="0012369E"/>
    <w:rsid w:val="00136926"/>
    <w:rsid w:val="001519FA"/>
    <w:rsid w:val="00152ACA"/>
    <w:rsid w:val="00162141"/>
    <w:rsid w:val="00165D97"/>
    <w:rsid w:val="00165EC1"/>
    <w:rsid w:val="00171956"/>
    <w:rsid w:val="00172CF9"/>
    <w:rsid w:val="00180BB7"/>
    <w:rsid w:val="001830D0"/>
    <w:rsid w:val="00183B31"/>
    <w:rsid w:val="00184752"/>
    <w:rsid w:val="00193EB7"/>
    <w:rsid w:val="001A100C"/>
    <w:rsid w:val="001B534E"/>
    <w:rsid w:val="001B61D7"/>
    <w:rsid w:val="001C7F8E"/>
    <w:rsid w:val="001D3157"/>
    <w:rsid w:val="001D7BAD"/>
    <w:rsid w:val="001F3C52"/>
    <w:rsid w:val="00203274"/>
    <w:rsid w:val="00215069"/>
    <w:rsid w:val="002161CD"/>
    <w:rsid w:val="002209B8"/>
    <w:rsid w:val="002236DD"/>
    <w:rsid w:val="00224ED0"/>
    <w:rsid w:val="00233C16"/>
    <w:rsid w:val="00240F30"/>
    <w:rsid w:val="0026206B"/>
    <w:rsid w:val="00266417"/>
    <w:rsid w:val="00266EFF"/>
    <w:rsid w:val="00277302"/>
    <w:rsid w:val="002906A6"/>
    <w:rsid w:val="002B1B47"/>
    <w:rsid w:val="002B2E02"/>
    <w:rsid w:val="002B330F"/>
    <w:rsid w:val="002B33A4"/>
    <w:rsid w:val="002C5350"/>
    <w:rsid w:val="002C548A"/>
    <w:rsid w:val="002C629F"/>
    <w:rsid w:val="002D1BF7"/>
    <w:rsid w:val="002F008C"/>
    <w:rsid w:val="002F284A"/>
    <w:rsid w:val="00307532"/>
    <w:rsid w:val="00307EE7"/>
    <w:rsid w:val="00311279"/>
    <w:rsid w:val="00311AE0"/>
    <w:rsid w:val="00315DF6"/>
    <w:rsid w:val="00317730"/>
    <w:rsid w:val="00333470"/>
    <w:rsid w:val="00341DE4"/>
    <w:rsid w:val="0034543C"/>
    <w:rsid w:val="00351931"/>
    <w:rsid w:val="00360322"/>
    <w:rsid w:val="0036560F"/>
    <w:rsid w:val="00366656"/>
    <w:rsid w:val="00366AB8"/>
    <w:rsid w:val="00366AC2"/>
    <w:rsid w:val="00380833"/>
    <w:rsid w:val="00396DE8"/>
    <w:rsid w:val="003975AD"/>
    <w:rsid w:val="003B23FE"/>
    <w:rsid w:val="003B5ED5"/>
    <w:rsid w:val="003D35A9"/>
    <w:rsid w:val="003E55D4"/>
    <w:rsid w:val="003F0652"/>
    <w:rsid w:val="0040007D"/>
    <w:rsid w:val="0040169C"/>
    <w:rsid w:val="00402915"/>
    <w:rsid w:val="0040422D"/>
    <w:rsid w:val="004114D3"/>
    <w:rsid w:val="00416B0B"/>
    <w:rsid w:val="0042035B"/>
    <w:rsid w:val="00426CAE"/>
    <w:rsid w:val="00440BF3"/>
    <w:rsid w:val="00440DF8"/>
    <w:rsid w:val="004411D3"/>
    <w:rsid w:val="004575D3"/>
    <w:rsid w:val="004700AB"/>
    <w:rsid w:val="0047245B"/>
    <w:rsid w:val="00472FD2"/>
    <w:rsid w:val="004831DF"/>
    <w:rsid w:val="00485E9A"/>
    <w:rsid w:val="00487743"/>
    <w:rsid w:val="004948D3"/>
    <w:rsid w:val="004A55F5"/>
    <w:rsid w:val="004B0282"/>
    <w:rsid w:val="004B1248"/>
    <w:rsid w:val="004B422B"/>
    <w:rsid w:val="004C74FD"/>
    <w:rsid w:val="004C7759"/>
    <w:rsid w:val="004D18E2"/>
    <w:rsid w:val="004D2179"/>
    <w:rsid w:val="004D29EC"/>
    <w:rsid w:val="004D7914"/>
    <w:rsid w:val="004F0F67"/>
    <w:rsid w:val="00501444"/>
    <w:rsid w:val="005063AA"/>
    <w:rsid w:val="00511B5D"/>
    <w:rsid w:val="00523DFC"/>
    <w:rsid w:val="00531443"/>
    <w:rsid w:val="005616B7"/>
    <w:rsid w:val="0056304A"/>
    <w:rsid w:val="00566CF6"/>
    <w:rsid w:val="005678E9"/>
    <w:rsid w:val="0057671E"/>
    <w:rsid w:val="00581D10"/>
    <w:rsid w:val="00583A33"/>
    <w:rsid w:val="005850D0"/>
    <w:rsid w:val="00587601"/>
    <w:rsid w:val="00596BB4"/>
    <w:rsid w:val="005A12AD"/>
    <w:rsid w:val="005B11D1"/>
    <w:rsid w:val="005B4833"/>
    <w:rsid w:val="005B4930"/>
    <w:rsid w:val="005C4B23"/>
    <w:rsid w:val="005D14E9"/>
    <w:rsid w:val="005D521B"/>
    <w:rsid w:val="005D76D6"/>
    <w:rsid w:val="005E18BF"/>
    <w:rsid w:val="005E36D2"/>
    <w:rsid w:val="005F3237"/>
    <w:rsid w:val="005F58E6"/>
    <w:rsid w:val="0061372C"/>
    <w:rsid w:val="00614A85"/>
    <w:rsid w:val="00617A86"/>
    <w:rsid w:val="00621833"/>
    <w:rsid w:val="0065790C"/>
    <w:rsid w:val="00661ED9"/>
    <w:rsid w:val="00665A91"/>
    <w:rsid w:val="0068196D"/>
    <w:rsid w:val="00681F3C"/>
    <w:rsid w:val="006B0F62"/>
    <w:rsid w:val="006B28C1"/>
    <w:rsid w:val="006D0A5B"/>
    <w:rsid w:val="006D105E"/>
    <w:rsid w:val="006D7917"/>
    <w:rsid w:val="006E261F"/>
    <w:rsid w:val="006E33E0"/>
    <w:rsid w:val="00705B8F"/>
    <w:rsid w:val="007060C7"/>
    <w:rsid w:val="0070764A"/>
    <w:rsid w:val="00711527"/>
    <w:rsid w:val="007207B5"/>
    <w:rsid w:val="00730730"/>
    <w:rsid w:val="00754DF4"/>
    <w:rsid w:val="007600EE"/>
    <w:rsid w:val="00770984"/>
    <w:rsid w:val="007B39F4"/>
    <w:rsid w:val="007C0EF4"/>
    <w:rsid w:val="007D103D"/>
    <w:rsid w:val="007D6C62"/>
    <w:rsid w:val="007E2CD2"/>
    <w:rsid w:val="007E51F5"/>
    <w:rsid w:val="007E5E39"/>
    <w:rsid w:val="007E72B1"/>
    <w:rsid w:val="00803AA4"/>
    <w:rsid w:val="008124C8"/>
    <w:rsid w:val="0082253C"/>
    <w:rsid w:val="008225B1"/>
    <w:rsid w:val="008432F3"/>
    <w:rsid w:val="00850132"/>
    <w:rsid w:val="00852081"/>
    <w:rsid w:val="008527F4"/>
    <w:rsid w:val="008610B6"/>
    <w:rsid w:val="00861716"/>
    <w:rsid w:val="00871D09"/>
    <w:rsid w:val="0087725A"/>
    <w:rsid w:val="00890C31"/>
    <w:rsid w:val="008A5683"/>
    <w:rsid w:val="008B0E4E"/>
    <w:rsid w:val="008B5777"/>
    <w:rsid w:val="008D3605"/>
    <w:rsid w:val="008D539A"/>
    <w:rsid w:val="008E4E9D"/>
    <w:rsid w:val="008F1F31"/>
    <w:rsid w:val="008F4BC5"/>
    <w:rsid w:val="009053D8"/>
    <w:rsid w:val="00906D16"/>
    <w:rsid w:val="00907636"/>
    <w:rsid w:val="00914727"/>
    <w:rsid w:val="0092412A"/>
    <w:rsid w:val="00927FE5"/>
    <w:rsid w:val="009326B6"/>
    <w:rsid w:val="00932BD6"/>
    <w:rsid w:val="0093740A"/>
    <w:rsid w:val="009375AF"/>
    <w:rsid w:val="00942AA1"/>
    <w:rsid w:val="0096316D"/>
    <w:rsid w:val="009809CB"/>
    <w:rsid w:val="00993D91"/>
    <w:rsid w:val="009A03B9"/>
    <w:rsid w:val="009A1625"/>
    <w:rsid w:val="009A57C0"/>
    <w:rsid w:val="009A5D80"/>
    <w:rsid w:val="009A7D59"/>
    <w:rsid w:val="009C12A7"/>
    <w:rsid w:val="009C6603"/>
    <w:rsid w:val="009D233B"/>
    <w:rsid w:val="009D3F06"/>
    <w:rsid w:val="009F1A2D"/>
    <w:rsid w:val="009F2398"/>
    <w:rsid w:val="009F52A8"/>
    <w:rsid w:val="009F6804"/>
    <w:rsid w:val="00A01787"/>
    <w:rsid w:val="00A222E3"/>
    <w:rsid w:val="00A24E34"/>
    <w:rsid w:val="00A276EA"/>
    <w:rsid w:val="00A27F62"/>
    <w:rsid w:val="00A30A7E"/>
    <w:rsid w:val="00A33E11"/>
    <w:rsid w:val="00A37586"/>
    <w:rsid w:val="00A410A5"/>
    <w:rsid w:val="00A45F41"/>
    <w:rsid w:val="00A51AFD"/>
    <w:rsid w:val="00A52EA4"/>
    <w:rsid w:val="00A53831"/>
    <w:rsid w:val="00A662F8"/>
    <w:rsid w:val="00A71EC7"/>
    <w:rsid w:val="00A74AE4"/>
    <w:rsid w:val="00A85620"/>
    <w:rsid w:val="00AB18D6"/>
    <w:rsid w:val="00AB2199"/>
    <w:rsid w:val="00AB497E"/>
    <w:rsid w:val="00AD4206"/>
    <w:rsid w:val="00AE56A1"/>
    <w:rsid w:val="00AF2444"/>
    <w:rsid w:val="00AF2914"/>
    <w:rsid w:val="00B2119C"/>
    <w:rsid w:val="00B27306"/>
    <w:rsid w:val="00B37DBD"/>
    <w:rsid w:val="00B404C1"/>
    <w:rsid w:val="00B43E99"/>
    <w:rsid w:val="00B449C5"/>
    <w:rsid w:val="00B45CDA"/>
    <w:rsid w:val="00B53738"/>
    <w:rsid w:val="00B56A46"/>
    <w:rsid w:val="00B61099"/>
    <w:rsid w:val="00B678AA"/>
    <w:rsid w:val="00B67BA7"/>
    <w:rsid w:val="00B75F1F"/>
    <w:rsid w:val="00B92E38"/>
    <w:rsid w:val="00B942C2"/>
    <w:rsid w:val="00B97014"/>
    <w:rsid w:val="00BA3700"/>
    <w:rsid w:val="00BB0119"/>
    <w:rsid w:val="00BB6BF1"/>
    <w:rsid w:val="00BC792B"/>
    <w:rsid w:val="00BD2473"/>
    <w:rsid w:val="00BE7A17"/>
    <w:rsid w:val="00BF12A9"/>
    <w:rsid w:val="00BF4240"/>
    <w:rsid w:val="00BF4EB4"/>
    <w:rsid w:val="00C02C07"/>
    <w:rsid w:val="00C158CF"/>
    <w:rsid w:val="00C174EB"/>
    <w:rsid w:val="00C237EA"/>
    <w:rsid w:val="00C242F1"/>
    <w:rsid w:val="00C2439D"/>
    <w:rsid w:val="00C2494C"/>
    <w:rsid w:val="00C415ED"/>
    <w:rsid w:val="00C42A3E"/>
    <w:rsid w:val="00C5042C"/>
    <w:rsid w:val="00C538A9"/>
    <w:rsid w:val="00C5398E"/>
    <w:rsid w:val="00C576D4"/>
    <w:rsid w:val="00C664BD"/>
    <w:rsid w:val="00C74A67"/>
    <w:rsid w:val="00C74C83"/>
    <w:rsid w:val="00C92386"/>
    <w:rsid w:val="00C930ED"/>
    <w:rsid w:val="00CB15C2"/>
    <w:rsid w:val="00CB3310"/>
    <w:rsid w:val="00CB7128"/>
    <w:rsid w:val="00CC1463"/>
    <w:rsid w:val="00D04378"/>
    <w:rsid w:val="00D1186C"/>
    <w:rsid w:val="00D1740A"/>
    <w:rsid w:val="00D34D32"/>
    <w:rsid w:val="00D41BC5"/>
    <w:rsid w:val="00D63BA7"/>
    <w:rsid w:val="00D6523E"/>
    <w:rsid w:val="00D767C5"/>
    <w:rsid w:val="00D832FE"/>
    <w:rsid w:val="00DA2A94"/>
    <w:rsid w:val="00DA3D08"/>
    <w:rsid w:val="00DA75A5"/>
    <w:rsid w:val="00DB6AA6"/>
    <w:rsid w:val="00DB79CA"/>
    <w:rsid w:val="00DC42C1"/>
    <w:rsid w:val="00DD28CB"/>
    <w:rsid w:val="00DD69FE"/>
    <w:rsid w:val="00DE7A75"/>
    <w:rsid w:val="00DF1DE8"/>
    <w:rsid w:val="00DF6439"/>
    <w:rsid w:val="00E0459F"/>
    <w:rsid w:val="00E27852"/>
    <w:rsid w:val="00E34815"/>
    <w:rsid w:val="00E40BC5"/>
    <w:rsid w:val="00E4408F"/>
    <w:rsid w:val="00E508B4"/>
    <w:rsid w:val="00E719B3"/>
    <w:rsid w:val="00E777C5"/>
    <w:rsid w:val="00E80D84"/>
    <w:rsid w:val="00E84815"/>
    <w:rsid w:val="00E95AD3"/>
    <w:rsid w:val="00E974CE"/>
    <w:rsid w:val="00EB53E9"/>
    <w:rsid w:val="00EB5EEF"/>
    <w:rsid w:val="00EB7D3C"/>
    <w:rsid w:val="00EC5B64"/>
    <w:rsid w:val="00EE10E8"/>
    <w:rsid w:val="00EE3F9A"/>
    <w:rsid w:val="00EE7F1A"/>
    <w:rsid w:val="00EF15ED"/>
    <w:rsid w:val="00EF3A19"/>
    <w:rsid w:val="00F214AF"/>
    <w:rsid w:val="00F24250"/>
    <w:rsid w:val="00F27DC8"/>
    <w:rsid w:val="00F34287"/>
    <w:rsid w:val="00F37C17"/>
    <w:rsid w:val="00F42028"/>
    <w:rsid w:val="00F52E1B"/>
    <w:rsid w:val="00F532DD"/>
    <w:rsid w:val="00F6288F"/>
    <w:rsid w:val="00F75C14"/>
    <w:rsid w:val="00F959F9"/>
    <w:rsid w:val="00FA077D"/>
    <w:rsid w:val="00FA6C74"/>
    <w:rsid w:val="00FB1A99"/>
    <w:rsid w:val="00FB1C9B"/>
    <w:rsid w:val="00FC083A"/>
    <w:rsid w:val="00FD4009"/>
    <w:rsid w:val="00FF1970"/>
    <w:rsid w:val="00FF2DA6"/>
    <w:rsid w:val="00FF72D2"/>
    <w:rsid w:val="05359A4F"/>
    <w:rsid w:val="0C96CA33"/>
    <w:rsid w:val="1554A3BC"/>
    <w:rsid w:val="3F121043"/>
    <w:rsid w:val="555F962C"/>
    <w:rsid w:val="641CDA55"/>
    <w:rsid w:val="753E1FE3"/>
    <w:rsid w:val="7D119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7F68"/>
  <w15:chartTrackingRefBased/>
  <w15:docId w15:val="{EAD7D128-223A-4439-8B1C-D4233B9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1D7"/>
    <w:pPr>
      <w:spacing w:after="60" w:line="240" w:lineRule="auto"/>
      <w:jc w:val="center"/>
      <w:outlineLvl w:val="0"/>
    </w:pPr>
    <w:rPr>
      <w:rFonts w:ascii="MetaPro-Bold" w:eastAsia="Arial Unicode MS" w:hAnsi="MetaPro-Bold" w:cs="SeriaArabic-Bold"/>
      <w:bCs/>
      <w:sz w:val="34"/>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F12A9"/>
    <w:rPr>
      <w:rFonts w:ascii="MetaPro-Medi" w:hAnsi="MetaPro-Medi"/>
      <w:sz w:val="22"/>
      <w:vertAlign w:val="superscript"/>
    </w:rPr>
  </w:style>
  <w:style w:type="paragraph" w:styleId="NoSpacing">
    <w:name w:val="No Spacing"/>
    <w:uiPriority w:val="1"/>
    <w:qFormat/>
    <w:rsid w:val="002B330F"/>
    <w:pPr>
      <w:spacing w:after="0" w:line="240" w:lineRule="auto"/>
    </w:pPr>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unhideWhenUsed/>
    <w:rsid w:val="007E51F5"/>
    <w:pPr>
      <w:spacing w:after="0" w:line="240" w:lineRule="auto"/>
    </w:pPr>
    <w:rPr>
      <w:rFonts w:ascii="MetaPro-Norm" w:hAnsi="MetaPro-Norm"/>
      <w:sz w:val="16"/>
      <w:szCs w:val="20"/>
    </w:rPr>
  </w:style>
  <w:style w:type="character" w:customStyle="1" w:styleId="FootnoteTextChar">
    <w:name w:val="Footnote Text Char"/>
    <w:basedOn w:val="DefaultParagraphFont"/>
    <w:link w:val="FootnoteText"/>
    <w:uiPriority w:val="99"/>
    <w:rsid w:val="007E51F5"/>
    <w:rPr>
      <w:rFonts w:ascii="MetaPro-Norm" w:hAnsi="MetaPro-Norm"/>
      <w:sz w:val="16"/>
      <w:szCs w:val="20"/>
    </w:rPr>
  </w:style>
  <w:style w:type="character" w:styleId="Hyperlink">
    <w:name w:val="Hyperlink"/>
    <w:basedOn w:val="DefaultParagraphFont"/>
    <w:uiPriority w:val="99"/>
    <w:unhideWhenUsed/>
    <w:rsid w:val="00C174EB"/>
    <w:rPr>
      <w:color w:val="0563C1" w:themeColor="hyperlink"/>
      <w:u w:val="single"/>
    </w:rPr>
  </w:style>
  <w:style w:type="character" w:styleId="UnresolvedMention">
    <w:name w:val="Unresolved Mention"/>
    <w:basedOn w:val="DefaultParagraphFont"/>
    <w:uiPriority w:val="99"/>
    <w:semiHidden/>
    <w:unhideWhenUsed/>
    <w:rsid w:val="00C174EB"/>
    <w:rPr>
      <w:color w:val="605E5C"/>
      <w:shd w:val="clear" w:color="auto" w:fill="E1DFDD"/>
    </w:rPr>
  </w:style>
  <w:style w:type="paragraph" w:styleId="Header">
    <w:name w:val="header"/>
    <w:basedOn w:val="Normal"/>
    <w:link w:val="HeaderChar"/>
    <w:uiPriority w:val="99"/>
    <w:unhideWhenUsed/>
    <w:rsid w:val="0085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81"/>
  </w:style>
  <w:style w:type="paragraph" w:styleId="Footer">
    <w:name w:val="footer"/>
    <w:basedOn w:val="Normal"/>
    <w:link w:val="FooterChar"/>
    <w:uiPriority w:val="99"/>
    <w:unhideWhenUsed/>
    <w:rsid w:val="0085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81"/>
  </w:style>
  <w:style w:type="paragraph" w:styleId="ListParagraph">
    <w:name w:val="List Paragraph"/>
    <w:basedOn w:val="Normal"/>
    <w:uiPriority w:val="34"/>
    <w:qFormat/>
    <w:rsid w:val="004C74FD"/>
    <w:pPr>
      <w:ind w:left="720"/>
      <w:contextualSpacing/>
    </w:pPr>
  </w:style>
  <w:style w:type="character" w:customStyle="1" w:styleId="Heading1Char">
    <w:name w:val="Heading 1 Char"/>
    <w:basedOn w:val="DefaultParagraphFont"/>
    <w:link w:val="Heading1"/>
    <w:uiPriority w:val="9"/>
    <w:rsid w:val="001B61D7"/>
    <w:rPr>
      <w:rFonts w:ascii="MetaPro-Bold" w:eastAsia="Arial Unicode MS" w:hAnsi="MetaPro-Bold" w:cs="SeriaArabic-Bold"/>
      <w:bCs/>
      <w:sz w:val="34"/>
      <w:szCs w:val="36"/>
      <w:lang w:eastAsia="zh-CN"/>
    </w:rPr>
  </w:style>
  <w:style w:type="paragraph" w:styleId="NormalWeb">
    <w:name w:val="Normal (Web)"/>
    <w:basedOn w:val="Normal"/>
    <w:uiPriority w:val="99"/>
    <w:unhideWhenUsed/>
    <w:rsid w:val="00BD24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78AA"/>
    <w:rPr>
      <w:color w:val="954F72" w:themeColor="followedHyperlink"/>
      <w:u w:val="single"/>
    </w:rPr>
  </w:style>
  <w:style w:type="character" w:styleId="CommentReference">
    <w:name w:val="annotation reference"/>
    <w:basedOn w:val="DefaultParagraphFont"/>
    <w:uiPriority w:val="99"/>
    <w:semiHidden/>
    <w:unhideWhenUsed/>
    <w:rsid w:val="00402915"/>
    <w:rPr>
      <w:sz w:val="16"/>
      <w:szCs w:val="16"/>
    </w:rPr>
  </w:style>
  <w:style w:type="paragraph" w:styleId="CommentText">
    <w:name w:val="annotation text"/>
    <w:basedOn w:val="Normal"/>
    <w:link w:val="CommentTextChar"/>
    <w:uiPriority w:val="99"/>
    <w:semiHidden/>
    <w:unhideWhenUsed/>
    <w:rsid w:val="00402915"/>
    <w:pPr>
      <w:spacing w:line="240" w:lineRule="auto"/>
    </w:pPr>
    <w:rPr>
      <w:sz w:val="20"/>
      <w:szCs w:val="20"/>
    </w:rPr>
  </w:style>
  <w:style w:type="character" w:customStyle="1" w:styleId="CommentTextChar">
    <w:name w:val="Comment Text Char"/>
    <w:basedOn w:val="DefaultParagraphFont"/>
    <w:link w:val="CommentText"/>
    <w:uiPriority w:val="99"/>
    <w:semiHidden/>
    <w:rsid w:val="00402915"/>
    <w:rPr>
      <w:sz w:val="20"/>
      <w:szCs w:val="20"/>
    </w:rPr>
  </w:style>
  <w:style w:type="paragraph" w:styleId="CommentSubject">
    <w:name w:val="annotation subject"/>
    <w:basedOn w:val="CommentText"/>
    <w:next w:val="CommentText"/>
    <w:link w:val="CommentSubjectChar"/>
    <w:uiPriority w:val="99"/>
    <w:semiHidden/>
    <w:unhideWhenUsed/>
    <w:rsid w:val="00402915"/>
    <w:rPr>
      <w:b/>
      <w:bCs/>
    </w:rPr>
  </w:style>
  <w:style w:type="character" w:customStyle="1" w:styleId="CommentSubjectChar">
    <w:name w:val="Comment Subject Char"/>
    <w:basedOn w:val="CommentTextChar"/>
    <w:link w:val="CommentSubject"/>
    <w:uiPriority w:val="99"/>
    <w:semiHidden/>
    <w:rsid w:val="00402915"/>
    <w:rPr>
      <w:b/>
      <w:bCs/>
      <w:sz w:val="20"/>
      <w:szCs w:val="20"/>
    </w:rPr>
  </w:style>
  <w:style w:type="paragraph" w:styleId="Revision">
    <w:name w:val="Revision"/>
    <w:hidden/>
    <w:uiPriority w:val="99"/>
    <w:semiHidden/>
    <w:rsid w:val="00585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63">
      <w:bodyDiv w:val="1"/>
      <w:marLeft w:val="0"/>
      <w:marRight w:val="0"/>
      <w:marTop w:val="0"/>
      <w:marBottom w:val="0"/>
      <w:divBdr>
        <w:top w:val="none" w:sz="0" w:space="0" w:color="auto"/>
        <w:left w:val="none" w:sz="0" w:space="0" w:color="auto"/>
        <w:bottom w:val="none" w:sz="0" w:space="0" w:color="auto"/>
        <w:right w:val="none" w:sz="0" w:space="0" w:color="auto"/>
      </w:divBdr>
    </w:div>
    <w:div w:id="21438901">
      <w:bodyDiv w:val="1"/>
      <w:marLeft w:val="0"/>
      <w:marRight w:val="0"/>
      <w:marTop w:val="0"/>
      <w:marBottom w:val="0"/>
      <w:divBdr>
        <w:top w:val="none" w:sz="0" w:space="0" w:color="auto"/>
        <w:left w:val="none" w:sz="0" w:space="0" w:color="auto"/>
        <w:bottom w:val="none" w:sz="0" w:space="0" w:color="auto"/>
        <w:right w:val="none" w:sz="0" w:space="0" w:color="auto"/>
      </w:divBdr>
    </w:div>
    <w:div w:id="485513370">
      <w:bodyDiv w:val="1"/>
      <w:marLeft w:val="0"/>
      <w:marRight w:val="0"/>
      <w:marTop w:val="0"/>
      <w:marBottom w:val="0"/>
      <w:divBdr>
        <w:top w:val="none" w:sz="0" w:space="0" w:color="auto"/>
        <w:left w:val="none" w:sz="0" w:space="0" w:color="auto"/>
        <w:bottom w:val="none" w:sz="0" w:space="0" w:color="auto"/>
        <w:right w:val="none" w:sz="0" w:space="0" w:color="auto"/>
      </w:divBdr>
    </w:div>
    <w:div w:id="487133278">
      <w:bodyDiv w:val="1"/>
      <w:marLeft w:val="0"/>
      <w:marRight w:val="0"/>
      <w:marTop w:val="0"/>
      <w:marBottom w:val="0"/>
      <w:divBdr>
        <w:top w:val="none" w:sz="0" w:space="0" w:color="auto"/>
        <w:left w:val="none" w:sz="0" w:space="0" w:color="auto"/>
        <w:bottom w:val="none" w:sz="0" w:space="0" w:color="auto"/>
        <w:right w:val="none" w:sz="0" w:space="0" w:color="auto"/>
      </w:divBdr>
    </w:div>
    <w:div w:id="556748611">
      <w:bodyDiv w:val="1"/>
      <w:marLeft w:val="0"/>
      <w:marRight w:val="0"/>
      <w:marTop w:val="0"/>
      <w:marBottom w:val="0"/>
      <w:divBdr>
        <w:top w:val="none" w:sz="0" w:space="0" w:color="auto"/>
        <w:left w:val="none" w:sz="0" w:space="0" w:color="auto"/>
        <w:bottom w:val="none" w:sz="0" w:space="0" w:color="auto"/>
        <w:right w:val="none" w:sz="0" w:space="0" w:color="auto"/>
      </w:divBdr>
    </w:div>
    <w:div w:id="808518917">
      <w:bodyDiv w:val="1"/>
      <w:marLeft w:val="0"/>
      <w:marRight w:val="0"/>
      <w:marTop w:val="0"/>
      <w:marBottom w:val="0"/>
      <w:divBdr>
        <w:top w:val="none" w:sz="0" w:space="0" w:color="auto"/>
        <w:left w:val="none" w:sz="0" w:space="0" w:color="auto"/>
        <w:bottom w:val="none" w:sz="0" w:space="0" w:color="auto"/>
        <w:right w:val="none" w:sz="0" w:space="0" w:color="auto"/>
      </w:divBdr>
    </w:div>
    <w:div w:id="862785008">
      <w:bodyDiv w:val="1"/>
      <w:marLeft w:val="0"/>
      <w:marRight w:val="0"/>
      <w:marTop w:val="0"/>
      <w:marBottom w:val="0"/>
      <w:divBdr>
        <w:top w:val="none" w:sz="0" w:space="0" w:color="auto"/>
        <w:left w:val="none" w:sz="0" w:space="0" w:color="auto"/>
        <w:bottom w:val="none" w:sz="0" w:space="0" w:color="auto"/>
        <w:right w:val="none" w:sz="0" w:space="0" w:color="auto"/>
      </w:divBdr>
    </w:div>
    <w:div w:id="955063732">
      <w:bodyDiv w:val="1"/>
      <w:marLeft w:val="0"/>
      <w:marRight w:val="0"/>
      <w:marTop w:val="0"/>
      <w:marBottom w:val="0"/>
      <w:divBdr>
        <w:top w:val="none" w:sz="0" w:space="0" w:color="auto"/>
        <w:left w:val="none" w:sz="0" w:space="0" w:color="auto"/>
        <w:bottom w:val="none" w:sz="0" w:space="0" w:color="auto"/>
        <w:right w:val="none" w:sz="0" w:space="0" w:color="auto"/>
      </w:divBdr>
    </w:div>
    <w:div w:id="1133061077">
      <w:bodyDiv w:val="1"/>
      <w:marLeft w:val="0"/>
      <w:marRight w:val="0"/>
      <w:marTop w:val="0"/>
      <w:marBottom w:val="0"/>
      <w:divBdr>
        <w:top w:val="none" w:sz="0" w:space="0" w:color="auto"/>
        <w:left w:val="none" w:sz="0" w:space="0" w:color="auto"/>
        <w:bottom w:val="none" w:sz="0" w:space="0" w:color="auto"/>
        <w:right w:val="none" w:sz="0" w:space="0" w:color="auto"/>
      </w:divBdr>
    </w:div>
    <w:div w:id="1256093526">
      <w:bodyDiv w:val="1"/>
      <w:marLeft w:val="0"/>
      <w:marRight w:val="0"/>
      <w:marTop w:val="0"/>
      <w:marBottom w:val="0"/>
      <w:divBdr>
        <w:top w:val="none" w:sz="0" w:space="0" w:color="auto"/>
        <w:left w:val="none" w:sz="0" w:space="0" w:color="auto"/>
        <w:bottom w:val="none" w:sz="0" w:space="0" w:color="auto"/>
        <w:right w:val="none" w:sz="0" w:space="0" w:color="auto"/>
      </w:divBdr>
    </w:div>
    <w:div w:id="1322736172">
      <w:bodyDiv w:val="1"/>
      <w:marLeft w:val="0"/>
      <w:marRight w:val="0"/>
      <w:marTop w:val="0"/>
      <w:marBottom w:val="0"/>
      <w:divBdr>
        <w:top w:val="none" w:sz="0" w:space="0" w:color="auto"/>
        <w:left w:val="none" w:sz="0" w:space="0" w:color="auto"/>
        <w:bottom w:val="none" w:sz="0" w:space="0" w:color="auto"/>
        <w:right w:val="none" w:sz="0" w:space="0" w:color="auto"/>
      </w:divBdr>
    </w:div>
    <w:div w:id="1597178665">
      <w:bodyDiv w:val="1"/>
      <w:marLeft w:val="0"/>
      <w:marRight w:val="0"/>
      <w:marTop w:val="0"/>
      <w:marBottom w:val="0"/>
      <w:divBdr>
        <w:top w:val="none" w:sz="0" w:space="0" w:color="auto"/>
        <w:left w:val="none" w:sz="0" w:space="0" w:color="auto"/>
        <w:bottom w:val="none" w:sz="0" w:space="0" w:color="auto"/>
        <w:right w:val="none" w:sz="0" w:space="0" w:color="auto"/>
      </w:divBdr>
    </w:div>
    <w:div w:id="16818572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536">
          <w:marLeft w:val="0"/>
          <w:marRight w:val="0"/>
          <w:marTop w:val="0"/>
          <w:marBottom w:val="0"/>
          <w:divBdr>
            <w:top w:val="none" w:sz="0" w:space="0" w:color="auto"/>
            <w:left w:val="none" w:sz="0" w:space="0" w:color="auto"/>
            <w:bottom w:val="none" w:sz="0" w:space="0" w:color="auto"/>
            <w:right w:val="none" w:sz="0" w:space="0" w:color="auto"/>
          </w:divBdr>
        </w:div>
      </w:divsChild>
    </w:div>
    <w:div w:id="1710686221">
      <w:bodyDiv w:val="1"/>
      <w:marLeft w:val="0"/>
      <w:marRight w:val="0"/>
      <w:marTop w:val="0"/>
      <w:marBottom w:val="0"/>
      <w:divBdr>
        <w:top w:val="none" w:sz="0" w:space="0" w:color="auto"/>
        <w:left w:val="none" w:sz="0" w:space="0" w:color="auto"/>
        <w:bottom w:val="none" w:sz="0" w:space="0" w:color="auto"/>
        <w:right w:val="none" w:sz="0" w:space="0" w:color="auto"/>
      </w:divBdr>
    </w:div>
    <w:div w:id="1748959314">
      <w:bodyDiv w:val="1"/>
      <w:marLeft w:val="0"/>
      <w:marRight w:val="0"/>
      <w:marTop w:val="0"/>
      <w:marBottom w:val="0"/>
      <w:divBdr>
        <w:top w:val="none" w:sz="0" w:space="0" w:color="auto"/>
        <w:left w:val="none" w:sz="0" w:space="0" w:color="auto"/>
        <w:bottom w:val="none" w:sz="0" w:space="0" w:color="auto"/>
        <w:right w:val="none" w:sz="0" w:space="0" w:color="auto"/>
      </w:divBdr>
    </w:div>
    <w:div w:id="1834831433">
      <w:bodyDiv w:val="1"/>
      <w:marLeft w:val="0"/>
      <w:marRight w:val="0"/>
      <w:marTop w:val="0"/>
      <w:marBottom w:val="0"/>
      <w:divBdr>
        <w:top w:val="none" w:sz="0" w:space="0" w:color="auto"/>
        <w:left w:val="none" w:sz="0" w:space="0" w:color="auto"/>
        <w:bottom w:val="none" w:sz="0" w:space="0" w:color="auto"/>
        <w:right w:val="none" w:sz="0" w:space="0" w:color="auto"/>
      </w:divBdr>
    </w:div>
    <w:div w:id="1843624790">
      <w:bodyDiv w:val="1"/>
      <w:marLeft w:val="0"/>
      <w:marRight w:val="0"/>
      <w:marTop w:val="0"/>
      <w:marBottom w:val="0"/>
      <w:divBdr>
        <w:top w:val="none" w:sz="0" w:space="0" w:color="auto"/>
        <w:left w:val="none" w:sz="0" w:space="0" w:color="auto"/>
        <w:bottom w:val="none" w:sz="0" w:space="0" w:color="auto"/>
        <w:right w:val="none" w:sz="0" w:space="0" w:color="auto"/>
      </w:divBdr>
    </w:div>
    <w:div w:id="1951544766">
      <w:bodyDiv w:val="1"/>
      <w:marLeft w:val="0"/>
      <w:marRight w:val="0"/>
      <w:marTop w:val="0"/>
      <w:marBottom w:val="0"/>
      <w:divBdr>
        <w:top w:val="none" w:sz="0" w:space="0" w:color="auto"/>
        <w:left w:val="none" w:sz="0" w:space="0" w:color="auto"/>
        <w:bottom w:val="none" w:sz="0" w:space="0" w:color="auto"/>
        <w:right w:val="none" w:sz="0" w:space="0" w:color="auto"/>
      </w:divBdr>
    </w:div>
    <w:div w:id="1998916902">
      <w:bodyDiv w:val="1"/>
      <w:marLeft w:val="0"/>
      <w:marRight w:val="0"/>
      <w:marTop w:val="0"/>
      <w:marBottom w:val="0"/>
      <w:divBdr>
        <w:top w:val="none" w:sz="0" w:space="0" w:color="auto"/>
        <w:left w:val="none" w:sz="0" w:space="0" w:color="auto"/>
        <w:bottom w:val="none" w:sz="0" w:space="0" w:color="auto"/>
        <w:right w:val="none" w:sz="0" w:space="0" w:color="auto"/>
      </w:divBdr>
    </w:div>
    <w:div w:id="2072996822">
      <w:bodyDiv w:val="1"/>
      <w:marLeft w:val="0"/>
      <w:marRight w:val="0"/>
      <w:marTop w:val="0"/>
      <w:marBottom w:val="0"/>
      <w:divBdr>
        <w:top w:val="none" w:sz="0" w:space="0" w:color="auto"/>
        <w:left w:val="none" w:sz="0" w:space="0" w:color="auto"/>
        <w:bottom w:val="none" w:sz="0" w:space="0" w:color="auto"/>
        <w:right w:val="none" w:sz="0" w:space="0" w:color="auto"/>
      </w:divBdr>
    </w:div>
    <w:div w:id="21060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nepal/media/2451/file/Why%20a%20universal%20Child%20Grant%20makes%20sense%20for%20Nepal.pdf" TargetMode="External"/><Relationship Id="rId13" Type="http://schemas.openxmlformats.org/officeDocument/2006/relationships/hyperlink" Target="https://www.hrw.org/report/2021/05/26/i-must-work-eat/covid-19-poverty-and-child-labor-ghana-nepal-and-uganda" TargetMode="External"/><Relationship Id="rId18" Type="http://schemas.openxmlformats.org/officeDocument/2006/relationships/hyperlink" Target="https://www.americanprogress.org/article/basic-facts-children-poverty/" TargetMode="External"/><Relationship Id="rId26" Type="http://schemas.openxmlformats.org/officeDocument/2006/relationships/hyperlink" Target="https://www.unicef.org/media/72916/file/UCB-ODI-UNICEF-Report-2020.pdf" TargetMode="External"/><Relationship Id="rId3" Type="http://schemas.openxmlformats.org/officeDocument/2006/relationships/hyperlink" Target="https://www.gov.kz/memleket/entities/enbek/activities/192?lang=ru" TargetMode="External"/><Relationship Id="rId21" Type="http://schemas.openxmlformats.org/officeDocument/2006/relationships/hyperlink" Target="https://www.povertycenter.columbia.edu/child-tax-credit" TargetMode="External"/><Relationship Id="rId7" Type="http://schemas.openxmlformats.org/officeDocument/2006/relationships/hyperlink" Target="https://eprints.lse.ac.uk/85326/1/Garde_Mathers_Dhakal_The%20evolution.pdf" TargetMode="External"/><Relationship Id="rId12" Type="http://schemas.openxmlformats.org/officeDocument/2006/relationships/hyperlink" Target="https://www.worldbank.org/en/topic/socialprotection/coronavirus" TargetMode="External"/><Relationship Id="rId17" Type="http://schemas.openxmlformats.org/officeDocument/2006/relationships/hyperlink" Target="https://www.hrw.org/news/2021/12/20/us-failure-pass-build-back-better-act-imperils-rights" TargetMode="External"/><Relationship Id="rId25" Type="http://schemas.openxmlformats.org/officeDocument/2006/relationships/hyperlink" Target="https://www.unicef.org/media/72916/file/UCB-ODI-UNICEF-Report-2020.pdf" TargetMode="External"/><Relationship Id="rId2" Type="http://schemas.openxmlformats.org/officeDocument/2006/relationships/hyperlink" Target="https://www.hrw.org/report/2021/05/26/i-must-work-eat/covid-19-poverty-and-child-labor-ghana-nepal-and-uganda" TargetMode="External"/><Relationship Id="rId16" Type="http://schemas.openxmlformats.org/officeDocument/2006/relationships/hyperlink" Target="https://www.oecd.org/els/family/CWBDP_Factsheet_USA.pdf" TargetMode="External"/><Relationship Id="rId20" Type="http://schemas.openxmlformats.org/officeDocument/2006/relationships/hyperlink" Target="https://cpb-us-w2.wpmucdn.com/sites.wustl.edu/dist/a/2003/files/2021/09/Wave-1-executive-summary_FINAL.pdf" TargetMode="External"/><Relationship Id="rId1" Type="http://schemas.openxmlformats.org/officeDocument/2006/relationships/hyperlink" Target="https://blogs.worldbank.org/nasikiliza/economic-relief-through-social-safety-nets-during-covid-19-crisis-case-ghana" TargetMode="External"/><Relationship Id="rId6" Type="http://schemas.openxmlformats.org/officeDocument/2006/relationships/hyperlink" Target="http://www.unicef.org/kazakhstan/media/231/file" TargetMode="External"/><Relationship Id="rId11" Type="http://schemas.openxmlformats.org/officeDocument/2006/relationships/hyperlink" Target="https://www.unicef.org/nepal/media/13261/file/Social%20Protection%20-%20Budget%20Brief.pdf" TargetMode="External"/><Relationship Id="rId24" Type="http://schemas.openxmlformats.org/officeDocument/2006/relationships/hyperlink" Target="https://www.hrw.org/news/2022/04/14/imf/world-bank-targeted-safety-net-programs-fall-short-rights-protection" TargetMode="External"/><Relationship Id="rId5" Type="http://schemas.openxmlformats.org/officeDocument/2006/relationships/hyperlink" Target="https://p4ec.ru/wp-content/uploads/2019/03/UNICEF-Kazahstan-FINAL-report_05052017.pdf" TargetMode="External"/><Relationship Id="rId15" Type="http://schemas.openxmlformats.org/officeDocument/2006/relationships/hyperlink" Target="https://www.hrw.org/report/2021/05/26/i-must-work-eat/covid-19-poverty-and-child-labor-ghana-nepal-and-uganda" TargetMode="External"/><Relationship Id="rId23" Type="http://schemas.openxmlformats.org/officeDocument/2006/relationships/hyperlink" Target="https://www.odi.org/sites/odi.org.uk/files/resource-documents/11316.pdf" TargetMode="External"/><Relationship Id="rId28" Type="http://schemas.openxmlformats.org/officeDocument/2006/relationships/hyperlink" Target="https://www.hrw.org/news/2022/04/14/imf/world-bank-targeted-safety-net-programs-fall-short-rights-protection" TargetMode="External"/><Relationship Id="rId10" Type="http://schemas.openxmlformats.org/officeDocument/2006/relationships/hyperlink" Target="https://www.developmentpathways.co.uk/wp-content/uploads/2021/03/UNICEF-South-Asia-Paper-2021.pdf" TargetMode="External"/><Relationship Id="rId19" Type="http://schemas.openxmlformats.org/officeDocument/2006/relationships/hyperlink" Target="https://www.povertycenter.columbia.edu/news-internal/monthly-poverty-july-2021" TargetMode="External"/><Relationship Id="rId4" Type="http://schemas.openxmlformats.org/officeDocument/2006/relationships/hyperlink" Target="https://www.hrw.org/news/2022/10/05/kazakhstan-families-struggle-enjoy-basic-rights" TargetMode="External"/><Relationship Id="rId9" Type="http://schemas.openxmlformats.org/officeDocument/2006/relationships/hyperlink" Target="https://www.unicef.org/nepal/media/2426/file/An%20expansion%20strategy%20for%20Nepal%E2%80%99s%20Child%20Grant.pdf" TargetMode="External"/><Relationship Id="rId14" Type="http://schemas.openxmlformats.org/officeDocument/2006/relationships/hyperlink" Target="https://openknowledge.worldbank.org/bitstream/handle/10986/29115/9781464812545.pdf?sequence=5&amp;isAllowed=y" TargetMode="External"/><Relationship Id="rId22" Type="http://schemas.openxmlformats.org/officeDocument/2006/relationships/hyperlink" Target="https://www.povertycenter.columbia.edu/publication/monthly-poverty-january-2022" TargetMode="External"/><Relationship Id="rId27" Type="http://schemas.openxmlformats.org/officeDocument/2006/relationships/hyperlink" Target="https://www.nber.org/papers/w2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0414289-5007-415E-9CD4-8229BC480FD4}">
  <ds:schemaRefs>
    <ds:schemaRef ds:uri="http://schemas.openxmlformats.org/officeDocument/2006/bibliography"/>
  </ds:schemaRefs>
</ds:datastoreItem>
</file>

<file path=customXml/itemProps2.xml><?xml version="1.0" encoding="utf-8"?>
<ds:datastoreItem xmlns:ds="http://schemas.openxmlformats.org/officeDocument/2006/customXml" ds:itemID="{FAB5C6F9-9FEB-4B73-AD37-A918B1B03DBF}"/>
</file>

<file path=customXml/itemProps3.xml><?xml version="1.0" encoding="utf-8"?>
<ds:datastoreItem xmlns:ds="http://schemas.openxmlformats.org/officeDocument/2006/customXml" ds:itemID="{BD82830B-F79A-4BB0-B7FC-7004EE140392}"/>
</file>

<file path=customXml/itemProps4.xml><?xml version="1.0" encoding="utf-8"?>
<ds:datastoreItem xmlns:ds="http://schemas.openxmlformats.org/officeDocument/2006/customXml" ds:itemID="{AFDEDACE-39E6-4311-8746-37EE905F774D}"/>
</file>

<file path=docProps/app.xml><?xml version="1.0" encoding="utf-8"?>
<Properties xmlns="http://schemas.openxmlformats.org/officeDocument/2006/extended-properties" xmlns:vt="http://schemas.openxmlformats.org/officeDocument/2006/docPropsVTypes">
  <Template>Normal.dotm</Template>
  <TotalTime>3</TotalTime>
  <Pages>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 Fadel</dc:creator>
  <cp:keywords/>
  <dc:description/>
  <cp:lastModifiedBy>Jo Becker</cp:lastModifiedBy>
  <cp:revision>3</cp:revision>
  <dcterms:created xsi:type="dcterms:W3CDTF">2023-01-18T14:38:00Z</dcterms:created>
  <dcterms:modified xsi:type="dcterms:W3CDTF">2023-01-18T14:41:00Z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