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E4AA" w14:textId="77777777" w:rsidR="007C5527" w:rsidRPr="00061D43" w:rsidRDefault="007C5527" w:rsidP="007C5527">
      <w:pPr>
        <w:spacing w:line="240" w:lineRule="auto"/>
        <w:rPr>
          <w:sz w:val="2"/>
          <w:lang w:val="ca-ES"/>
        </w:rPr>
        <w:sectPr w:rsidR="007C5527" w:rsidRPr="00061D43" w:rsidSect="004516C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p>
    <w:tbl>
      <w:tblPr>
        <w:tblW w:w="9850" w:type="dxa"/>
        <w:tblLayout w:type="fixed"/>
        <w:tblCellMar>
          <w:left w:w="0" w:type="dxa"/>
          <w:right w:w="0" w:type="dxa"/>
        </w:tblCellMar>
        <w:tblLook w:val="0000" w:firstRow="0" w:lastRow="0" w:firstColumn="0" w:lastColumn="0" w:noHBand="0" w:noVBand="0"/>
      </w:tblPr>
      <w:tblGrid>
        <w:gridCol w:w="5472"/>
        <w:gridCol w:w="288"/>
        <w:gridCol w:w="4090"/>
      </w:tblGrid>
      <w:tr w:rsidR="007C5527" w:rsidRPr="00FC74AB" w14:paraId="5A0F9400" w14:textId="77777777" w:rsidTr="007C5527">
        <w:tc>
          <w:tcPr>
            <w:tcW w:w="5472" w:type="dxa"/>
            <w:shd w:val="clear" w:color="auto" w:fill="auto"/>
          </w:tcPr>
          <w:p w14:paraId="6870020E" w14:textId="4EC09F72" w:rsidR="007C5527" w:rsidRPr="00FC74AB" w:rsidRDefault="007E4E7F" w:rsidP="007E4E7F">
            <w:pPr>
              <w:pStyle w:val="Session"/>
              <w:rPr>
                <w:lang w:val="ca-ES"/>
              </w:rPr>
            </w:pPr>
            <w:r w:rsidRPr="00FC74AB">
              <w:rPr>
                <w:lang w:val="ca-ES"/>
              </w:rPr>
              <w:t>Setanta-cinquè període de sessions</w:t>
            </w:r>
          </w:p>
        </w:tc>
        <w:tc>
          <w:tcPr>
            <w:tcW w:w="288" w:type="dxa"/>
            <w:shd w:val="clear" w:color="auto" w:fill="auto"/>
          </w:tcPr>
          <w:p w14:paraId="2C0BCB0C" w14:textId="77777777" w:rsidR="007C5527" w:rsidRPr="00FC74AB" w:rsidRDefault="007C5527" w:rsidP="007C5527">
            <w:pPr>
              <w:pStyle w:val="H23"/>
              <w:rPr>
                <w:lang w:val="ca-ES"/>
              </w:rPr>
            </w:pPr>
          </w:p>
        </w:tc>
        <w:tc>
          <w:tcPr>
            <w:tcW w:w="4090" w:type="dxa"/>
            <w:shd w:val="clear" w:color="auto" w:fill="auto"/>
          </w:tcPr>
          <w:p w14:paraId="5B795DC7" w14:textId="77777777" w:rsidR="007C5527" w:rsidRPr="00FC74AB" w:rsidRDefault="007C5527" w:rsidP="007C5527">
            <w:pPr>
              <w:pStyle w:val="H23"/>
              <w:rPr>
                <w:lang w:val="ca-ES"/>
              </w:rPr>
            </w:pPr>
          </w:p>
        </w:tc>
      </w:tr>
      <w:tr w:rsidR="007C5527" w:rsidRPr="00FC74AB" w14:paraId="6F2E397B" w14:textId="77777777" w:rsidTr="007C5527">
        <w:tc>
          <w:tcPr>
            <w:tcW w:w="5472" w:type="dxa"/>
            <w:shd w:val="clear" w:color="auto" w:fill="auto"/>
          </w:tcPr>
          <w:p w14:paraId="22ADB5BE" w14:textId="3C64CF4F" w:rsidR="007C5527" w:rsidRPr="00FC74AB" w:rsidRDefault="007C5527" w:rsidP="00332CDB">
            <w:pPr>
              <w:pStyle w:val="AgendaItemNumber"/>
              <w:rPr>
                <w:lang w:val="ca-ES"/>
              </w:rPr>
            </w:pPr>
            <w:r w:rsidRPr="00FC74AB">
              <w:rPr>
                <w:lang w:val="ca-ES"/>
              </w:rPr>
              <w:t xml:space="preserve">Tema 72 </w:t>
            </w:r>
            <w:r w:rsidR="004516C5" w:rsidRPr="00FC74AB">
              <w:rPr>
                <w:lang w:val="ca-ES"/>
              </w:rPr>
              <w:t xml:space="preserve">b) </w:t>
            </w:r>
            <w:r w:rsidRPr="00FC74AB">
              <w:rPr>
                <w:lang w:val="ca-ES"/>
              </w:rPr>
              <w:t xml:space="preserve">del programa </w:t>
            </w:r>
            <w:r w:rsidR="004516C5" w:rsidRPr="00FC74AB">
              <w:rPr>
                <w:lang w:val="ca-ES"/>
              </w:rPr>
              <w:t>provisional*</w:t>
            </w:r>
          </w:p>
        </w:tc>
        <w:tc>
          <w:tcPr>
            <w:tcW w:w="288" w:type="dxa"/>
            <w:shd w:val="clear" w:color="auto" w:fill="auto"/>
          </w:tcPr>
          <w:p w14:paraId="7D220985" w14:textId="77777777" w:rsidR="007C5527" w:rsidRPr="00FC74AB" w:rsidRDefault="007C5527" w:rsidP="007C5527">
            <w:pPr>
              <w:pStyle w:val="H23"/>
              <w:rPr>
                <w:lang w:val="ca-ES"/>
              </w:rPr>
            </w:pPr>
          </w:p>
        </w:tc>
        <w:tc>
          <w:tcPr>
            <w:tcW w:w="4090" w:type="dxa"/>
            <w:shd w:val="clear" w:color="auto" w:fill="auto"/>
          </w:tcPr>
          <w:p w14:paraId="1DD428CE" w14:textId="77777777" w:rsidR="007C5527" w:rsidRPr="00FC74AB" w:rsidRDefault="007C5527" w:rsidP="007C5527">
            <w:pPr>
              <w:pStyle w:val="H23"/>
              <w:rPr>
                <w:lang w:val="ca-ES"/>
              </w:rPr>
            </w:pPr>
          </w:p>
        </w:tc>
      </w:tr>
    </w:tbl>
    <w:p w14:paraId="773E890C" w14:textId="061C23FC" w:rsidR="004516C5" w:rsidRPr="00FC74AB" w:rsidRDefault="007E4E7F" w:rsidP="00ED6A39">
      <w:pPr>
        <w:pStyle w:val="AgendaTitleH2"/>
        <w:rPr>
          <w:lang w:val="ca-ES"/>
        </w:rPr>
      </w:pPr>
      <w:r w:rsidRPr="00FC74AB">
        <w:rPr>
          <w:lang w:val="ca-ES"/>
        </w:rPr>
        <w:lastRenderedPageBreak/>
        <w:t>Promoció i protecció dels drets humans: qüestions de drets humans, inclo</w:t>
      </w:r>
      <w:r w:rsidR="00ED6A39" w:rsidRPr="00FC74AB">
        <w:rPr>
          <w:lang w:val="ca-ES"/>
        </w:rPr>
        <w:t xml:space="preserve">ent-hi </w:t>
      </w:r>
      <w:r w:rsidRPr="00FC74AB">
        <w:rPr>
          <w:lang w:val="ca-ES"/>
        </w:rPr>
        <w:t xml:space="preserve">altres mitjans </w:t>
      </w:r>
      <w:r w:rsidR="00ED6A39" w:rsidRPr="00FC74AB">
        <w:rPr>
          <w:lang w:val="ca-ES"/>
        </w:rPr>
        <w:t>p</w:t>
      </w:r>
      <w:r w:rsidRPr="00FC74AB">
        <w:rPr>
          <w:lang w:val="ca-ES"/>
        </w:rPr>
        <w:t>e</w:t>
      </w:r>
      <w:r w:rsidR="00ED6A39" w:rsidRPr="00FC74AB">
        <w:rPr>
          <w:lang w:val="ca-ES"/>
        </w:rPr>
        <w:t>r</w:t>
      </w:r>
      <w:r w:rsidRPr="00FC74AB">
        <w:rPr>
          <w:lang w:val="ca-ES"/>
        </w:rPr>
        <w:t xml:space="preserve"> millorar </w:t>
      </w:r>
      <w:r w:rsidRPr="00FC74AB">
        <w:rPr>
          <w:lang w:val="ca-ES"/>
        </w:rPr>
        <w:lastRenderedPageBreak/>
        <w:t>el gaudi efectiu dels drets humans i les llibertats fonamentals</w:t>
      </w:r>
    </w:p>
    <w:p w14:paraId="732B01E4" w14:textId="53F48110" w:rsidR="004516C5" w:rsidRPr="00FC74AB" w:rsidRDefault="004516C5" w:rsidP="004516C5">
      <w:pPr>
        <w:pStyle w:val="SingleTxt"/>
        <w:spacing w:after="0" w:line="120" w:lineRule="exact"/>
        <w:rPr>
          <w:sz w:val="10"/>
          <w:lang w:val="ca-ES"/>
        </w:rPr>
      </w:pPr>
    </w:p>
    <w:p w14:paraId="660818C1" w14:textId="4EDA8A5E" w:rsidR="004516C5" w:rsidRPr="00FC74AB" w:rsidRDefault="004516C5" w:rsidP="00332CDB">
      <w:pPr>
        <w:pStyle w:val="SingleTxt"/>
        <w:spacing w:after="0" w:line="120" w:lineRule="exact"/>
        <w:rPr>
          <w:sz w:val="10"/>
          <w:lang w:val="ca-ES"/>
        </w:rPr>
      </w:pPr>
    </w:p>
    <w:p w14:paraId="30FB203A" w14:textId="77777777" w:rsidR="00332CDB" w:rsidRPr="00FC74AB" w:rsidRDefault="00332CDB" w:rsidP="004516C5">
      <w:pPr>
        <w:pStyle w:val="SingleTxt"/>
        <w:spacing w:after="0" w:line="120" w:lineRule="exact"/>
        <w:rPr>
          <w:sz w:val="10"/>
          <w:lang w:val="ca-ES"/>
        </w:rPr>
      </w:pPr>
    </w:p>
    <w:p w14:paraId="13E27099" w14:textId="3D38F330" w:rsidR="00A032AF" w:rsidRPr="00FC74AB" w:rsidRDefault="00A032AF" w:rsidP="007E4E7F">
      <w:pPr>
        <w:pStyle w:val="TitleHCH"/>
        <w:rPr>
          <w:lang w:val="ca-ES"/>
        </w:rPr>
      </w:pPr>
      <w:r w:rsidRPr="00FC74AB">
        <w:rPr>
          <w:lang w:val="ca-ES"/>
        </w:rPr>
        <w:tab/>
      </w:r>
      <w:r w:rsidRPr="00FC74AB">
        <w:rPr>
          <w:lang w:val="ca-ES"/>
        </w:rPr>
        <w:tab/>
      </w:r>
      <w:r w:rsidR="007E4E7F" w:rsidRPr="00FC74AB">
        <w:rPr>
          <w:lang w:val="ca-ES"/>
        </w:rPr>
        <w:t>Els</w:t>
      </w:r>
      <w:r w:rsidRPr="00FC74AB">
        <w:rPr>
          <w:lang w:val="ca-ES"/>
        </w:rPr>
        <w:t xml:space="preserve"> </w:t>
      </w:r>
      <w:r w:rsidR="007E4E7F" w:rsidRPr="00FC74AB">
        <w:rPr>
          <w:lang w:val="ca-ES"/>
        </w:rPr>
        <w:t xml:space="preserve">drets humans i </w:t>
      </w:r>
      <w:r w:rsidRPr="00FC74AB">
        <w:rPr>
          <w:lang w:val="ca-ES"/>
        </w:rPr>
        <w:t xml:space="preserve">la </w:t>
      </w:r>
      <w:r w:rsidR="007E4E7F" w:rsidRPr="00FC74AB">
        <w:rPr>
          <w:lang w:val="ca-ES"/>
        </w:rPr>
        <w:t>privatització</w:t>
      </w:r>
      <w:r w:rsidRPr="00FC74AB">
        <w:rPr>
          <w:lang w:val="ca-ES"/>
        </w:rPr>
        <w:t xml:space="preserve"> </w:t>
      </w:r>
      <w:r w:rsidR="007E4E7F" w:rsidRPr="00FC74AB">
        <w:rPr>
          <w:lang w:val="ca-ES"/>
        </w:rPr>
        <w:t>dels serveis d’aigua i sanejament</w:t>
      </w:r>
    </w:p>
    <w:p w14:paraId="43711C0C" w14:textId="654DDA83" w:rsidR="00A032AF" w:rsidRPr="00FC74AB" w:rsidRDefault="00A032AF" w:rsidP="007E16DC">
      <w:pPr>
        <w:pStyle w:val="SingleTxt"/>
        <w:spacing w:after="0" w:line="120" w:lineRule="exact"/>
        <w:rPr>
          <w:sz w:val="10"/>
          <w:lang w:val="ca-ES"/>
        </w:rPr>
      </w:pPr>
    </w:p>
    <w:p w14:paraId="76C4D1D7" w14:textId="77B327C7" w:rsidR="00A032AF" w:rsidRPr="00FC74AB" w:rsidRDefault="00A032AF" w:rsidP="007E16DC">
      <w:pPr>
        <w:pStyle w:val="SingleTxt"/>
        <w:spacing w:after="0" w:line="120" w:lineRule="exact"/>
        <w:rPr>
          <w:sz w:val="10"/>
          <w:lang w:val="ca-ES"/>
        </w:rPr>
      </w:pPr>
    </w:p>
    <w:p w14:paraId="535B2E97" w14:textId="6E548A2F" w:rsidR="00A032AF" w:rsidRPr="00FC74AB" w:rsidRDefault="00A032AF" w:rsidP="007E16DC">
      <w:pPr>
        <w:pStyle w:val="TitleH1"/>
        <w:rPr>
          <w:lang w:val="ca-ES"/>
        </w:rPr>
      </w:pPr>
      <w:r w:rsidRPr="00FC74AB">
        <w:rPr>
          <w:lang w:val="ca-ES"/>
        </w:rPr>
        <w:tab/>
      </w:r>
      <w:r w:rsidRPr="00FC74AB">
        <w:rPr>
          <w:lang w:val="ca-ES"/>
        </w:rPr>
        <w:tab/>
      </w:r>
      <w:r w:rsidR="007E4E7F" w:rsidRPr="00FC74AB">
        <w:rPr>
          <w:lang w:val="ca-ES"/>
        </w:rPr>
        <w:t>Nota del Secretari</w:t>
      </w:r>
      <w:r w:rsidRPr="00FC74AB">
        <w:rPr>
          <w:lang w:val="ca-ES"/>
        </w:rPr>
        <w:t xml:space="preserve"> General</w:t>
      </w:r>
    </w:p>
    <w:p w14:paraId="02C8E4B6" w14:textId="6FFABA42" w:rsidR="00A032AF" w:rsidRPr="00FC74AB" w:rsidRDefault="00A032AF" w:rsidP="007E16DC">
      <w:pPr>
        <w:pStyle w:val="SingleTxt"/>
        <w:spacing w:after="0" w:line="120" w:lineRule="exact"/>
        <w:rPr>
          <w:sz w:val="10"/>
          <w:lang w:val="ca-ES"/>
        </w:rPr>
      </w:pPr>
    </w:p>
    <w:p w14:paraId="00C87343" w14:textId="24FA9082" w:rsidR="00A032AF" w:rsidRPr="00FC74AB" w:rsidRDefault="00A032AF" w:rsidP="007E16DC">
      <w:pPr>
        <w:pStyle w:val="SingleTxt"/>
        <w:spacing w:after="0" w:line="120" w:lineRule="exact"/>
        <w:rPr>
          <w:sz w:val="10"/>
          <w:lang w:val="ca-ES"/>
        </w:rPr>
      </w:pPr>
    </w:p>
    <w:p w14:paraId="2CA5D4AF" w14:textId="009D2F00" w:rsidR="004516C5" w:rsidRPr="00FC74AB" w:rsidRDefault="00A032AF" w:rsidP="007E4E7F">
      <w:pPr>
        <w:pStyle w:val="SingleTxt"/>
        <w:rPr>
          <w:lang w:val="ca-ES"/>
        </w:rPr>
      </w:pPr>
      <w:r w:rsidRPr="00FC74AB">
        <w:rPr>
          <w:lang w:val="ca-ES"/>
        </w:rPr>
        <w:tab/>
      </w:r>
      <w:r w:rsidR="007E4E7F" w:rsidRPr="00FC74AB">
        <w:rPr>
          <w:lang w:val="ca-ES"/>
        </w:rPr>
        <w:t>El Secretari</w:t>
      </w:r>
      <w:r w:rsidRPr="00FC74AB">
        <w:rPr>
          <w:lang w:val="ca-ES"/>
        </w:rPr>
        <w:t xml:space="preserve"> General </w:t>
      </w:r>
      <w:r w:rsidR="007E4E7F" w:rsidRPr="00FC74AB">
        <w:rPr>
          <w:lang w:val="ca-ES"/>
        </w:rPr>
        <w:t xml:space="preserve">té l'honor de transmetre a </w:t>
      </w:r>
      <w:r w:rsidR="007E4E7F" w:rsidRPr="00FC74AB">
        <w:rPr>
          <w:lang w:val="ca-ES"/>
        </w:rPr>
        <w:lastRenderedPageBreak/>
        <w:t xml:space="preserve">l'Assemblea General l'informe del Relator Especial sobre els drets humans a l'aigua potable i al sanejament, Sr. Léo Heller, </w:t>
      </w:r>
      <w:r w:rsidR="004E7C56" w:rsidRPr="00FC74AB">
        <w:rPr>
          <w:lang w:val="ca-ES"/>
        </w:rPr>
        <w:t>d’acord</w:t>
      </w:r>
      <w:r w:rsidR="007E4E7F" w:rsidRPr="00FC74AB">
        <w:rPr>
          <w:lang w:val="ca-ES"/>
        </w:rPr>
        <w:t xml:space="preserve"> amb la resolució</w:t>
      </w:r>
      <w:r w:rsidRPr="00FC74AB">
        <w:rPr>
          <w:lang w:val="ca-ES"/>
        </w:rPr>
        <w:t xml:space="preserve"> </w:t>
      </w:r>
      <w:hyperlink r:id="rId13" w:history="1">
        <w:r w:rsidRPr="00FC74AB">
          <w:rPr>
            <w:rStyle w:val="Hyperlink"/>
            <w:lang w:val="ca-ES"/>
          </w:rPr>
          <w:t>42/5</w:t>
        </w:r>
      </w:hyperlink>
      <w:r w:rsidRPr="00FC74AB">
        <w:rPr>
          <w:lang w:val="ca-ES"/>
        </w:rPr>
        <w:t xml:space="preserve"> del </w:t>
      </w:r>
      <w:r w:rsidR="007E4E7F" w:rsidRPr="00FC74AB">
        <w:rPr>
          <w:lang w:val="ca-ES"/>
        </w:rPr>
        <w:t>Consell de Drets Humans</w:t>
      </w:r>
      <w:r w:rsidRPr="00FC74AB">
        <w:rPr>
          <w:lang w:val="ca-ES"/>
        </w:rPr>
        <w:t>.</w:t>
      </w:r>
    </w:p>
    <w:p w14:paraId="25551762" w14:textId="326CB46B" w:rsidR="007C5527" w:rsidRPr="00FC74AB" w:rsidRDefault="007C5527" w:rsidP="007E16DC">
      <w:pPr>
        <w:pStyle w:val="SingleTxt"/>
        <w:rPr>
          <w:lang w:val="ca-ES"/>
        </w:rPr>
      </w:pPr>
    </w:p>
    <w:p w14:paraId="0F523781" w14:textId="6028000A" w:rsidR="00A032AF" w:rsidRPr="00FC74AB" w:rsidRDefault="00A032AF" w:rsidP="007E16DC">
      <w:pPr>
        <w:pStyle w:val="SingleTxt"/>
        <w:rPr>
          <w:lang w:val="ca-ES"/>
        </w:rPr>
      </w:pPr>
    </w:p>
    <w:p w14:paraId="61ED8A9A" w14:textId="54B21691" w:rsidR="00A401C6" w:rsidRPr="00FC74AB" w:rsidRDefault="00A401C6" w:rsidP="00A401C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ca-ES"/>
        </w:rPr>
      </w:pPr>
      <w:r w:rsidRPr="00FC74AB">
        <w:rPr>
          <w:noProof/>
          <w:w w:val="100"/>
          <w:lang w:val="en-GB" w:eastAsia="ko-KR"/>
        </w:rPr>
        <mc:AlternateContent>
          <mc:Choice Requires="wps">
            <w:drawing>
              <wp:anchor distT="0" distB="0" distL="114300" distR="114300" simplePos="0" relativeHeight="251658752" behindDoc="0" locked="0" layoutInCell="1" allowOverlap="1" wp14:anchorId="5651E0A9" wp14:editId="7BF1C0F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2029B"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FC74AB">
        <w:rPr>
          <w:spacing w:val="5"/>
          <w:w w:val="104"/>
          <w:kern w:val="14"/>
          <w:sz w:val="17"/>
          <w:szCs w:val="20"/>
          <w:lang w:val="ca-ES"/>
        </w:rPr>
        <w:tab/>
        <w:t>*</w:t>
      </w:r>
      <w:r w:rsidRPr="00FC74AB">
        <w:rPr>
          <w:spacing w:val="5"/>
          <w:w w:val="104"/>
          <w:kern w:val="14"/>
          <w:sz w:val="17"/>
          <w:szCs w:val="20"/>
          <w:lang w:val="ca-ES"/>
        </w:rPr>
        <w:tab/>
      </w:r>
      <w:hyperlink r:id="rId14" w:history="1">
        <w:r w:rsidRPr="00FC74AB">
          <w:rPr>
            <w:rStyle w:val="Hyperlink"/>
            <w:spacing w:val="5"/>
            <w:w w:val="104"/>
            <w:kern w:val="14"/>
            <w:sz w:val="17"/>
            <w:szCs w:val="20"/>
            <w:lang w:val="ca-ES"/>
          </w:rPr>
          <w:t>A/75/150</w:t>
        </w:r>
      </w:hyperlink>
      <w:r w:rsidRPr="00FC74AB">
        <w:rPr>
          <w:spacing w:val="5"/>
          <w:w w:val="104"/>
          <w:kern w:val="14"/>
          <w:sz w:val="17"/>
          <w:szCs w:val="20"/>
          <w:lang w:val="ca-ES"/>
        </w:rPr>
        <w:t>.</w:t>
      </w:r>
    </w:p>
    <w:p w14:paraId="799677F7" w14:textId="1C8533FF" w:rsidR="00A032AF" w:rsidRPr="00FC74AB" w:rsidRDefault="00A032AF" w:rsidP="007E16DC">
      <w:pPr>
        <w:spacing w:after="200" w:line="276" w:lineRule="auto"/>
        <w:rPr>
          <w:kern w:val="14"/>
          <w:lang w:val="ca-ES"/>
        </w:rPr>
      </w:pPr>
      <w:r w:rsidRPr="00FC74AB">
        <w:rPr>
          <w:lang w:val="ca-ES"/>
        </w:rPr>
        <w:br w:type="page"/>
      </w:r>
    </w:p>
    <w:p w14:paraId="5D731E36" w14:textId="4EB6A3FE" w:rsidR="007E16DC" w:rsidRPr="00FC74AB" w:rsidRDefault="007E16DC" w:rsidP="00744BA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378" w:hanging="1264"/>
        <w:rPr>
          <w:lang w:val="ca-ES"/>
        </w:rPr>
      </w:pPr>
      <w:r w:rsidRPr="00FC74AB">
        <w:rPr>
          <w:sz w:val="20"/>
          <w:lang w:val="ca-ES"/>
        </w:rPr>
        <w:lastRenderedPageBreak/>
        <w:tab/>
      </w:r>
      <w:r w:rsidRPr="00FC74AB">
        <w:rPr>
          <w:lang w:val="ca-ES"/>
        </w:rPr>
        <w:tab/>
        <w:t xml:space="preserve">Informe del Relator Especial sobre </w:t>
      </w:r>
      <w:r w:rsidR="007E4E7F" w:rsidRPr="00FC74AB">
        <w:rPr>
          <w:lang w:val="ca-ES"/>
        </w:rPr>
        <w:t>els</w:t>
      </w:r>
      <w:r w:rsidRPr="00FC74AB">
        <w:rPr>
          <w:lang w:val="ca-ES"/>
        </w:rPr>
        <w:t xml:space="preserve"> </w:t>
      </w:r>
      <w:r w:rsidR="007E4E7F" w:rsidRPr="00FC74AB">
        <w:rPr>
          <w:lang w:val="ca-ES"/>
        </w:rPr>
        <w:t>drets humans</w:t>
      </w:r>
      <w:r w:rsidRPr="00FC74AB">
        <w:rPr>
          <w:lang w:val="ca-ES"/>
        </w:rPr>
        <w:t xml:space="preserve"> </w:t>
      </w:r>
      <w:r w:rsidR="007E4E7F" w:rsidRPr="00FC74AB">
        <w:rPr>
          <w:lang w:val="ca-ES"/>
        </w:rPr>
        <w:t xml:space="preserve">a l’aigua potable i </w:t>
      </w:r>
      <w:r w:rsidRPr="00FC74AB">
        <w:rPr>
          <w:lang w:val="ca-ES"/>
        </w:rPr>
        <w:t xml:space="preserve">al </w:t>
      </w:r>
      <w:r w:rsidR="007E4E7F" w:rsidRPr="00FC74AB">
        <w:rPr>
          <w:lang w:val="ca-ES"/>
        </w:rPr>
        <w:t>sanejament</w:t>
      </w:r>
      <w:r w:rsidRPr="00FC74AB">
        <w:rPr>
          <w:lang w:val="ca-ES"/>
        </w:rPr>
        <w:t>, Sr. Léo Heller</w:t>
      </w:r>
    </w:p>
    <w:p w14:paraId="245AF5F4" w14:textId="77777777" w:rsidR="007E16DC" w:rsidRPr="00FC74AB" w:rsidRDefault="007E16DC" w:rsidP="007E16DC">
      <w:pPr>
        <w:pStyle w:val="SingleTxt"/>
        <w:spacing w:after="0" w:line="120" w:lineRule="exact"/>
        <w:rPr>
          <w:sz w:val="10"/>
          <w:lang w:val="ca-ES"/>
        </w:rPr>
      </w:pPr>
    </w:p>
    <w:p w14:paraId="509A608A" w14:textId="77777777" w:rsidR="007E16DC" w:rsidRPr="00FC74AB" w:rsidRDefault="007E16DC" w:rsidP="007E16DC">
      <w:pPr>
        <w:pStyle w:val="SingleTxt"/>
        <w:spacing w:after="0" w:line="120" w:lineRule="exact"/>
        <w:rPr>
          <w:sz w:val="10"/>
          <w:lang w:val="ca-ES"/>
        </w:rPr>
      </w:pPr>
    </w:p>
    <w:p w14:paraId="4D76723D" w14:textId="77777777" w:rsidR="007E16DC" w:rsidRPr="00FC74AB" w:rsidRDefault="007E16DC" w:rsidP="007E16DC">
      <w:pPr>
        <w:pStyle w:val="SingleTxt"/>
        <w:spacing w:after="0" w:line="120" w:lineRule="exact"/>
        <w:rPr>
          <w:sz w:val="10"/>
          <w:lang w:val="ca-ES"/>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E16DC" w:rsidRPr="00FC74AB" w14:paraId="0604AF67" w14:textId="77777777" w:rsidTr="007E16DC">
        <w:tc>
          <w:tcPr>
            <w:tcW w:w="9922" w:type="dxa"/>
            <w:tcBorders>
              <w:top w:val="single" w:sz="2" w:space="0" w:color="auto"/>
            </w:tcBorders>
          </w:tcPr>
          <w:p w14:paraId="54095B69" w14:textId="5C29BFB8" w:rsidR="007E16DC" w:rsidRPr="00FC74AB" w:rsidRDefault="007E4E7F" w:rsidP="007E16DC">
            <w:pPr>
              <w:tabs>
                <w:tab w:val="left" w:pos="240"/>
              </w:tabs>
              <w:spacing w:before="240" w:after="120"/>
              <w:rPr>
                <w:i/>
                <w:sz w:val="24"/>
                <w:lang w:val="ca-ES"/>
              </w:rPr>
            </w:pPr>
            <w:r w:rsidRPr="00FC74AB">
              <w:rPr>
                <w:i/>
                <w:sz w:val="24"/>
                <w:lang w:val="ca-ES"/>
              </w:rPr>
              <w:tab/>
              <w:t>Resum</w:t>
            </w:r>
          </w:p>
        </w:tc>
      </w:tr>
      <w:tr w:rsidR="007E16DC" w:rsidRPr="00FC74AB" w14:paraId="6187A189" w14:textId="77777777" w:rsidTr="007E16DC">
        <w:tc>
          <w:tcPr>
            <w:tcW w:w="9922" w:type="dxa"/>
          </w:tcPr>
          <w:p w14:paraId="7CC9B73D" w14:textId="0D589D43" w:rsidR="007E16DC" w:rsidRPr="00FC74AB" w:rsidRDefault="007E16DC" w:rsidP="00ED6A39">
            <w:pPr>
              <w:pStyle w:val="SingleTxt"/>
              <w:rPr>
                <w:lang w:val="ca-ES"/>
              </w:rPr>
            </w:pPr>
            <w:r w:rsidRPr="00FC74AB">
              <w:rPr>
                <w:lang w:val="ca-ES"/>
              </w:rPr>
              <w:tab/>
            </w:r>
            <w:r w:rsidR="00742774" w:rsidRPr="00FC74AB">
              <w:rPr>
                <w:lang w:val="ca-ES"/>
              </w:rPr>
              <w:t xml:space="preserve">El discurs </w:t>
            </w:r>
            <w:r w:rsidR="00ED6A39" w:rsidRPr="00FC74AB">
              <w:rPr>
                <w:lang w:val="ca-ES"/>
              </w:rPr>
              <w:t>generalitzat</w:t>
            </w:r>
            <w:r w:rsidR="00742774" w:rsidRPr="00FC74AB">
              <w:rPr>
                <w:lang w:val="ca-ES"/>
              </w:rPr>
              <w:t xml:space="preserve"> de la comunitat de drets humans sosté que els drets humans són neutrals </w:t>
            </w:r>
            <w:r w:rsidR="00B93C21" w:rsidRPr="00FC74AB">
              <w:rPr>
                <w:lang w:val="ca-ES"/>
              </w:rPr>
              <w:t>respecte del</w:t>
            </w:r>
            <w:r w:rsidR="00742774" w:rsidRPr="00FC74AB">
              <w:rPr>
                <w:lang w:val="ca-ES"/>
              </w:rPr>
              <w:t xml:space="preserve"> tipus de proveïdo</w:t>
            </w:r>
            <w:r w:rsidR="003A58C9" w:rsidRPr="00FC74AB">
              <w:rPr>
                <w:lang w:val="ca-ES"/>
              </w:rPr>
              <w:t>rs</w:t>
            </w:r>
            <w:r w:rsidR="00742774" w:rsidRPr="00FC74AB">
              <w:rPr>
                <w:lang w:val="ca-ES"/>
              </w:rPr>
              <w:t xml:space="preserve"> i </w:t>
            </w:r>
            <w:r w:rsidR="002A71EF" w:rsidRPr="00FC74AB">
              <w:rPr>
                <w:lang w:val="ca-ES"/>
              </w:rPr>
              <w:t>prestació de serveis d'aigua i s</w:t>
            </w:r>
            <w:r w:rsidR="00742774" w:rsidRPr="00FC74AB">
              <w:rPr>
                <w:lang w:val="ca-ES"/>
              </w:rPr>
              <w:t xml:space="preserve">anejament. </w:t>
            </w:r>
            <w:r w:rsidR="00B93C21" w:rsidRPr="00FC74AB">
              <w:rPr>
                <w:lang w:val="ca-ES"/>
              </w:rPr>
              <w:t xml:space="preserve">Aquest </w:t>
            </w:r>
            <w:r w:rsidR="00742774" w:rsidRPr="00FC74AB">
              <w:rPr>
                <w:lang w:val="ca-ES"/>
              </w:rPr>
              <w:t>informe s'oposa a aquest argument</w:t>
            </w:r>
            <w:r w:rsidR="003A58C9" w:rsidRPr="00FC74AB">
              <w:rPr>
                <w:lang w:val="ca-ES"/>
              </w:rPr>
              <w:t>:</w:t>
            </w:r>
            <w:r w:rsidR="00742774" w:rsidRPr="00FC74AB">
              <w:rPr>
                <w:lang w:val="ca-ES"/>
              </w:rPr>
              <w:t xml:space="preserve"> el </w:t>
            </w:r>
            <w:r w:rsidR="00066238" w:rsidRPr="00FC74AB">
              <w:rPr>
                <w:lang w:val="ca-ES"/>
              </w:rPr>
              <w:t>R</w:t>
            </w:r>
            <w:r w:rsidR="00742774" w:rsidRPr="00FC74AB">
              <w:rPr>
                <w:lang w:val="ca-ES"/>
              </w:rPr>
              <w:t xml:space="preserve">elator </w:t>
            </w:r>
            <w:r w:rsidR="00066238" w:rsidRPr="00FC74AB">
              <w:rPr>
                <w:lang w:val="ca-ES"/>
              </w:rPr>
              <w:t>E</w:t>
            </w:r>
            <w:r w:rsidR="00742774" w:rsidRPr="00FC74AB">
              <w:rPr>
                <w:lang w:val="ca-ES"/>
              </w:rPr>
              <w:t xml:space="preserve">special sobre els drets </w:t>
            </w:r>
            <w:r w:rsidR="002A71EF" w:rsidRPr="00FC74AB">
              <w:rPr>
                <w:lang w:val="ca-ES"/>
              </w:rPr>
              <w:t>humans a l</w:t>
            </w:r>
            <w:r w:rsidR="00ED6A39" w:rsidRPr="00FC74AB">
              <w:rPr>
                <w:lang w:val="ca-ES"/>
              </w:rPr>
              <w:t>’</w:t>
            </w:r>
            <w:r w:rsidR="002A71EF" w:rsidRPr="00FC74AB">
              <w:rPr>
                <w:lang w:val="ca-ES"/>
              </w:rPr>
              <w:t xml:space="preserve">aigua potable i al </w:t>
            </w:r>
            <w:r w:rsidR="00742774" w:rsidRPr="00FC74AB">
              <w:rPr>
                <w:lang w:val="ca-ES"/>
              </w:rPr>
              <w:t>sanejament, Sr. Léo Heller, parteix de la premissa que hi ha riscos específics per al gaudi del</w:t>
            </w:r>
            <w:r w:rsidR="002A71EF" w:rsidRPr="00FC74AB">
              <w:rPr>
                <w:lang w:val="ca-ES"/>
              </w:rPr>
              <w:t>s drets humans a l'aigua i al s</w:t>
            </w:r>
            <w:r w:rsidR="00742774" w:rsidRPr="00FC74AB">
              <w:rPr>
                <w:lang w:val="ca-ES"/>
              </w:rPr>
              <w:t>anejament en els casos de privati</w:t>
            </w:r>
            <w:r w:rsidR="002A71EF" w:rsidRPr="00FC74AB">
              <w:rPr>
                <w:lang w:val="ca-ES"/>
              </w:rPr>
              <w:t>tzació</w:t>
            </w:r>
            <w:r w:rsidR="00742774" w:rsidRPr="00FC74AB">
              <w:rPr>
                <w:lang w:val="ca-ES"/>
              </w:rPr>
              <w:t xml:space="preserve">, i que </w:t>
            </w:r>
            <w:r w:rsidR="002A71EF" w:rsidRPr="00FC74AB">
              <w:rPr>
                <w:lang w:val="ca-ES"/>
              </w:rPr>
              <w:t xml:space="preserve">és </w:t>
            </w:r>
            <w:r w:rsidR="003A58C9" w:rsidRPr="00FC74AB">
              <w:rPr>
                <w:lang w:val="ca-ES"/>
              </w:rPr>
              <w:t xml:space="preserve">necessari i </w:t>
            </w:r>
            <w:r w:rsidR="00742774" w:rsidRPr="00FC74AB">
              <w:rPr>
                <w:lang w:val="ca-ES"/>
              </w:rPr>
              <w:t>pertinent analitzar</w:t>
            </w:r>
            <w:r w:rsidR="00B93C21" w:rsidRPr="00FC74AB">
              <w:rPr>
                <w:lang w:val="ca-ES"/>
              </w:rPr>
              <w:t>-ne</w:t>
            </w:r>
            <w:r w:rsidR="00742774" w:rsidRPr="00FC74AB">
              <w:rPr>
                <w:lang w:val="ca-ES"/>
              </w:rPr>
              <w:t xml:space="preserve"> les dimensions jurídiques, teòriques i empíriques. El Relator Especial els examina </w:t>
            </w:r>
            <w:r w:rsidR="00ED6A39" w:rsidRPr="00FC74AB">
              <w:rPr>
                <w:lang w:val="ca-ES"/>
              </w:rPr>
              <w:t>partint d’</w:t>
            </w:r>
            <w:r w:rsidR="00742774" w:rsidRPr="00FC74AB">
              <w:rPr>
                <w:lang w:val="ca-ES"/>
              </w:rPr>
              <w:t xml:space="preserve">una combinació de tres factors relacionats amb el subministrament privat d'aigua i </w:t>
            </w:r>
            <w:r w:rsidR="002A71EF" w:rsidRPr="00FC74AB">
              <w:rPr>
                <w:lang w:val="ca-ES"/>
              </w:rPr>
              <w:t>s</w:t>
            </w:r>
            <w:r w:rsidR="00742774" w:rsidRPr="00FC74AB">
              <w:rPr>
                <w:lang w:val="ca-ES"/>
              </w:rPr>
              <w:t>anejament: la maximització dels beneficis, el monopoli natural dels serveis i els desequilibris de poder. Mitjançant aquest marc analític, identifica diferents riscos, entre ells, la no utilització del màxim de recursos disponibles, el deteriorament dels serveis, l'accés inassequible, la inobservança de la sostenibilitat, la manca de rendició de comptes i la desigualtat. També ofereix recomanacions als Estats i altres agents per abordar i mitigar els riscos identificats</w:t>
            </w:r>
            <w:r w:rsidRPr="00FC74AB">
              <w:rPr>
                <w:lang w:val="ca-ES"/>
              </w:rPr>
              <w:t>.</w:t>
            </w:r>
          </w:p>
        </w:tc>
      </w:tr>
      <w:tr w:rsidR="007E16DC" w:rsidRPr="00FC74AB" w14:paraId="3F5554B9" w14:textId="77777777" w:rsidTr="007E16DC">
        <w:tc>
          <w:tcPr>
            <w:tcW w:w="9922" w:type="dxa"/>
            <w:tcBorders>
              <w:bottom w:val="single" w:sz="2" w:space="0" w:color="auto"/>
            </w:tcBorders>
          </w:tcPr>
          <w:p w14:paraId="2B4CE0B5" w14:textId="77777777" w:rsidR="007E16DC" w:rsidRPr="00FC74AB" w:rsidRDefault="007E16DC" w:rsidP="007E16DC">
            <w:pPr>
              <w:pStyle w:val="SingleTxt"/>
              <w:rPr>
                <w:lang w:val="ca-ES"/>
              </w:rPr>
            </w:pPr>
          </w:p>
        </w:tc>
      </w:tr>
    </w:tbl>
    <w:p w14:paraId="47A0164C" w14:textId="77777777" w:rsidR="007E16DC" w:rsidRPr="00FC74AB" w:rsidRDefault="007E16DC" w:rsidP="007E16DC">
      <w:pPr>
        <w:pStyle w:val="SingleTxt"/>
        <w:rPr>
          <w:lang w:val="ca-ES"/>
        </w:rPr>
      </w:pPr>
    </w:p>
    <w:p w14:paraId="3D287B74" w14:textId="2751B39A" w:rsidR="007E16DC" w:rsidRPr="00FC74AB" w:rsidRDefault="007E16DC" w:rsidP="007E16DC">
      <w:pPr>
        <w:spacing w:after="200" w:line="276" w:lineRule="auto"/>
        <w:rPr>
          <w:kern w:val="14"/>
          <w:lang w:val="ca-ES"/>
        </w:rPr>
      </w:pPr>
      <w:r w:rsidRPr="00FC74AB">
        <w:rPr>
          <w:lang w:val="ca-ES"/>
        </w:rPr>
        <w:br w:type="page"/>
      </w:r>
    </w:p>
    <w:p w14:paraId="08AA2098" w14:textId="0DD2772D" w:rsidR="007E16DC" w:rsidRPr="00FC74AB" w:rsidRDefault="007E4E7F" w:rsidP="007E16DC">
      <w:pPr>
        <w:pStyle w:val="HCh0"/>
        <w:keepNext w:val="0"/>
        <w:keepLines w:val="0"/>
        <w:spacing w:after="120"/>
        <w:rPr>
          <w:b w:val="0"/>
          <w:lang w:val="ca-ES"/>
        </w:rPr>
      </w:pPr>
      <w:r w:rsidRPr="00FC74AB">
        <w:rPr>
          <w:b w:val="0"/>
          <w:lang w:val="ca-ES"/>
        </w:rPr>
        <w:lastRenderedPageBreak/>
        <w:t>Índex</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E16DC" w:rsidRPr="00FC74AB" w14:paraId="70E3707D" w14:textId="77777777" w:rsidTr="007E16DC">
        <w:tc>
          <w:tcPr>
            <w:tcW w:w="1060" w:type="dxa"/>
          </w:tcPr>
          <w:p w14:paraId="01B115C1" w14:textId="77777777" w:rsidR="007E16DC" w:rsidRPr="00FC74AB" w:rsidRDefault="007E16DC" w:rsidP="007E16DC">
            <w:pPr>
              <w:spacing w:after="120" w:line="240" w:lineRule="auto"/>
              <w:jc w:val="right"/>
              <w:rPr>
                <w:i/>
                <w:sz w:val="14"/>
                <w:lang w:val="ca-ES"/>
              </w:rPr>
            </w:pPr>
          </w:p>
        </w:tc>
        <w:tc>
          <w:tcPr>
            <w:tcW w:w="7315" w:type="dxa"/>
          </w:tcPr>
          <w:p w14:paraId="019C38E0" w14:textId="77777777" w:rsidR="007E16DC" w:rsidRPr="00FC74AB" w:rsidRDefault="007E16DC" w:rsidP="007E16DC">
            <w:pPr>
              <w:spacing w:after="120" w:line="240" w:lineRule="auto"/>
              <w:rPr>
                <w:i/>
                <w:sz w:val="14"/>
                <w:lang w:val="ca-ES"/>
              </w:rPr>
            </w:pPr>
          </w:p>
        </w:tc>
        <w:tc>
          <w:tcPr>
            <w:tcW w:w="994" w:type="dxa"/>
          </w:tcPr>
          <w:p w14:paraId="613E9FD9" w14:textId="77777777" w:rsidR="007E16DC" w:rsidRPr="00FC74AB" w:rsidRDefault="007E16DC" w:rsidP="007E16DC">
            <w:pPr>
              <w:spacing w:after="120" w:line="240" w:lineRule="auto"/>
              <w:jc w:val="right"/>
              <w:rPr>
                <w:i/>
                <w:sz w:val="14"/>
                <w:lang w:val="ca-ES"/>
              </w:rPr>
            </w:pPr>
          </w:p>
        </w:tc>
        <w:tc>
          <w:tcPr>
            <w:tcW w:w="533" w:type="dxa"/>
          </w:tcPr>
          <w:p w14:paraId="3A873AB1" w14:textId="1BF1D41E" w:rsidR="007E16DC" w:rsidRPr="00FC74AB" w:rsidRDefault="005B1394" w:rsidP="007E16DC">
            <w:pPr>
              <w:spacing w:after="120" w:line="240" w:lineRule="auto"/>
              <w:jc w:val="right"/>
              <w:rPr>
                <w:i/>
                <w:sz w:val="14"/>
                <w:szCs w:val="14"/>
                <w:lang w:val="ca-ES"/>
              </w:rPr>
            </w:pPr>
            <w:r w:rsidRPr="00FC74AB">
              <w:rPr>
                <w:i/>
                <w:iCs/>
                <w:sz w:val="14"/>
                <w:szCs w:val="14"/>
                <w:lang w:val="ca-ES"/>
              </w:rPr>
              <w:t>Pà</w:t>
            </w:r>
            <w:r w:rsidR="007E16DC" w:rsidRPr="00FC74AB">
              <w:rPr>
                <w:i/>
                <w:iCs/>
                <w:sz w:val="14"/>
                <w:szCs w:val="14"/>
                <w:lang w:val="ca-ES"/>
              </w:rPr>
              <w:t>gina</w:t>
            </w:r>
          </w:p>
        </w:tc>
      </w:tr>
      <w:tr w:rsidR="007E16DC" w:rsidRPr="00FC74AB" w14:paraId="36E7B1D8" w14:textId="77777777" w:rsidTr="007E16DC">
        <w:tc>
          <w:tcPr>
            <w:tcW w:w="9369" w:type="dxa"/>
            <w:gridSpan w:val="3"/>
          </w:tcPr>
          <w:p w14:paraId="605F6398" w14:textId="5759A0A1" w:rsidR="007E16DC" w:rsidRPr="00FC74AB" w:rsidRDefault="007E4E7F" w:rsidP="007E16DC">
            <w:pPr>
              <w:pStyle w:val="ListParagraph"/>
              <w:numPr>
                <w:ilvl w:val="0"/>
                <w:numId w:val="49"/>
              </w:numPr>
              <w:tabs>
                <w:tab w:val="right" w:pos="1080"/>
                <w:tab w:val="left" w:pos="1296"/>
                <w:tab w:val="left" w:pos="1728"/>
                <w:tab w:val="left" w:pos="2160"/>
                <w:tab w:val="right" w:leader="dot" w:pos="9360"/>
              </w:tabs>
              <w:spacing w:after="120"/>
              <w:rPr>
                <w:lang w:val="ca-ES"/>
              </w:rPr>
            </w:pPr>
            <w:r w:rsidRPr="00FC74AB">
              <w:rPr>
                <w:lang w:val="ca-ES"/>
              </w:rPr>
              <w:tab/>
              <w:t>Introducció</w:t>
            </w:r>
            <w:r w:rsidR="007E16DC" w:rsidRPr="00FC74AB">
              <w:rPr>
                <w:spacing w:val="60"/>
                <w:sz w:val="17"/>
                <w:lang w:val="ca-ES"/>
              </w:rPr>
              <w:tab/>
            </w:r>
          </w:p>
        </w:tc>
        <w:tc>
          <w:tcPr>
            <w:tcW w:w="533" w:type="dxa"/>
            <w:vAlign w:val="bottom"/>
          </w:tcPr>
          <w:p w14:paraId="467CA58B" w14:textId="77777777" w:rsidR="007E16DC" w:rsidRPr="00FC74AB" w:rsidRDefault="007E16DC" w:rsidP="007E16DC">
            <w:pPr>
              <w:spacing w:after="120"/>
              <w:jc w:val="right"/>
              <w:rPr>
                <w:lang w:val="ca-ES"/>
              </w:rPr>
            </w:pPr>
            <w:r w:rsidRPr="00FC74AB">
              <w:rPr>
                <w:lang w:val="ca-ES"/>
              </w:rPr>
              <w:t>4</w:t>
            </w:r>
          </w:p>
        </w:tc>
      </w:tr>
      <w:tr w:rsidR="007E16DC" w:rsidRPr="00FC74AB" w14:paraId="67B1EA5C" w14:textId="77777777" w:rsidTr="007E16DC">
        <w:tc>
          <w:tcPr>
            <w:tcW w:w="9369" w:type="dxa"/>
            <w:gridSpan w:val="3"/>
          </w:tcPr>
          <w:p w14:paraId="719E77F8" w14:textId="247414B6" w:rsidR="007E16DC" w:rsidRPr="00FC74AB" w:rsidRDefault="007E16DC" w:rsidP="007E4E7F">
            <w:pPr>
              <w:pStyle w:val="ListParagraph"/>
              <w:numPr>
                <w:ilvl w:val="0"/>
                <w:numId w:val="49"/>
              </w:numPr>
              <w:tabs>
                <w:tab w:val="right" w:pos="1080"/>
                <w:tab w:val="left" w:pos="1296"/>
                <w:tab w:val="left" w:pos="1728"/>
                <w:tab w:val="left" w:pos="2160"/>
                <w:tab w:val="right" w:leader="dot" w:pos="9360"/>
              </w:tabs>
              <w:spacing w:after="120"/>
              <w:rPr>
                <w:lang w:val="ca-ES"/>
              </w:rPr>
            </w:pPr>
            <w:r w:rsidRPr="00FC74AB">
              <w:rPr>
                <w:lang w:val="ca-ES"/>
              </w:rPr>
              <w:tab/>
              <w:t>Antecedents</w:t>
            </w:r>
            <w:r w:rsidRPr="00FC74AB">
              <w:rPr>
                <w:spacing w:val="60"/>
                <w:sz w:val="17"/>
                <w:lang w:val="ca-ES"/>
              </w:rPr>
              <w:tab/>
            </w:r>
          </w:p>
        </w:tc>
        <w:tc>
          <w:tcPr>
            <w:tcW w:w="533" w:type="dxa"/>
            <w:vAlign w:val="bottom"/>
          </w:tcPr>
          <w:p w14:paraId="676D5064" w14:textId="77777777" w:rsidR="007E16DC" w:rsidRPr="00FC74AB" w:rsidRDefault="007E16DC" w:rsidP="007E16DC">
            <w:pPr>
              <w:spacing w:after="120"/>
              <w:jc w:val="right"/>
              <w:rPr>
                <w:lang w:val="ca-ES"/>
              </w:rPr>
            </w:pPr>
            <w:r w:rsidRPr="00FC74AB">
              <w:rPr>
                <w:lang w:val="ca-ES"/>
              </w:rPr>
              <w:t>7</w:t>
            </w:r>
          </w:p>
        </w:tc>
      </w:tr>
      <w:tr w:rsidR="007E16DC" w:rsidRPr="00FC74AB" w14:paraId="4A9ADDCB" w14:textId="77777777" w:rsidTr="007E16DC">
        <w:tc>
          <w:tcPr>
            <w:tcW w:w="9369" w:type="dxa"/>
            <w:gridSpan w:val="3"/>
          </w:tcPr>
          <w:p w14:paraId="2F78CA0D" w14:textId="4B9FF088" w:rsidR="007E16DC" w:rsidRPr="00FC74AB" w:rsidRDefault="007E16DC" w:rsidP="007E4E7F">
            <w:pPr>
              <w:pStyle w:val="ListParagraph"/>
              <w:numPr>
                <w:ilvl w:val="0"/>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ca-ES"/>
              </w:rPr>
            </w:pPr>
            <w:r w:rsidRPr="00FC74AB">
              <w:rPr>
                <w:lang w:val="ca-ES"/>
              </w:rPr>
              <w:tab/>
              <w:t>Ri</w:t>
            </w:r>
            <w:r w:rsidR="007E4E7F" w:rsidRPr="00FC74AB">
              <w:rPr>
                <w:lang w:val="ca-ES"/>
              </w:rPr>
              <w:t>scos</w:t>
            </w:r>
            <w:r w:rsidRPr="00FC74AB">
              <w:rPr>
                <w:lang w:val="ca-ES"/>
              </w:rPr>
              <w:t xml:space="preserve"> de la </w:t>
            </w:r>
            <w:r w:rsidR="007E4E7F" w:rsidRPr="00FC74AB">
              <w:rPr>
                <w:lang w:val="ca-ES"/>
              </w:rPr>
              <w:t>privatització</w:t>
            </w:r>
            <w:r w:rsidRPr="00FC74AB">
              <w:rPr>
                <w:lang w:val="ca-ES"/>
              </w:rPr>
              <w:t xml:space="preserve"> p</w:t>
            </w:r>
            <w:r w:rsidR="007E4E7F" w:rsidRPr="00FC74AB">
              <w:rPr>
                <w:lang w:val="ca-ES"/>
              </w:rPr>
              <w:t>e</w:t>
            </w:r>
            <w:r w:rsidRPr="00FC74AB">
              <w:rPr>
                <w:lang w:val="ca-ES"/>
              </w:rPr>
              <w:t>r</w:t>
            </w:r>
            <w:r w:rsidR="007E4E7F" w:rsidRPr="00FC74AB">
              <w:rPr>
                <w:lang w:val="ca-ES"/>
              </w:rPr>
              <w:t xml:space="preserve"> al</w:t>
            </w:r>
            <w:r w:rsidRPr="00FC74AB">
              <w:rPr>
                <w:lang w:val="ca-ES"/>
              </w:rPr>
              <w:t xml:space="preserve">s </w:t>
            </w:r>
            <w:r w:rsidR="007E4E7F" w:rsidRPr="00FC74AB">
              <w:rPr>
                <w:lang w:val="ca-ES"/>
              </w:rPr>
              <w:t>drets humans: justificació</w:t>
            </w:r>
            <w:r w:rsidRPr="00FC74AB">
              <w:rPr>
                <w:spacing w:val="60"/>
                <w:sz w:val="17"/>
                <w:lang w:val="ca-ES"/>
              </w:rPr>
              <w:tab/>
            </w:r>
          </w:p>
        </w:tc>
        <w:tc>
          <w:tcPr>
            <w:tcW w:w="533" w:type="dxa"/>
            <w:vAlign w:val="bottom"/>
          </w:tcPr>
          <w:p w14:paraId="47EC2D83" w14:textId="77777777" w:rsidR="007E16DC" w:rsidRPr="00FC74AB" w:rsidRDefault="007E16DC" w:rsidP="007E16DC">
            <w:pPr>
              <w:spacing w:after="120"/>
              <w:jc w:val="right"/>
              <w:rPr>
                <w:lang w:val="ca-ES"/>
              </w:rPr>
            </w:pPr>
            <w:r w:rsidRPr="00FC74AB">
              <w:rPr>
                <w:lang w:val="ca-ES"/>
              </w:rPr>
              <w:t>9</w:t>
            </w:r>
          </w:p>
        </w:tc>
      </w:tr>
      <w:tr w:rsidR="007E16DC" w:rsidRPr="00FC74AB" w14:paraId="1C167B19" w14:textId="77777777" w:rsidTr="007E16DC">
        <w:tc>
          <w:tcPr>
            <w:tcW w:w="9369" w:type="dxa"/>
            <w:gridSpan w:val="3"/>
          </w:tcPr>
          <w:p w14:paraId="323BA178" w14:textId="678388C9" w:rsidR="007E16DC" w:rsidRPr="00FC74AB" w:rsidRDefault="007E16DC" w:rsidP="007E4E7F">
            <w:pPr>
              <w:pStyle w:val="ListParagraph"/>
              <w:numPr>
                <w:ilvl w:val="0"/>
                <w:numId w:val="49"/>
              </w:numPr>
              <w:tabs>
                <w:tab w:val="right" w:pos="1080"/>
                <w:tab w:val="left" w:pos="1296"/>
                <w:tab w:val="left" w:pos="1728"/>
                <w:tab w:val="left" w:pos="2160"/>
                <w:tab w:val="left" w:pos="2592"/>
                <w:tab w:val="left" w:pos="3024"/>
                <w:tab w:val="left" w:pos="3456"/>
                <w:tab w:val="left" w:pos="3888"/>
                <w:tab w:val="right" w:leader="dot" w:pos="9360"/>
              </w:tabs>
              <w:spacing w:after="120"/>
              <w:rPr>
                <w:lang w:val="ca-ES"/>
              </w:rPr>
            </w:pPr>
            <w:r w:rsidRPr="00FC74AB">
              <w:rPr>
                <w:lang w:val="ca-ES"/>
              </w:rPr>
              <w:tab/>
            </w:r>
            <w:r w:rsidR="007E4E7F" w:rsidRPr="00FC74AB">
              <w:rPr>
                <w:lang w:val="ca-ES"/>
              </w:rPr>
              <w:t xml:space="preserve">Riscos </w:t>
            </w:r>
            <w:r w:rsidRPr="00FC74AB">
              <w:rPr>
                <w:lang w:val="ca-ES"/>
              </w:rPr>
              <w:t xml:space="preserve">de la </w:t>
            </w:r>
            <w:r w:rsidR="007E4E7F" w:rsidRPr="00FC74AB">
              <w:rPr>
                <w:lang w:val="ca-ES"/>
              </w:rPr>
              <w:t>privatització</w:t>
            </w:r>
            <w:r w:rsidRPr="00FC74AB">
              <w:rPr>
                <w:lang w:val="ca-ES"/>
              </w:rPr>
              <w:t xml:space="preserve"> </w:t>
            </w:r>
            <w:r w:rsidR="007E4E7F" w:rsidRPr="00FC74AB">
              <w:rPr>
                <w:lang w:val="ca-ES"/>
              </w:rPr>
              <w:t>per als drets humans</w:t>
            </w:r>
            <w:r w:rsidRPr="00FC74AB">
              <w:rPr>
                <w:spacing w:val="60"/>
                <w:sz w:val="17"/>
                <w:lang w:val="ca-ES"/>
              </w:rPr>
              <w:tab/>
            </w:r>
          </w:p>
        </w:tc>
        <w:tc>
          <w:tcPr>
            <w:tcW w:w="533" w:type="dxa"/>
            <w:vAlign w:val="bottom"/>
          </w:tcPr>
          <w:p w14:paraId="34AE4193" w14:textId="77777777" w:rsidR="007E16DC" w:rsidRPr="00FC74AB" w:rsidRDefault="007E16DC" w:rsidP="007E16DC">
            <w:pPr>
              <w:spacing w:after="120"/>
              <w:jc w:val="right"/>
              <w:rPr>
                <w:lang w:val="ca-ES"/>
              </w:rPr>
            </w:pPr>
            <w:r w:rsidRPr="00FC74AB">
              <w:rPr>
                <w:lang w:val="ca-ES"/>
              </w:rPr>
              <w:t>11</w:t>
            </w:r>
          </w:p>
        </w:tc>
      </w:tr>
      <w:tr w:rsidR="007E16DC" w:rsidRPr="00FC74AB" w14:paraId="5FD2FA4B" w14:textId="77777777" w:rsidTr="007E16DC">
        <w:tc>
          <w:tcPr>
            <w:tcW w:w="9369" w:type="dxa"/>
            <w:gridSpan w:val="3"/>
          </w:tcPr>
          <w:p w14:paraId="257D27A1" w14:textId="1B95D9B3" w:rsidR="007E16DC" w:rsidRPr="00FC74AB" w:rsidRDefault="00B93C21" w:rsidP="003654F2">
            <w:pPr>
              <w:pStyle w:val="ListParagraph"/>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ca-ES"/>
              </w:rPr>
            </w:pPr>
            <w:r w:rsidRPr="00FC74AB">
              <w:rPr>
                <w:lang w:val="ca-ES"/>
              </w:rPr>
              <w:t>Ú</w:t>
            </w:r>
            <w:r w:rsidR="003654F2" w:rsidRPr="00FC74AB">
              <w:rPr>
                <w:lang w:val="ca-ES"/>
              </w:rPr>
              <w:t>s</w:t>
            </w:r>
            <w:r w:rsidR="007E4E7F" w:rsidRPr="00FC74AB">
              <w:rPr>
                <w:lang w:val="ca-ES"/>
              </w:rPr>
              <w:t xml:space="preserve"> </w:t>
            </w:r>
            <w:r w:rsidR="003654F2" w:rsidRPr="00FC74AB">
              <w:rPr>
                <w:lang w:val="ca-ES"/>
              </w:rPr>
              <w:t>d</w:t>
            </w:r>
            <w:r w:rsidR="007E4E7F" w:rsidRPr="00FC74AB">
              <w:rPr>
                <w:lang w:val="ca-ES"/>
              </w:rPr>
              <w:t>el màxim de recursos disponibles</w:t>
            </w:r>
            <w:r w:rsidR="007E16DC" w:rsidRPr="00FC74AB">
              <w:rPr>
                <w:spacing w:val="60"/>
                <w:sz w:val="17"/>
                <w:lang w:val="ca-ES"/>
              </w:rPr>
              <w:tab/>
            </w:r>
          </w:p>
        </w:tc>
        <w:tc>
          <w:tcPr>
            <w:tcW w:w="533" w:type="dxa"/>
            <w:vAlign w:val="bottom"/>
          </w:tcPr>
          <w:p w14:paraId="4D661225" w14:textId="77777777" w:rsidR="007E16DC" w:rsidRPr="00FC74AB" w:rsidRDefault="007E16DC" w:rsidP="007E16DC">
            <w:pPr>
              <w:spacing w:after="120"/>
              <w:jc w:val="right"/>
              <w:rPr>
                <w:lang w:val="ca-ES"/>
              </w:rPr>
            </w:pPr>
            <w:r w:rsidRPr="00FC74AB">
              <w:rPr>
                <w:lang w:val="ca-ES"/>
              </w:rPr>
              <w:t>11</w:t>
            </w:r>
          </w:p>
        </w:tc>
      </w:tr>
      <w:tr w:rsidR="007E16DC" w:rsidRPr="00FC74AB" w14:paraId="7D6635CF" w14:textId="77777777" w:rsidTr="007E16DC">
        <w:tc>
          <w:tcPr>
            <w:tcW w:w="9369" w:type="dxa"/>
            <w:gridSpan w:val="3"/>
          </w:tcPr>
          <w:p w14:paraId="3BD8FBD1" w14:textId="782A0664" w:rsidR="007E16DC" w:rsidRPr="00FC74AB" w:rsidRDefault="007E4E7F" w:rsidP="007E16DC">
            <w:pPr>
              <w:pStyle w:val="ListParagraph"/>
              <w:numPr>
                <w:ilvl w:val="1"/>
                <w:numId w:val="49"/>
              </w:numPr>
              <w:tabs>
                <w:tab w:val="right" w:pos="1080"/>
                <w:tab w:val="left" w:pos="1296"/>
                <w:tab w:val="left" w:pos="1728"/>
                <w:tab w:val="left" w:pos="2160"/>
                <w:tab w:val="left" w:pos="2592"/>
                <w:tab w:val="right" w:leader="dot" w:pos="9360"/>
              </w:tabs>
              <w:spacing w:after="120"/>
              <w:rPr>
                <w:lang w:val="ca-ES"/>
              </w:rPr>
            </w:pPr>
            <w:r w:rsidRPr="00FC74AB">
              <w:rPr>
                <w:lang w:val="ca-ES"/>
              </w:rPr>
              <w:t>Assequibilitat</w:t>
            </w:r>
            <w:r w:rsidR="007E16DC" w:rsidRPr="00FC74AB">
              <w:rPr>
                <w:spacing w:val="60"/>
                <w:sz w:val="17"/>
                <w:lang w:val="ca-ES"/>
              </w:rPr>
              <w:tab/>
            </w:r>
          </w:p>
        </w:tc>
        <w:tc>
          <w:tcPr>
            <w:tcW w:w="533" w:type="dxa"/>
            <w:vAlign w:val="bottom"/>
          </w:tcPr>
          <w:p w14:paraId="0E416256" w14:textId="77777777" w:rsidR="007E16DC" w:rsidRPr="00FC74AB" w:rsidRDefault="007E16DC" w:rsidP="007E16DC">
            <w:pPr>
              <w:spacing w:after="120"/>
              <w:jc w:val="right"/>
              <w:rPr>
                <w:lang w:val="ca-ES"/>
              </w:rPr>
            </w:pPr>
            <w:r w:rsidRPr="00FC74AB">
              <w:rPr>
                <w:lang w:val="ca-ES"/>
              </w:rPr>
              <w:t>13</w:t>
            </w:r>
          </w:p>
        </w:tc>
      </w:tr>
      <w:tr w:rsidR="007E16DC" w:rsidRPr="00FC74AB" w14:paraId="472EFCB9" w14:textId="77777777" w:rsidTr="007E16DC">
        <w:tc>
          <w:tcPr>
            <w:tcW w:w="9369" w:type="dxa"/>
            <w:gridSpan w:val="3"/>
          </w:tcPr>
          <w:p w14:paraId="552B4BB8" w14:textId="44E39733" w:rsidR="007E16DC" w:rsidRPr="00FC74AB" w:rsidRDefault="007E4E7F" w:rsidP="007E16DC">
            <w:pPr>
              <w:pStyle w:val="ListParagraph"/>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ca-ES"/>
              </w:rPr>
            </w:pPr>
            <w:r w:rsidRPr="00FC74AB">
              <w:rPr>
                <w:lang w:val="ca-ES"/>
              </w:rPr>
              <w:t>Manca de millora o deteriorament</w:t>
            </w:r>
            <w:r w:rsidR="007E16DC" w:rsidRPr="00FC74AB">
              <w:rPr>
                <w:lang w:val="ca-ES"/>
              </w:rPr>
              <w:t xml:space="preserve"> </w:t>
            </w:r>
            <w:r w:rsidRPr="00FC74AB">
              <w:rPr>
                <w:lang w:val="ca-ES"/>
              </w:rPr>
              <w:t>dels serveis</w:t>
            </w:r>
            <w:r w:rsidR="007E16DC" w:rsidRPr="00FC74AB">
              <w:rPr>
                <w:spacing w:val="60"/>
                <w:sz w:val="17"/>
                <w:lang w:val="ca-ES"/>
              </w:rPr>
              <w:tab/>
            </w:r>
          </w:p>
        </w:tc>
        <w:tc>
          <w:tcPr>
            <w:tcW w:w="533" w:type="dxa"/>
            <w:vAlign w:val="bottom"/>
          </w:tcPr>
          <w:p w14:paraId="7904C60E" w14:textId="77777777" w:rsidR="007E16DC" w:rsidRPr="00FC74AB" w:rsidRDefault="007E16DC" w:rsidP="007E16DC">
            <w:pPr>
              <w:spacing w:after="120"/>
              <w:jc w:val="right"/>
              <w:rPr>
                <w:lang w:val="ca-ES"/>
              </w:rPr>
            </w:pPr>
            <w:r w:rsidRPr="00FC74AB">
              <w:rPr>
                <w:lang w:val="ca-ES"/>
              </w:rPr>
              <w:t>15</w:t>
            </w:r>
          </w:p>
        </w:tc>
      </w:tr>
      <w:tr w:rsidR="007E16DC" w:rsidRPr="00FC74AB" w14:paraId="7D4CD762" w14:textId="77777777" w:rsidTr="007E16DC">
        <w:tc>
          <w:tcPr>
            <w:tcW w:w="9369" w:type="dxa"/>
            <w:gridSpan w:val="3"/>
          </w:tcPr>
          <w:p w14:paraId="70A225F0" w14:textId="0896A88C" w:rsidR="007E16DC" w:rsidRPr="00FC74AB" w:rsidRDefault="007E4E7F" w:rsidP="007E16DC">
            <w:pPr>
              <w:pStyle w:val="ListParagraph"/>
              <w:numPr>
                <w:ilvl w:val="1"/>
                <w:numId w:val="49"/>
              </w:numPr>
              <w:tabs>
                <w:tab w:val="right" w:pos="1080"/>
                <w:tab w:val="left" w:pos="1296"/>
                <w:tab w:val="left" w:pos="1728"/>
                <w:tab w:val="left" w:pos="2160"/>
                <w:tab w:val="left" w:pos="2592"/>
                <w:tab w:val="right" w:leader="dot" w:pos="9360"/>
              </w:tabs>
              <w:spacing w:after="120"/>
              <w:rPr>
                <w:lang w:val="ca-ES"/>
              </w:rPr>
            </w:pPr>
            <w:r w:rsidRPr="00FC74AB">
              <w:rPr>
                <w:lang w:val="ca-ES"/>
              </w:rPr>
              <w:t>Sostenibilitat</w:t>
            </w:r>
            <w:r w:rsidR="007E16DC" w:rsidRPr="00FC74AB">
              <w:rPr>
                <w:spacing w:val="60"/>
                <w:sz w:val="17"/>
                <w:lang w:val="ca-ES"/>
              </w:rPr>
              <w:tab/>
            </w:r>
          </w:p>
        </w:tc>
        <w:tc>
          <w:tcPr>
            <w:tcW w:w="533" w:type="dxa"/>
            <w:vAlign w:val="bottom"/>
          </w:tcPr>
          <w:p w14:paraId="17965523" w14:textId="77777777" w:rsidR="007E16DC" w:rsidRPr="00FC74AB" w:rsidRDefault="007E16DC" w:rsidP="007E16DC">
            <w:pPr>
              <w:spacing w:after="120"/>
              <w:jc w:val="right"/>
              <w:rPr>
                <w:lang w:val="ca-ES"/>
              </w:rPr>
            </w:pPr>
            <w:r w:rsidRPr="00FC74AB">
              <w:rPr>
                <w:lang w:val="ca-ES"/>
              </w:rPr>
              <w:t>17</w:t>
            </w:r>
          </w:p>
        </w:tc>
      </w:tr>
      <w:tr w:rsidR="007E16DC" w:rsidRPr="00FC74AB" w14:paraId="63C5EEA7" w14:textId="77777777" w:rsidTr="007E16DC">
        <w:tc>
          <w:tcPr>
            <w:tcW w:w="9369" w:type="dxa"/>
            <w:gridSpan w:val="3"/>
          </w:tcPr>
          <w:p w14:paraId="07EFC93C" w14:textId="18748EE2" w:rsidR="007E16DC" w:rsidRPr="00FC74AB" w:rsidRDefault="00375447" w:rsidP="00375447">
            <w:pPr>
              <w:pStyle w:val="ListParagraph"/>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val="ca-ES"/>
              </w:rPr>
            </w:pPr>
            <w:r w:rsidRPr="00FC74AB">
              <w:rPr>
                <w:lang w:val="ca-ES"/>
              </w:rPr>
              <w:t>Accés a la informació, participació</w:t>
            </w:r>
            <w:r w:rsidR="007E4E7F" w:rsidRPr="00FC74AB">
              <w:rPr>
                <w:lang w:val="ca-ES"/>
              </w:rPr>
              <w:t xml:space="preserve"> i </w:t>
            </w:r>
            <w:r w:rsidRPr="00FC74AB">
              <w:rPr>
                <w:lang w:val="ca-ES"/>
              </w:rPr>
              <w:t>rendició</w:t>
            </w:r>
            <w:r w:rsidR="007E16DC" w:rsidRPr="00FC74AB">
              <w:rPr>
                <w:lang w:val="ca-ES"/>
              </w:rPr>
              <w:t xml:space="preserve"> de </w:t>
            </w:r>
            <w:r w:rsidRPr="00FC74AB">
              <w:rPr>
                <w:lang w:val="ca-ES"/>
              </w:rPr>
              <w:t>comptes</w:t>
            </w:r>
            <w:r w:rsidR="007E16DC" w:rsidRPr="00FC74AB">
              <w:rPr>
                <w:spacing w:val="60"/>
                <w:sz w:val="17"/>
                <w:lang w:val="ca-ES"/>
              </w:rPr>
              <w:tab/>
            </w:r>
          </w:p>
        </w:tc>
        <w:tc>
          <w:tcPr>
            <w:tcW w:w="533" w:type="dxa"/>
            <w:vAlign w:val="bottom"/>
          </w:tcPr>
          <w:p w14:paraId="1507B560" w14:textId="77777777" w:rsidR="007E16DC" w:rsidRPr="00FC74AB" w:rsidRDefault="007E16DC" w:rsidP="007E16DC">
            <w:pPr>
              <w:spacing w:after="120"/>
              <w:jc w:val="right"/>
              <w:rPr>
                <w:lang w:val="ca-ES"/>
              </w:rPr>
            </w:pPr>
            <w:r w:rsidRPr="00FC74AB">
              <w:rPr>
                <w:lang w:val="ca-ES"/>
              </w:rPr>
              <w:t>18</w:t>
            </w:r>
          </w:p>
        </w:tc>
      </w:tr>
      <w:tr w:rsidR="007E16DC" w:rsidRPr="00FC74AB" w14:paraId="122C2F6C" w14:textId="77777777" w:rsidTr="007E16DC">
        <w:tc>
          <w:tcPr>
            <w:tcW w:w="9369" w:type="dxa"/>
            <w:gridSpan w:val="3"/>
          </w:tcPr>
          <w:p w14:paraId="3B616126" w14:textId="2444FF54" w:rsidR="007E16DC" w:rsidRPr="00FC74AB" w:rsidRDefault="00375447" w:rsidP="00375447">
            <w:pPr>
              <w:pStyle w:val="ListParagraph"/>
              <w:numPr>
                <w:ilvl w:val="1"/>
                <w:numId w:val="49"/>
              </w:numPr>
              <w:tabs>
                <w:tab w:val="right" w:pos="1080"/>
                <w:tab w:val="left" w:pos="1296"/>
                <w:tab w:val="left" w:pos="1728"/>
                <w:tab w:val="left" w:pos="2160"/>
                <w:tab w:val="left" w:pos="2592"/>
                <w:tab w:val="left" w:pos="3024"/>
                <w:tab w:val="left" w:pos="3456"/>
                <w:tab w:val="right" w:leader="dot" w:pos="9360"/>
              </w:tabs>
              <w:spacing w:after="120"/>
              <w:rPr>
                <w:lang w:val="ca-ES"/>
              </w:rPr>
            </w:pPr>
            <w:r w:rsidRPr="00FC74AB">
              <w:rPr>
                <w:lang w:val="ca-ES"/>
              </w:rPr>
              <w:t>Sense deixar ningú enrere</w:t>
            </w:r>
            <w:r w:rsidR="007E16DC" w:rsidRPr="00FC74AB">
              <w:rPr>
                <w:spacing w:val="60"/>
                <w:sz w:val="17"/>
                <w:lang w:val="ca-ES"/>
              </w:rPr>
              <w:tab/>
            </w:r>
          </w:p>
        </w:tc>
        <w:tc>
          <w:tcPr>
            <w:tcW w:w="533" w:type="dxa"/>
            <w:vAlign w:val="bottom"/>
          </w:tcPr>
          <w:p w14:paraId="21D8B889" w14:textId="77777777" w:rsidR="007E16DC" w:rsidRPr="00FC74AB" w:rsidRDefault="007E16DC" w:rsidP="007E16DC">
            <w:pPr>
              <w:spacing w:after="120"/>
              <w:jc w:val="right"/>
              <w:rPr>
                <w:lang w:val="ca-ES"/>
              </w:rPr>
            </w:pPr>
            <w:r w:rsidRPr="00FC74AB">
              <w:rPr>
                <w:lang w:val="ca-ES"/>
              </w:rPr>
              <w:t>19</w:t>
            </w:r>
          </w:p>
        </w:tc>
      </w:tr>
      <w:tr w:rsidR="007E16DC" w:rsidRPr="00FC74AB" w14:paraId="4915A012" w14:textId="77777777" w:rsidTr="007E16DC">
        <w:tc>
          <w:tcPr>
            <w:tcW w:w="9369" w:type="dxa"/>
            <w:gridSpan w:val="3"/>
          </w:tcPr>
          <w:p w14:paraId="4423F8EF" w14:textId="7EEB2EB0" w:rsidR="007E16DC" w:rsidRPr="00FC74AB" w:rsidRDefault="007E16DC" w:rsidP="007E16DC">
            <w:pPr>
              <w:pStyle w:val="ListParagraph"/>
              <w:numPr>
                <w:ilvl w:val="0"/>
                <w:numId w:val="49"/>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val="ca-ES"/>
              </w:rPr>
            </w:pPr>
            <w:r w:rsidRPr="00FC74AB">
              <w:rPr>
                <w:lang w:val="ca-ES"/>
              </w:rPr>
              <w:tab/>
              <w:t xml:space="preserve">Abordar </w:t>
            </w:r>
            <w:r w:rsidR="00195395" w:rsidRPr="00FC74AB">
              <w:rPr>
                <w:lang w:val="ca-ES"/>
              </w:rPr>
              <w:t>els riscos</w:t>
            </w:r>
            <w:r w:rsidR="007E4E7F" w:rsidRPr="00FC74AB">
              <w:rPr>
                <w:lang w:val="ca-ES"/>
              </w:rPr>
              <w:t xml:space="preserve"> i </w:t>
            </w:r>
            <w:r w:rsidR="00195395" w:rsidRPr="00FC74AB">
              <w:rPr>
                <w:lang w:val="ca-ES"/>
              </w:rPr>
              <w:t>establir salvaguardes</w:t>
            </w:r>
            <w:r w:rsidRPr="00FC74AB">
              <w:rPr>
                <w:spacing w:val="60"/>
                <w:sz w:val="17"/>
                <w:lang w:val="ca-ES"/>
              </w:rPr>
              <w:tab/>
            </w:r>
          </w:p>
        </w:tc>
        <w:tc>
          <w:tcPr>
            <w:tcW w:w="533" w:type="dxa"/>
            <w:vAlign w:val="bottom"/>
          </w:tcPr>
          <w:p w14:paraId="3311B33B" w14:textId="3DA45697" w:rsidR="007E16DC" w:rsidRPr="00FC74AB" w:rsidRDefault="007E16DC" w:rsidP="007E16DC">
            <w:pPr>
              <w:spacing w:after="120"/>
              <w:jc w:val="right"/>
              <w:rPr>
                <w:lang w:val="ca-ES"/>
              </w:rPr>
            </w:pPr>
            <w:r w:rsidRPr="00FC74AB">
              <w:rPr>
                <w:lang w:val="ca-ES"/>
              </w:rPr>
              <w:t>2</w:t>
            </w:r>
            <w:r w:rsidR="00987D33" w:rsidRPr="00FC74AB">
              <w:rPr>
                <w:lang w:val="ca-ES"/>
              </w:rPr>
              <w:t>0</w:t>
            </w:r>
          </w:p>
        </w:tc>
      </w:tr>
      <w:tr w:rsidR="007E16DC" w:rsidRPr="00FC74AB" w14:paraId="3BF95379" w14:textId="77777777" w:rsidTr="007E16DC">
        <w:tc>
          <w:tcPr>
            <w:tcW w:w="9369" w:type="dxa"/>
            <w:gridSpan w:val="3"/>
          </w:tcPr>
          <w:p w14:paraId="5DAAB0DF" w14:textId="404FAFB0" w:rsidR="007E16DC" w:rsidRPr="00FC74AB" w:rsidRDefault="00195395" w:rsidP="007E16DC">
            <w:pPr>
              <w:pStyle w:val="ListParagraph"/>
              <w:numPr>
                <w:ilvl w:val="1"/>
                <w:numId w:val="49"/>
              </w:numPr>
              <w:tabs>
                <w:tab w:val="right" w:pos="1080"/>
                <w:tab w:val="left" w:pos="1296"/>
                <w:tab w:val="left" w:pos="1728"/>
                <w:tab w:val="left" w:pos="2160"/>
                <w:tab w:val="right" w:leader="dot" w:pos="9360"/>
              </w:tabs>
              <w:spacing w:after="120"/>
              <w:rPr>
                <w:lang w:val="ca-ES"/>
              </w:rPr>
            </w:pPr>
            <w:r w:rsidRPr="00FC74AB">
              <w:rPr>
                <w:lang w:val="ca-ES"/>
              </w:rPr>
              <w:t>Estats</w:t>
            </w:r>
            <w:r w:rsidR="007E16DC" w:rsidRPr="00FC74AB">
              <w:rPr>
                <w:spacing w:val="60"/>
                <w:sz w:val="17"/>
                <w:lang w:val="ca-ES"/>
              </w:rPr>
              <w:tab/>
            </w:r>
          </w:p>
        </w:tc>
        <w:tc>
          <w:tcPr>
            <w:tcW w:w="533" w:type="dxa"/>
            <w:vAlign w:val="bottom"/>
          </w:tcPr>
          <w:p w14:paraId="78504F26" w14:textId="1BBE1818" w:rsidR="007E16DC" w:rsidRPr="00FC74AB" w:rsidRDefault="007E16DC" w:rsidP="007E16DC">
            <w:pPr>
              <w:spacing w:after="120"/>
              <w:jc w:val="right"/>
              <w:rPr>
                <w:lang w:val="ca-ES"/>
              </w:rPr>
            </w:pPr>
            <w:r w:rsidRPr="00FC74AB">
              <w:rPr>
                <w:lang w:val="ca-ES"/>
              </w:rPr>
              <w:t>2</w:t>
            </w:r>
            <w:r w:rsidR="00987D33" w:rsidRPr="00FC74AB">
              <w:rPr>
                <w:lang w:val="ca-ES"/>
              </w:rPr>
              <w:t>1</w:t>
            </w:r>
          </w:p>
        </w:tc>
      </w:tr>
      <w:tr w:rsidR="007E16DC" w:rsidRPr="00FC74AB" w14:paraId="1C20DF16" w14:textId="77777777" w:rsidTr="007E16DC">
        <w:tc>
          <w:tcPr>
            <w:tcW w:w="9369" w:type="dxa"/>
            <w:gridSpan w:val="3"/>
          </w:tcPr>
          <w:p w14:paraId="67042DBC" w14:textId="7CCAC2A3" w:rsidR="007E16DC" w:rsidRPr="00FC74AB" w:rsidRDefault="003654F2" w:rsidP="003654F2">
            <w:pPr>
              <w:pStyle w:val="ListParagraph"/>
              <w:numPr>
                <w:ilvl w:val="2"/>
                <w:numId w:val="49"/>
              </w:numPr>
              <w:tabs>
                <w:tab w:val="clear" w:pos="1782"/>
                <w:tab w:val="right" w:pos="1080"/>
                <w:tab w:val="left" w:pos="1296"/>
                <w:tab w:val="left" w:pos="2160"/>
                <w:tab w:val="left" w:pos="2592"/>
                <w:tab w:val="left" w:pos="3024"/>
                <w:tab w:val="left" w:pos="3456"/>
                <w:tab w:val="left" w:pos="3888"/>
                <w:tab w:val="left" w:pos="4320"/>
                <w:tab w:val="right" w:leader="dot" w:pos="9360"/>
              </w:tabs>
              <w:spacing w:after="120"/>
              <w:ind w:left="2160"/>
              <w:rPr>
                <w:lang w:val="ca-ES"/>
              </w:rPr>
            </w:pPr>
            <w:r w:rsidRPr="00FC74AB">
              <w:rPr>
                <w:lang w:val="ca-ES"/>
              </w:rPr>
              <w:t>Abans d’aprov</w:t>
            </w:r>
            <w:r w:rsidR="00195395" w:rsidRPr="00FC74AB">
              <w:rPr>
                <w:lang w:val="ca-ES"/>
              </w:rPr>
              <w:t>ar</w:t>
            </w:r>
            <w:r w:rsidR="007E16DC" w:rsidRPr="00FC74AB">
              <w:rPr>
                <w:lang w:val="ca-ES"/>
              </w:rPr>
              <w:t xml:space="preserve"> la </w:t>
            </w:r>
            <w:r w:rsidR="007E4E7F" w:rsidRPr="00FC74AB">
              <w:rPr>
                <w:lang w:val="ca-ES"/>
              </w:rPr>
              <w:t>privatització</w:t>
            </w:r>
            <w:r w:rsidR="007E16DC" w:rsidRPr="00FC74AB">
              <w:rPr>
                <w:spacing w:val="60"/>
                <w:sz w:val="17"/>
                <w:lang w:val="ca-ES"/>
              </w:rPr>
              <w:tab/>
            </w:r>
          </w:p>
        </w:tc>
        <w:tc>
          <w:tcPr>
            <w:tcW w:w="533" w:type="dxa"/>
            <w:vAlign w:val="bottom"/>
          </w:tcPr>
          <w:p w14:paraId="265B6AE7" w14:textId="63662227" w:rsidR="007E16DC" w:rsidRPr="00FC74AB" w:rsidRDefault="007E16DC" w:rsidP="007E16DC">
            <w:pPr>
              <w:spacing w:after="120"/>
              <w:jc w:val="right"/>
              <w:rPr>
                <w:lang w:val="ca-ES"/>
              </w:rPr>
            </w:pPr>
            <w:r w:rsidRPr="00FC74AB">
              <w:rPr>
                <w:lang w:val="ca-ES"/>
              </w:rPr>
              <w:t>2</w:t>
            </w:r>
            <w:r w:rsidR="00987D33" w:rsidRPr="00FC74AB">
              <w:rPr>
                <w:lang w:val="ca-ES"/>
              </w:rPr>
              <w:t>1</w:t>
            </w:r>
          </w:p>
        </w:tc>
      </w:tr>
      <w:tr w:rsidR="007E16DC" w:rsidRPr="00FC74AB" w14:paraId="02B82435" w14:textId="77777777" w:rsidTr="007E16DC">
        <w:tc>
          <w:tcPr>
            <w:tcW w:w="9369" w:type="dxa"/>
            <w:gridSpan w:val="3"/>
          </w:tcPr>
          <w:p w14:paraId="341B0731" w14:textId="4A620A30" w:rsidR="007E16DC" w:rsidRPr="00FC74AB" w:rsidRDefault="00195395" w:rsidP="007E16DC">
            <w:pPr>
              <w:pStyle w:val="ListParagraph"/>
              <w:numPr>
                <w:ilvl w:val="2"/>
                <w:numId w:val="49"/>
              </w:numPr>
              <w:tabs>
                <w:tab w:val="clear" w:pos="1782"/>
                <w:tab w:val="right" w:pos="1080"/>
                <w:tab w:val="left" w:pos="1296"/>
                <w:tab w:val="left" w:pos="2160"/>
                <w:tab w:val="left" w:pos="2592"/>
                <w:tab w:val="left" w:pos="3024"/>
                <w:tab w:val="left" w:pos="3456"/>
                <w:tab w:val="right" w:leader="dot" w:pos="9360"/>
              </w:tabs>
              <w:spacing w:after="120"/>
              <w:ind w:left="2160"/>
              <w:rPr>
                <w:lang w:val="ca-ES"/>
              </w:rPr>
            </w:pPr>
            <w:r w:rsidRPr="00FC74AB">
              <w:rPr>
                <w:lang w:val="ca-ES"/>
              </w:rPr>
              <w:t>Redacció de contractes</w:t>
            </w:r>
            <w:r w:rsidR="007E16DC" w:rsidRPr="00FC74AB">
              <w:rPr>
                <w:spacing w:val="60"/>
                <w:sz w:val="17"/>
                <w:lang w:val="ca-ES"/>
              </w:rPr>
              <w:tab/>
            </w:r>
          </w:p>
        </w:tc>
        <w:tc>
          <w:tcPr>
            <w:tcW w:w="533" w:type="dxa"/>
            <w:vAlign w:val="bottom"/>
          </w:tcPr>
          <w:p w14:paraId="0BEF9F1F" w14:textId="77777777" w:rsidR="007E16DC" w:rsidRPr="00FC74AB" w:rsidRDefault="007E16DC" w:rsidP="007E16DC">
            <w:pPr>
              <w:spacing w:after="120"/>
              <w:jc w:val="right"/>
              <w:rPr>
                <w:lang w:val="ca-ES"/>
              </w:rPr>
            </w:pPr>
            <w:r w:rsidRPr="00FC74AB">
              <w:rPr>
                <w:lang w:val="ca-ES"/>
              </w:rPr>
              <w:t>22</w:t>
            </w:r>
          </w:p>
        </w:tc>
      </w:tr>
      <w:tr w:rsidR="007E16DC" w:rsidRPr="00FC74AB" w14:paraId="66E7EC48" w14:textId="77777777" w:rsidTr="007E16DC">
        <w:tc>
          <w:tcPr>
            <w:tcW w:w="9369" w:type="dxa"/>
            <w:gridSpan w:val="3"/>
          </w:tcPr>
          <w:p w14:paraId="6D51C4B7" w14:textId="00AB083E" w:rsidR="007E16DC" w:rsidRPr="00FC74AB" w:rsidRDefault="003654F2" w:rsidP="007E16DC">
            <w:pPr>
              <w:pStyle w:val="ListParagraph"/>
              <w:numPr>
                <w:ilvl w:val="2"/>
                <w:numId w:val="49"/>
              </w:numPr>
              <w:tabs>
                <w:tab w:val="clear" w:pos="1782"/>
                <w:tab w:val="right" w:pos="1080"/>
                <w:tab w:val="left" w:pos="1296"/>
                <w:tab w:val="left" w:pos="2160"/>
                <w:tab w:val="left" w:pos="2592"/>
                <w:tab w:val="left" w:pos="3024"/>
                <w:tab w:val="right" w:leader="dot" w:pos="9360"/>
              </w:tabs>
              <w:spacing w:after="120"/>
              <w:ind w:left="2160"/>
              <w:rPr>
                <w:lang w:val="ca-ES"/>
              </w:rPr>
            </w:pPr>
            <w:r w:rsidRPr="00FC74AB">
              <w:rPr>
                <w:lang w:val="ca-ES"/>
              </w:rPr>
              <w:t>Fase</w:t>
            </w:r>
            <w:r w:rsidR="00195395" w:rsidRPr="00FC74AB">
              <w:rPr>
                <w:lang w:val="ca-ES"/>
              </w:rPr>
              <w:t xml:space="preserve"> operativa</w:t>
            </w:r>
            <w:r w:rsidR="007E16DC" w:rsidRPr="00FC74AB">
              <w:rPr>
                <w:spacing w:val="60"/>
                <w:sz w:val="17"/>
                <w:lang w:val="ca-ES"/>
              </w:rPr>
              <w:tab/>
            </w:r>
          </w:p>
        </w:tc>
        <w:tc>
          <w:tcPr>
            <w:tcW w:w="533" w:type="dxa"/>
            <w:vAlign w:val="bottom"/>
          </w:tcPr>
          <w:p w14:paraId="74F49AEA" w14:textId="77777777" w:rsidR="007E16DC" w:rsidRPr="00FC74AB" w:rsidRDefault="007E16DC" w:rsidP="007E16DC">
            <w:pPr>
              <w:spacing w:after="120"/>
              <w:jc w:val="right"/>
              <w:rPr>
                <w:lang w:val="ca-ES"/>
              </w:rPr>
            </w:pPr>
            <w:r w:rsidRPr="00FC74AB">
              <w:rPr>
                <w:lang w:val="ca-ES"/>
              </w:rPr>
              <w:t>23</w:t>
            </w:r>
          </w:p>
        </w:tc>
      </w:tr>
      <w:tr w:rsidR="007E16DC" w:rsidRPr="00FC74AB" w14:paraId="45C80780" w14:textId="77777777" w:rsidTr="007E16DC">
        <w:tc>
          <w:tcPr>
            <w:tcW w:w="9369" w:type="dxa"/>
            <w:gridSpan w:val="3"/>
          </w:tcPr>
          <w:p w14:paraId="6A6067EF" w14:textId="00D79D5F" w:rsidR="007E16DC" w:rsidRPr="00FC74AB" w:rsidRDefault="00195395" w:rsidP="007E16DC">
            <w:pPr>
              <w:pStyle w:val="ListParagraph"/>
              <w:numPr>
                <w:ilvl w:val="2"/>
                <w:numId w:val="49"/>
              </w:numPr>
              <w:tabs>
                <w:tab w:val="clear" w:pos="1782"/>
                <w:tab w:val="right" w:pos="1080"/>
                <w:tab w:val="left" w:pos="1296"/>
                <w:tab w:val="left" w:pos="2160"/>
                <w:tab w:val="right" w:leader="dot" w:pos="9360"/>
              </w:tabs>
              <w:spacing w:after="120"/>
              <w:ind w:left="2160"/>
              <w:rPr>
                <w:lang w:val="ca-ES"/>
              </w:rPr>
            </w:pPr>
            <w:r w:rsidRPr="00FC74AB">
              <w:rPr>
                <w:lang w:val="ca-ES"/>
              </w:rPr>
              <w:t>Fase de renegociació o terminació</w:t>
            </w:r>
            <w:r w:rsidR="007E16DC" w:rsidRPr="00FC74AB">
              <w:rPr>
                <w:spacing w:val="60"/>
                <w:sz w:val="17"/>
                <w:lang w:val="ca-ES"/>
              </w:rPr>
              <w:tab/>
            </w:r>
          </w:p>
        </w:tc>
        <w:tc>
          <w:tcPr>
            <w:tcW w:w="533" w:type="dxa"/>
            <w:vAlign w:val="bottom"/>
          </w:tcPr>
          <w:p w14:paraId="0F803D9A" w14:textId="77777777" w:rsidR="007E16DC" w:rsidRPr="00FC74AB" w:rsidRDefault="007E16DC" w:rsidP="007E16DC">
            <w:pPr>
              <w:spacing w:after="120"/>
              <w:jc w:val="right"/>
              <w:rPr>
                <w:lang w:val="ca-ES"/>
              </w:rPr>
            </w:pPr>
            <w:r w:rsidRPr="00FC74AB">
              <w:rPr>
                <w:lang w:val="ca-ES"/>
              </w:rPr>
              <w:t>23</w:t>
            </w:r>
          </w:p>
        </w:tc>
      </w:tr>
      <w:tr w:rsidR="007E16DC" w:rsidRPr="00FC74AB" w14:paraId="17BDCC2A" w14:textId="77777777" w:rsidTr="007E16DC">
        <w:tc>
          <w:tcPr>
            <w:tcW w:w="9369" w:type="dxa"/>
            <w:gridSpan w:val="3"/>
          </w:tcPr>
          <w:p w14:paraId="25D48913" w14:textId="6F9D0A76" w:rsidR="007E16DC" w:rsidRPr="00FC74AB" w:rsidRDefault="00195395" w:rsidP="007E16DC">
            <w:pPr>
              <w:pStyle w:val="ListParagraph"/>
              <w:numPr>
                <w:ilvl w:val="1"/>
                <w:numId w:val="49"/>
              </w:numPr>
              <w:tabs>
                <w:tab w:val="right" w:pos="1080"/>
                <w:tab w:val="left" w:pos="1296"/>
                <w:tab w:val="left" w:pos="1728"/>
                <w:tab w:val="left" w:pos="2160"/>
                <w:tab w:val="left" w:pos="2592"/>
                <w:tab w:val="right" w:leader="dot" w:pos="9360"/>
              </w:tabs>
              <w:spacing w:after="120"/>
              <w:rPr>
                <w:lang w:val="ca-ES"/>
              </w:rPr>
            </w:pPr>
            <w:r w:rsidRPr="00FC74AB">
              <w:rPr>
                <w:lang w:val="ca-ES"/>
              </w:rPr>
              <w:t>Entitats del sector privat</w:t>
            </w:r>
            <w:r w:rsidR="007E16DC" w:rsidRPr="00FC74AB">
              <w:rPr>
                <w:spacing w:val="60"/>
                <w:sz w:val="17"/>
                <w:lang w:val="ca-ES"/>
              </w:rPr>
              <w:tab/>
            </w:r>
          </w:p>
        </w:tc>
        <w:tc>
          <w:tcPr>
            <w:tcW w:w="533" w:type="dxa"/>
            <w:vAlign w:val="bottom"/>
          </w:tcPr>
          <w:p w14:paraId="659B73FE" w14:textId="0AF57337" w:rsidR="007E16DC" w:rsidRPr="00FC74AB" w:rsidRDefault="007E16DC" w:rsidP="007E16DC">
            <w:pPr>
              <w:spacing w:after="120"/>
              <w:jc w:val="right"/>
              <w:rPr>
                <w:lang w:val="ca-ES"/>
              </w:rPr>
            </w:pPr>
            <w:r w:rsidRPr="00FC74AB">
              <w:rPr>
                <w:lang w:val="ca-ES"/>
              </w:rPr>
              <w:t>2</w:t>
            </w:r>
            <w:r w:rsidR="00987D33" w:rsidRPr="00FC74AB">
              <w:rPr>
                <w:lang w:val="ca-ES"/>
              </w:rPr>
              <w:t>4</w:t>
            </w:r>
          </w:p>
        </w:tc>
      </w:tr>
      <w:tr w:rsidR="007E16DC" w:rsidRPr="00FC74AB" w14:paraId="7CC4725D" w14:textId="77777777" w:rsidTr="007E16DC">
        <w:tc>
          <w:tcPr>
            <w:tcW w:w="9369" w:type="dxa"/>
            <w:gridSpan w:val="3"/>
          </w:tcPr>
          <w:p w14:paraId="674E2885" w14:textId="7E916B12" w:rsidR="007E16DC" w:rsidRPr="00FC74AB" w:rsidRDefault="00195395" w:rsidP="007E16DC">
            <w:pPr>
              <w:pStyle w:val="ListParagraph"/>
              <w:numPr>
                <w:ilvl w:val="1"/>
                <w:numId w:val="4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sz w:val="17"/>
                <w:lang w:val="ca-ES"/>
              </w:rPr>
            </w:pPr>
            <w:r w:rsidRPr="00FC74AB">
              <w:rPr>
                <w:lang w:val="ca-ES"/>
              </w:rPr>
              <w:t>Institucions financeres internacionals</w:t>
            </w:r>
            <w:r w:rsidR="007E16DC" w:rsidRPr="00FC74AB">
              <w:rPr>
                <w:spacing w:val="60"/>
                <w:sz w:val="17"/>
                <w:lang w:val="ca-ES"/>
              </w:rPr>
              <w:tab/>
            </w:r>
          </w:p>
        </w:tc>
        <w:tc>
          <w:tcPr>
            <w:tcW w:w="533" w:type="dxa"/>
            <w:vAlign w:val="bottom"/>
          </w:tcPr>
          <w:p w14:paraId="3C75582C" w14:textId="77777777" w:rsidR="007E16DC" w:rsidRPr="00FC74AB" w:rsidRDefault="007E16DC" w:rsidP="007E16DC">
            <w:pPr>
              <w:spacing w:after="120"/>
              <w:jc w:val="right"/>
              <w:rPr>
                <w:lang w:val="ca-ES"/>
              </w:rPr>
            </w:pPr>
            <w:r w:rsidRPr="00FC74AB">
              <w:rPr>
                <w:lang w:val="ca-ES"/>
              </w:rPr>
              <w:t>26</w:t>
            </w:r>
          </w:p>
        </w:tc>
      </w:tr>
    </w:tbl>
    <w:p w14:paraId="17644695" w14:textId="77777777" w:rsidR="007E16DC" w:rsidRPr="00FC74AB" w:rsidRDefault="007E16DC" w:rsidP="007E16DC">
      <w:pPr>
        <w:rPr>
          <w:lang w:val="ca-ES"/>
        </w:rPr>
      </w:pPr>
    </w:p>
    <w:p w14:paraId="0463EDE5" w14:textId="3B66333E" w:rsidR="007E16DC" w:rsidRPr="00FC74AB" w:rsidRDefault="007E16DC" w:rsidP="007E16DC">
      <w:pPr>
        <w:spacing w:after="200" w:line="276" w:lineRule="auto"/>
        <w:rPr>
          <w:kern w:val="14"/>
          <w:lang w:val="ca-ES"/>
        </w:rPr>
      </w:pPr>
      <w:r w:rsidRPr="00FC74AB">
        <w:rPr>
          <w:lang w:val="ca-ES"/>
        </w:rPr>
        <w:br w:type="page"/>
      </w:r>
    </w:p>
    <w:p w14:paraId="69712570" w14:textId="317330AC" w:rsidR="007E16DC" w:rsidRPr="00FC74AB" w:rsidRDefault="00195395" w:rsidP="007E16D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sidRPr="00FC74AB">
        <w:rPr>
          <w:lang w:val="ca-ES"/>
        </w:rPr>
        <w:lastRenderedPageBreak/>
        <w:tab/>
        <w:t>I.</w:t>
      </w:r>
      <w:r w:rsidRPr="00FC74AB">
        <w:rPr>
          <w:lang w:val="ca-ES"/>
        </w:rPr>
        <w:tab/>
        <w:t>Introducció</w:t>
      </w:r>
    </w:p>
    <w:p w14:paraId="34B61939" w14:textId="77777777" w:rsidR="007E16DC" w:rsidRPr="00FC74AB" w:rsidRDefault="007E16DC" w:rsidP="007E16DC">
      <w:pPr>
        <w:pStyle w:val="SingleTxt"/>
        <w:spacing w:after="0" w:line="120" w:lineRule="exact"/>
        <w:rPr>
          <w:sz w:val="10"/>
          <w:lang w:val="ca-ES"/>
        </w:rPr>
      </w:pPr>
    </w:p>
    <w:p w14:paraId="48F269E3" w14:textId="77777777" w:rsidR="007E16DC" w:rsidRPr="00FC74AB" w:rsidRDefault="007E16DC" w:rsidP="007E16DC">
      <w:pPr>
        <w:pStyle w:val="SingleTxt"/>
        <w:spacing w:after="0" w:line="120" w:lineRule="exact"/>
        <w:rPr>
          <w:sz w:val="10"/>
          <w:lang w:val="ca-ES"/>
        </w:rPr>
      </w:pPr>
    </w:p>
    <w:p w14:paraId="16D4FC90" w14:textId="10185AEC" w:rsidR="007E16DC" w:rsidRPr="00FC74AB" w:rsidRDefault="003A58C9" w:rsidP="00323268">
      <w:pPr>
        <w:pStyle w:val="SingleTxt"/>
        <w:numPr>
          <w:ilvl w:val="2"/>
          <w:numId w:val="49"/>
        </w:numPr>
        <w:spacing w:line="240" w:lineRule="atLeast"/>
        <w:ind w:left="1267" w:firstLine="0"/>
        <w:rPr>
          <w:lang w:val="ca-ES"/>
        </w:rPr>
      </w:pPr>
      <w:r w:rsidRPr="00FC74AB">
        <w:rPr>
          <w:lang w:val="ca-ES"/>
        </w:rPr>
        <w:t>La prestació</w:t>
      </w:r>
      <w:r w:rsidR="007E16DC" w:rsidRPr="00FC74AB">
        <w:rPr>
          <w:lang w:val="ca-ES"/>
        </w:rPr>
        <w:t xml:space="preserve"> de serv</w:t>
      </w:r>
      <w:r w:rsidRPr="00FC74AB">
        <w:rPr>
          <w:lang w:val="ca-ES"/>
        </w:rPr>
        <w:t>eis d’aigua</w:t>
      </w:r>
      <w:r w:rsidR="007E4E7F" w:rsidRPr="00FC74AB">
        <w:rPr>
          <w:lang w:val="ca-ES"/>
        </w:rPr>
        <w:t xml:space="preserve"> i sanejament</w:t>
      </w:r>
      <w:r w:rsidR="007E16DC" w:rsidRPr="00FC74AB">
        <w:rPr>
          <w:lang w:val="ca-ES"/>
        </w:rPr>
        <w:t xml:space="preserve"> </w:t>
      </w:r>
      <w:r w:rsidRPr="00FC74AB">
        <w:rPr>
          <w:lang w:val="ca-ES"/>
        </w:rPr>
        <w:t>é</w:t>
      </w:r>
      <w:r w:rsidR="007E16DC" w:rsidRPr="00FC74AB">
        <w:rPr>
          <w:lang w:val="ca-ES"/>
        </w:rPr>
        <w:t>s una responsabili</w:t>
      </w:r>
      <w:r w:rsidRPr="00FC74AB">
        <w:rPr>
          <w:lang w:val="ca-ES"/>
        </w:rPr>
        <w:t>tat</w:t>
      </w:r>
      <w:r w:rsidR="007E16DC" w:rsidRPr="00FC74AB">
        <w:rPr>
          <w:lang w:val="ca-ES"/>
        </w:rPr>
        <w:t xml:space="preserve"> que han as</w:t>
      </w:r>
      <w:r w:rsidRPr="00FC74AB">
        <w:rPr>
          <w:lang w:val="ca-ES"/>
        </w:rPr>
        <w:t>s</w:t>
      </w:r>
      <w:r w:rsidR="007E16DC" w:rsidRPr="00FC74AB">
        <w:rPr>
          <w:lang w:val="ca-ES"/>
        </w:rPr>
        <w:t>umi</w:t>
      </w:r>
      <w:r w:rsidRPr="00FC74AB">
        <w:rPr>
          <w:lang w:val="ca-ES"/>
        </w:rPr>
        <w:t>t principalment</w:t>
      </w:r>
      <w:r w:rsidR="007E16DC" w:rsidRPr="00FC74AB">
        <w:rPr>
          <w:lang w:val="ca-ES"/>
        </w:rPr>
        <w:t xml:space="preserve"> </w:t>
      </w:r>
      <w:r w:rsidRPr="00FC74AB">
        <w:rPr>
          <w:lang w:val="ca-ES"/>
        </w:rPr>
        <w:t xml:space="preserve">els </w:t>
      </w:r>
      <w:r w:rsidR="00323268" w:rsidRPr="00FC74AB">
        <w:rPr>
          <w:lang w:val="ca-ES"/>
        </w:rPr>
        <w:t>g</w:t>
      </w:r>
      <w:r w:rsidRPr="00FC74AB">
        <w:rPr>
          <w:lang w:val="ca-ES"/>
        </w:rPr>
        <w:t>overn</w:t>
      </w:r>
      <w:r w:rsidR="007E16DC" w:rsidRPr="00FC74AB">
        <w:rPr>
          <w:lang w:val="ca-ES"/>
        </w:rPr>
        <w:t>s</w:t>
      </w:r>
      <w:r w:rsidR="007E4E7F" w:rsidRPr="00FC74AB">
        <w:rPr>
          <w:lang w:val="ca-ES"/>
        </w:rPr>
        <w:t xml:space="preserve"> i </w:t>
      </w:r>
      <w:r w:rsidRPr="00FC74AB">
        <w:rPr>
          <w:lang w:val="ca-ES"/>
        </w:rPr>
        <w:t>les entitats públiques que opere</w:t>
      </w:r>
      <w:r w:rsidR="007E16DC" w:rsidRPr="00FC74AB">
        <w:rPr>
          <w:lang w:val="ca-ES"/>
        </w:rPr>
        <w:t xml:space="preserve">n </w:t>
      </w:r>
      <w:r w:rsidRPr="00FC74AB">
        <w:rPr>
          <w:lang w:val="ca-ES"/>
        </w:rPr>
        <w:t xml:space="preserve">sota el </w:t>
      </w:r>
      <w:r w:rsidR="007E16DC" w:rsidRPr="00FC74AB">
        <w:rPr>
          <w:lang w:val="ca-ES"/>
        </w:rPr>
        <w:t>s</w:t>
      </w:r>
      <w:r w:rsidRPr="00FC74AB">
        <w:rPr>
          <w:lang w:val="ca-ES"/>
        </w:rPr>
        <w:t>e</w:t>
      </w:r>
      <w:r w:rsidR="007E16DC" w:rsidRPr="00FC74AB">
        <w:rPr>
          <w:lang w:val="ca-ES"/>
        </w:rPr>
        <w:t xml:space="preserve">u control. </w:t>
      </w:r>
      <w:r w:rsidR="00DB7ECA" w:rsidRPr="00FC74AB">
        <w:rPr>
          <w:lang w:val="ca-ES"/>
        </w:rPr>
        <w:t xml:space="preserve">Això no obstant, des </w:t>
      </w:r>
      <w:r w:rsidRPr="00FC74AB">
        <w:rPr>
          <w:lang w:val="ca-ES"/>
        </w:rPr>
        <w:t xml:space="preserve">de la dècada </w:t>
      </w:r>
      <w:r w:rsidR="00DB7ECA" w:rsidRPr="00FC74AB">
        <w:rPr>
          <w:lang w:val="ca-ES"/>
        </w:rPr>
        <w:t>del</w:t>
      </w:r>
      <w:r w:rsidR="00A73E19" w:rsidRPr="00FC74AB">
        <w:rPr>
          <w:lang w:val="ca-ES"/>
        </w:rPr>
        <w:t>s</w:t>
      </w:r>
      <w:r w:rsidR="00DB7ECA" w:rsidRPr="00FC74AB">
        <w:rPr>
          <w:lang w:val="ca-ES"/>
        </w:rPr>
        <w:t xml:space="preserve"> </w:t>
      </w:r>
      <w:r w:rsidRPr="00FC74AB">
        <w:rPr>
          <w:lang w:val="ca-ES"/>
        </w:rPr>
        <w:t xml:space="preserve">80, la privatització </w:t>
      </w:r>
      <w:r w:rsidR="00DB7ECA" w:rsidRPr="00FC74AB">
        <w:rPr>
          <w:lang w:val="ca-ES"/>
        </w:rPr>
        <w:t xml:space="preserve">va començar </w:t>
      </w:r>
      <w:r w:rsidRPr="00FC74AB">
        <w:rPr>
          <w:lang w:val="ca-ES"/>
        </w:rPr>
        <w:t xml:space="preserve">a estendre’s, ja que les institucions financeres internacionals </w:t>
      </w:r>
      <w:r w:rsidR="00DB7ECA" w:rsidRPr="00FC74AB">
        <w:rPr>
          <w:lang w:val="ca-ES"/>
        </w:rPr>
        <w:t xml:space="preserve">la van promoure </w:t>
      </w:r>
      <w:r w:rsidRPr="00FC74AB">
        <w:rPr>
          <w:lang w:val="ca-ES"/>
        </w:rPr>
        <w:t>activament. A través de diversos instruments jurídics, arranjaments contractuals i diferents mitjans,</w:t>
      </w:r>
      <w:r w:rsidR="00A00998" w:rsidRPr="00FC74AB">
        <w:rPr>
          <w:lang w:val="ca-ES"/>
        </w:rPr>
        <w:t xml:space="preserve"> s'ha atorgat a les entitats d</w:t>
      </w:r>
      <w:r w:rsidRPr="00FC74AB">
        <w:rPr>
          <w:lang w:val="ca-ES"/>
        </w:rPr>
        <w:t xml:space="preserve">el sector privat una major presència al sector de l'aigua i el sanejament i, com a conseqüència, les seves actuacions han acabat afectant el resultat de la prestació de serveis que </w:t>
      </w:r>
      <w:r w:rsidR="00A73E19" w:rsidRPr="00FC74AB">
        <w:rPr>
          <w:lang w:val="ca-ES"/>
        </w:rPr>
        <w:t xml:space="preserve">subministren </w:t>
      </w:r>
      <w:r w:rsidR="00C26D4C" w:rsidRPr="00FC74AB">
        <w:rPr>
          <w:lang w:val="ca-ES"/>
        </w:rPr>
        <w:t xml:space="preserve">a </w:t>
      </w:r>
      <w:r w:rsidRPr="00FC74AB">
        <w:rPr>
          <w:lang w:val="ca-ES"/>
        </w:rPr>
        <w:t>una part de la població mundial.</w:t>
      </w:r>
    </w:p>
    <w:p w14:paraId="03E9E4A7" w14:textId="675984A4" w:rsidR="007E16DC" w:rsidRPr="00FC74AB" w:rsidRDefault="003C6704" w:rsidP="00F67D2A">
      <w:pPr>
        <w:pStyle w:val="SingleTxt"/>
        <w:numPr>
          <w:ilvl w:val="2"/>
          <w:numId w:val="49"/>
        </w:numPr>
        <w:spacing w:line="240" w:lineRule="atLeast"/>
        <w:ind w:left="1267" w:firstLine="0"/>
        <w:rPr>
          <w:lang w:val="ca-ES"/>
        </w:rPr>
      </w:pPr>
      <w:r w:rsidRPr="00FC74AB">
        <w:rPr>
          <w:lang w:val="ca-ES"/>
        </w:rPr>
        <w:t xml:space="preserve">La comunitat de drets humans ha expressat opinions </w:t>
      </w:r>
      <w:r w:rsidR="008D1D98" w:rsidRPr="00FC74AB">
        <w:rPr>
          <w:lang w:val="ca-ES"/>
        </w:rPr>
        <w:t xml:space="preserve">diverses </w:t>
      </w:r>
      <w:r w:rsidRPr="00FC74AB">
        <w:rPr>
          <w:lang w:val="ca-ES"/>
        </w:rPr>
        <w:t>sobre la privatització dels serveis d’aigua i sanejament.</w:t>
      </w:r>
      <w:r w:rsidR="00C26D4C" w:rsidRPr="00FC74AB">
        <w:rPr>
          <w:lang w:val="ca-ES"/>
        </w:rPr>
        <w:t xml:space="preserve"> A un extrem</w:t>
      </w:r>
      <w:r w:rsidR="007E16DC" w:rsidRPr="00FC74AB">
        <w:rPr>
          <w:lang w:val="ca-ES"/>
        </w:rPr>
        <w:t xml:space="preserve"> de</w:t>
      </w:r>
      <w:r w:rsidR="00C26D4C" w:rsidRPr="00FC74AB">
        <w:rPr>
          <w:lang w:val="ca-ES"/>
        </w:rPr>
        <w:t xml:space="preserve"> </w:t>
      </w:r>
      <w:r w:rsidR="007E16DC" w:rsidRPr="00FC74AB">
        <w:rPr>
          <w:lang w:val="ca-ES"/>
        </w:rPr>
        <w:t>l</w:t>
      </w:r>
      <w:r w:rsidR="00C26D4C" w:rsidRPr="00FC74AB">
        <w:rPr>
          <w:lang w:val="ca-ES"/>
        </w:rPr>
        <w:t>’espectre</w:t>
      </w:r>
      <w:r w:rsidR="007E16DC" w:rsidRPr="00FC74AB">
        <w:rPr>
          <w:lang w:val="ca-ES"/>
        </w:rPr>
        <w:t xml:space="preserve">, </w:t>
      </w:r>
      <w:r w:rsidRPr="00FC74AB">
        <w:rPr>
          <w:lang w:val="ca-ES"/>
        </w:rPr>
        <w:t>el</w:t>
      </w:r>
      <w:r w:rsidR="007E16DC" w:rsidRPr="00FC74AB">
        <w:rPr>
          <w:lang w:val="ca-ES"/>
        </w:rPr>
        <w:t xml:space="preserve">s </w:t>
      </w:r>
      <w:r w:rsidRPr="00FC74AB">
        <w:rPr>
          <w:lang w:val="ca-ES"/>
        </w:rPr>
        <w:t xml:space="preserve">moviments contra la privatització </w:t>
      </w:r>
      <w:r w:rsidR="007E16DC" w:rsidRPr="00FC74AB">
        <w:rPr>
          <w:lang w:val="ca-ES"/>
        </w:rPr>
        <w:t xml:space="preserve">han </w:t>
      </w:r>
      <w:r w:rsidR="00C26D4C" w:rsidRPr="00FC74AB">
        <w:rPr>
          <w:lang w:val="ca-ES"/>
        </w:rPr>
        <w:t>estat molt categòric</w:t>
      </w:r>
      <w:r w:rsidR="007E16DC" w:rsidRPr="00FC74AB">
        <w:rPr>
          <w:lang w:val="ca-ES"/>
        </w:rPr>
        <w:t xml:space="preserve">s </w:t>
      </w:r>
      <w:r w:rsidR="00A73E19" w:rsidRPr="00FC74AB">
        <w:rPr>
          <w:lang w:val="ca-ES"/>
        </w:rPr>
        <w:t>afirmant</w:t>
      </w:r>
      <w:r w:rsidR="007E16DC" w:rsidRPr="00FC74AB">
        <w:rPr>
          <w:lang w:val="ca-ES"/>
        </w:rPr>
        <w:t xml:space="preserve"> que </w:t>
      </w:r>
      <w:r w:rsidRPr="00FC74AB">
        <w:rPr>
          <w:lang w:val="ca-ES"/>
        </w:rPr>
        <w:t xml:space="preserve">el subministrament públic és el model més adequat per acomplir els drets humans a l’aigua i, més </w:t>
      </w:r>
      <w:r w:rsidR="00C26D4C" w:rsidRPr="00FC74AB">
        <w:rPr>
          <w:lang w:val="ca-ES"/>
        </w:rPr>
        <w:lastRenderedPageBreak/>
        <w:t>recentment</w:t>
      </w:r>
      <w:r w:rsidR="007E16DC" w:rsidRPr="00FC74AB">
        <w:rPr>
          <w:lang w:val="ca-ES"/>
        </w:rPr>
        <w:t xml:space="preserve">, al </w:t>
      </w:r>
      <w:r w:rsidR="007E4E7F" w:rsidRPr="00FC74AB">
        <w:rPr>
          <w:lang w:val="ca-ES"/>
        </w:rPr>
        <w:t>sanejament</w:t>
      </w:r>
      <w:r w:rsidR="007E16DC" w:rsidRPr="00FC74AB">
        <w:rPr>
          <w:rStyle w:val="FootnoteReference"/>
          <w:lang w:val="ca-ES"/>
        </w:rPr>
        <w:footnoteReference w:id="1"/>
      </w:r>
      <w:r w:rsidR="007E16DC" w:rsidRPr="00FC74AB">
        <w:rPr>
          <w:lang w:val="ca-ES"/>
        </w:rPr>
        <w:t xml:space="preserve">. </w:t>
      </w:r>
      <w:r w:rsidR="00C26D4C" w:rsidRPr="00FC74AB">
        <w:rPr>
          <w:lang w:val="ca-ES"/>
        </w:rPr>
        <w:t>A l’altre extrem</w:t>
      </w:r>
      <w:r w:rsidR="007E16DC" w:rsidRPr="00FC74AB">
        <w:rPr>
          <w:lang w:val="ca-ES"/>
        </w:rPr>
        <w:t xml:space="preserve">, </w:t>
      </w:r>
      <w:r w:rsidR="006B30D4" w:rsidRPr="00FC74AB">
        <w:rPr>
          <w:lang w:val="ca-ES"/>
        </w:rPr>
        <w:t>sovint s’addueix</w:t>
      </w:r>
      <w:r w:rsidR="005D4236" w:rsidRPr="00FC74AB">
        <w:rPr>
          <w:lang w:val="ca-ES"/>
        </w:rPr>
        <w:t xml:space="preserve"> la «</w:t>
      </w:r>
      <w:r w:rsidR="00C26D4C" w:rsidRPr="00FC74AB">
        <w:rPr>
          <w:lang w:val="ca-ES"/>
        </w:rPr>
        <w:t>neutralitat</w:t>
      </w:r>
      <w:r w:rsidR="00832ABB" w:rsidRPr="00FC74AB">
        <w:rPr>
          <w:lang w:val="ca-ES"/>
        </w:rPr>
        <w:t>»</w:t>
      </w:r>
      <w:r w:rsidR="00C26D4C" w:rsidRPr="00FC74AB">
        <w:rPr>
          <w:lang w:val="ca-ES"/>
        </w:rPr>
        <w:t xml:space="preserve"> o </w:t>
      </w:r>
      <w:r w:rsidR="005D4236" w:rsidRPr="00FC74AB">
        <w:rPr>
          <w:lang w:val="ca-ES"/>
        </w:rPr>
        <w:t>«</w:t>
      </w:r>
      <w:r w:rsidR="006B30D4" w:rsidRPr="00FC74AB">
        <w:rPr>
          <w:lang w:val="ca-ES"/>
        </w:rPr>
        <w:t>l’</w:t>
      </w:r>
      <w:r w:rsidR="00C26D4C" w:rsidRPr="00FC74AB">
        <w:rPr>
          <w:lang w:val="ca-ES"/>
        </w:rPr>
        <w:t>agnosticisme</w:t>
      </w:r>
      <w:r w:rsidR="00832ABB" w:rsidRPr="00FC74AB">
        <w:rPr>
          <w:lang w:val="ca-ES"/>
        </w:rPr>
        <w:t>»</w:t>
      </w:r>
      <w:r w:rsidR="00C26D4C" w:rsidRPr="00FC74AB">
        <w:rPr>
          <w:lang w:val="ca-ES"/>
        </w:rPr>
        <w:t xml:space="preserve"> del marc de drets humans </w:t>
      </w:r>
      <w:r w:rsidR="006B30D4" w:rsidRPr="00FC74AB">
        <w:rPr>
          <w:lang w:val="ca-ES"/>
        </w:rPr>
        <w:t>respecte</w:t>
      </w:r>
      <w:r w:rsidR="00C26D4C" w:rsidRPr="00FC74AB">
        <w:rPr>
          <w:lang w:val="ca-ES"/>
        </w:rPr>
        <w:t xml:space="preserve"> de</w:t>
      </w:r>
      <w:r w:rsidR="006B30D4" w:rsidRPr="00FC74AB">
        <w:rPr>
          <w:lang w:val="ca-ES"/>
        </w:rPr>
        <w:t>l</w:t>
      </w:r>
      <w:r w:rsidR="00C26D4C" w:rsidRPr="00FC74AB">
        <w:rPr>
          <w:lang w:val="ca-ES"/>
        </w:rPr>
        <w:t xml:space="preserve"> subministrador</w:t>
      </w:r>
      <w:r w:rsidR="007E16DC" w:rsidRPr="00FC74AB">
        <w:rPr>
          <w:lang w:val="ca-ES"/>
        </w:rPr>
        <w:t xml:space="preserve">. </w:t>
      </w:r>
      <w:r w:rsidR="00C26D4C" w:rsidRPr="00FC74AB">
        <w:rPr>
          <w:lang w:val="ca-ES"/>
        </w:rPr>
        <w:t>Aque</w:t>
      </w:r>
      <w:r w:rsidR="007E16DC" w:rsidRPr="00FC74AB">
        <w:rPr>
          <w:lang w:val="ca-ES"/>
        </w:rPr>
        <w:t>sta postura def</w:t>
      </w:r>
      <w:r w:rsidR="00C26D4C" w:rsidRPr="00FC74AB">
        <w:rPr>
          <w:lang w:val="ca-ES"/>
        </w:rPr>
        <w:t xml:space="preserve">ensa </w:t>
      </w:r>
      <w:r w:rsidR="007E16DC" w:rsidRPr="00FC74AB">
        <w:rPr>
          <w:lang w:val="ca-ES"/>
        </w:rPr>
        <w:t xml:space="preserve">que </w:t>
      </w:r>
      <w:r w:rsidR="003D1714" w:rsidRPr="00FC74AB">
        <w:rPr>
          <w:lang w:val="ca-ES"/>
        </w:rPr>
        <w:t xml:space="preserve">el més </w:t>
      </w:r>
      <w:r w:rsidR="007E16DC" w:rsidRPr="00FC74AB">
        <w:rPr>
          <w:lang w:val="ca-ES"/>
        </w:rPr>
        <w:t>importa</w:t>
      </w:r>
      <w:r w:rsidR="003D1714" w:rsidRPr="00FC74AB">
        <w:rPr>
          <w:lang w:val="ca-ES"/>
        </w:rPr>
        <w:t>nt só</w:t>
      </w:r>
      <w:r w:rsidR="007E16DC" w:rsidRPr="00FC74AB">
        <w:rPr>
          <w:lang w:val="ca-ES"/>
        </w:rPr>
        <w:t xml:space="preserve">n </w:t>
      </w:r>
      <w:r w:rsidR="003D1714" w:rsidRPr="00FC74AB">
        <w:rPr>
          <w:lang w:val="ca-ES"/>
        </w:rPr>
        <w:t>els resultats</w:t>
      </w:r>
      <w:r w:rsidR="007E16DC" w:rsidRPr="00FC74AB">
        <w:rPr>
          <w:lang w:val="ca-ES"/>
        </w:rPr>
        <w:t xml:space="preserve"> de la </w:t>
      </w:r>
      <w:r w:rsidR="003D1714" w:rsidRPr="00FC74AB">
        <w:rPr>
          <w:lang w:val="ca-ES"/>
        </w:rPr>
        <w:t>prestació de serveis, que són independents del model de prestació</w:t>
      </w:r>
      <w:r w:rsidR="007E16DC" w:rsidRPr="00FC74AB">
        <w:rPr>
          <w:rStyle w:val="FootnoteReference"/>
          <w:lang w:val="ca-ES"/>
        </w:rPr>
        <w:footnoteReference w:id="2"/>
      </w:r>
      <w:r w:rsidR="007E16DC" w:rsidRPr="00FC74AB">
        <w:rPr>
          <w:lang w:val="ca-ES"/>
        </w:rPr>
        <w:t>,</w:t>
      </w:r>
      <w:r w:rsidR="007E4E7F" w:rsidRPr="00FC74AB">
        <w:rPr>
          <w:lang w:val="ca-ES"/>
        </w:rPr>
        <w:t xml:space="preserve"> i </w:t>
      </w:r>
      <w:r w:rsidR="003D1714" w:rsidRPr="00FC74AB">
        <w:rPr>
          <w:lang w:val="ca-ES"/>
        </w:rPr>
        <w:t>que el marc</w:t>
      </w:r>
      <w:r w:rsidR="007E16DC" w:rsidRPr="00FC74AB">
        <w:rPr>
          <w:lang w:val="ca-ES"/>
        </w:rPr>
        <w:t xml:space="preserve"> de </w:t>
      </w:r>
      <w:r w:rsidR="007E4E7F" w:rsidRPr="00FC74AB">
        <w:rPr>
          <w:lang w:val="ca-ES"/>
        </w:rPr>
        <w:t>drets humans</w:t>
      </w:r>
      <w:r w:rsidR="007E16DC" w:rsidRPr="00FC74AB">
        <w:rPr>
          <w:lang w:val="ca-ES"/>
        </w:rPr>
        <w:t xml:space="preserve"> no exige</w:t>
      </w:r>
      <w:r w:rsidR="003D1714" w:rsidRPr="00FC74AB">
        <w:rPr>
          <w:lang w:val="ca-ES"/>
        </w:rPr>
        <w:t>ix</w:t>
      </w:r>
      <w:r w:rsidR="007E16DC" w:rsidRPr="00FC74AB">
        <w:rPr>
          <w:lang w:val="ca-ES"/>
        </w:rPr>
        <w:t xml:space="preserve"> que </w:t>
      </w:r>
      <w:r w:rsidR="003D1714" w:rsidRPr="00FC74AB">
        <w:rPr>
          <w:lang w:val="ca-ES"/>
        </w:rPr>
        <w:t>el</w:t>
      </w:r>
      <w:r w:rsidR="007E16DC" w:rsidRPr="00FC74AB">
        <w:rPr>
          <w:lang w:val="ca-ES"/>
        </w:rPr>
        <w:t xml:space="preserve">s </w:t>
      </w:r>
      <w:r w:rsidR="006B30D4" w:rsidRPr="00FC74AB">
        <w:rPr>
          <w:lang w:val="ca-ES"/>
        </w:rPr>
        <w:t>e</w:t>
      </w:r>
      <w:r w:rsidR="00195395" w:rsidRPr="00FC74AB">
        <w:rPr>
          <w:lang w:val="ca-ES"/>
        </w:rPr>
        <w:t>stats</w:t>
      </w:r>
      <w:r w:rsidR="003D1714" w:rsidRPr="00FC74AB">
        <w:rPr>
          <w:lang w:val="ca-ES"/>
        </w:rPr>
        <w:t xml:space="preserve"> adopti</w:t>
      </w:r>
      <w:r w:rsidR="007E16DC" w:rsidRPr="00FC74AB">
        <w:rPr>
          <w:lang w:val="ca-ES"/>
        </w:rPr>
        <w:t xml:space="preserve">n </w:t>
      </w:r>
      <w:r w:rsidR="003D1714" w:rsidRPr="00FC74AB">
        <w:rPr>
          <w:lang w:val="ca-ES"/>
        </w:rPr>
        <w:t xml:space="preserve">cap </w:t>
      </w:r>
      <w:r w:rsidR="004A76B7" w:rsidRPr="00FC74AB">
        <w:rPr>
          <w:lang w:val="ca-ES"/>
        </w:rPr>
        <w:t>model</w:t>
      </w:r>
      <w:r w:rsidR="007E16DC" w:rsidRPr="00FC74AB">
        <w:rPr>
          <w:lang w:val="ca-ES"/>
        </w:rPr>
        <w:t xml:space="preserve"> en particular (</w:t>
      </w:r>
      <w:hyperlink r:id="rId15" w:history="1">
        <w:r w:rsidR="007E16DC" w:rsidRPr="00FC74AB">
          <w:rPr>
            <w:rStyle w:val="Hyperlink"/>
            <w:lang w:val="ca-ES"/>
          </w:rPr>
          <w:t>A/HRC/15/31</w:t>
        </w:r>
      </w:hyperlink>
      <w:r w:rsidR="003D1714" w:rsidRPr="00FC74AB">
        <w:rPr>
          <w:lang w:val="ca-ES"/>
        </w:rPr>
        <w:t xml:space="preserve">, </w:t>
      </w:r>
      <w:r w:rsidR="00F67D2A" w:rsidRPr="00FC74AB">
        <w:rPr>
          <w:lang w:val="ca-ES"/>
        </w:rPr>
        <w:t>§</w:t>
      </w:r>
      <w:r w:rsidR="007E16DC" w:rsidRPr="00FC74AB">
        <w:rPr>
          <w:lang w:val="ca-ES"/>
        </w:rPr>
        <w:t xml:space="preserve"> 15). </w:t>
      </w:r>
      <w:r w:rsidR="003D1714" w:rsidRPr="00FC74AB">
        <w:rPr>
          <w:lang w:val="ca-ES"/>
        </w:rPr>
        <w:t xml:space="preserve">No obstant això, aquest discurs ha obert la porta a la idea acrítica que la prestació pública i la privada són equivalents pel </w:t>
      </w:r>
      <w:r w:rsidR="003D1714" w:rsidRPr="00FC74AB">
        <w:rPr>
          <w:lang w:val="ca-ES"/>
        </w:rPr>
        <w:lastRenderedPageBreak/>
        <w:t>que fa a l'observança dels drets humans.</w:t>
      </w:r>
    </w:p>
    <w:p w14:paraId="3EF580F5" w14:textId="53894026" w:rsidR="007E16DC" w:rsidRPr="00FC74AB" w:rsidRDefault="000A30ED" w:rsidP="0005151C">
      <w:pPr>
        <w:pStyle w:val="SingleTxt"/>
        <w:numPr>
          <w:ilvl w:val="2"/>
          <w:numId w:val="49"/>
        </w:numPr>
        <w:spacing w:line="240" w:lineRule="atLeast"/>
        <w:ind w:left="1267" w:firstLine="0"/>
        <w:rPr>
          <w:lang w:val="ca-ES"/>
        </w:rPr>
      </w:pPr>
      <w:r w:rsidRPr="00FC74AB">
        <w:rPr>
          <w:lang w:val="ca-ES"/>
        </w:rPr>
        <w:t>La redacció</w:t>
      </w:r>
      <w:r w:rsidR="007E16DC" w:rsidRPr="00FC74AB">
        <w:rPr>
          <w:lang w:val="ca-ES"/>
        </w:rPr>
        <w:t xml:space="preserve"> de l</w:t>
      </w:r>
      <w:r w:rsidRPr="00FC74AB">
        <w:rPr>
          <w:lang w:val="ca-ES"/>
        </w:rPr>
        <w:t>’observació</w:t>
      </w:r>
      <w:r w:rsidR="007E16DC" w:rsidRPr="00FC74AB">
        <w:rPr>
          <w:lang w:val="ca-ES"/>
        </w:rPr>
        <w:t xml:space="preserve"> general núm. 15 (2002) del </w:t>
      </w:r>
      <w:r w:rsidRPr="00FC74AB">
        <w:rPr>
          <w:lang w:val="ca-ES"/>
        </w:rPr>
        <w:t xml:space="preserve">Comitè de Drets Econòmics, Socials i </w:t>
      </w:r>
      <w:r w:rsidR="0005151C" w:rsidRPr="00FC74AB">
        <w:rPr>
          <w:lang w:val="ca-ES"/>
        </w:rPr>
        <w:t>Culturals, relativa al dret a l’</w:t>
      </w:r>
      <w:r w:rsidRPr="00FC74AB">
        <w:rPr>
          <w:lang w:val="ca-ES"/>
        </w:rPr>
        <w:t xml:space="preserve">aigua, </w:t>
      </w:r>
      <w:r w:rsidR="000A1032" w:rsidRPr="00FC74AB">
        <w:rPr>
          <w:lang w:val="ca-ES"/>
        </w:rPr>
        <w:t xml:space="preserve">va recollir </w:t>
      </w:r>
      <w:r w:rsidRPr="00FC74AB">
        <w:rPr>
          <w:lang w:val="ca-ES"/>
        </w:rPr>
        <w:t xml:space="preserve">la polarització del debat </w:t>
      </w:r>
      <w:r w:rsidR="006B30D4" w:rsidRPr="00FC74AB">
        <w:rPr>
          <w:lang w:val="ca-ES"/>
        </w:rPr>
        <w:t xml:space="preserve">entorn a </w:t>
      </w:r>
      <w:r w:rsidRPr="00FC74AB">
        <w:rPr>
          <w:lang w:val="ca-ES"/>
        </w:rPr>
        <w:t>la privatització dels serveis d'aigua i sanejament. En les versions inicials, el text demanava l’ajornament de la privatització fins que s’establissin sistemes normatius</w:t>
      </w:r>
      <w:r w:rsidR="008E4D98" w:rsidRPr="00FC74AB">
        <w:rPr>
          <w:lang w:val="ca-ES"/>
        </w:rPr>
        <w:t xml:space="preserve"> suficients</w:t>
      </w:r>
      <w:r w:rsidR="007E16DC" w:rsidRPr="00FC74AB">
        <w:rPr>
          <w:rStyle w:val="FootnoteReference"/>
          <w:spacing w:val="3"/>
          <w:w w:val="102"/>
          <w:lang w:val="ca-ES"/>
        </w:rPr>
        <w:footnoteReference w:id="3"/>
      </w:r>
      <w:r w:rsidR="007E16DC" w:rsidRPr="00FC74AB">
        <w:rPr>
          <w:lang w:val="ca-ES"/>
        </w:rPr>
        <w:t xml:space="preserve">. </w:t>
      </w:r>
      <w:r w:rsidR="008E4D98" w:rsidRPr="00FC74AB">
        <w:rPr>
          <w:lang w:val="ca-ES"/>
        </w:rPr>
        <w:t xml:space="preserve">Finalment, es va adoptar una formulació més mesurada. </w:t>
      </w:r>
      <w:r w:rsidR="004A76B7" w:rsidRPr="00FC74AB">
        <w:rPr>
          <w:lang w:val="ca-ES"/>
        </w:rPr>
        <w:t xml:space="preserve">En referir-se a </w:t>
      </w:r>
      <w:r w:rsidR="0005151C" w:rsidRPr="00FC74AB">
        <w:rPr>
          <w:lang w:val="ca-ES"/>
        </w:rPr>
        <w:t xml:space="preserve">subministradors </w:t>
      </w:r>
      <w:r w:rsidR="004A76B7" w:rsidRPr="00FC74AB">
        <w:rPr>
          <w:lang w:val="ca-ES"/>
        </w:rPr>
        <w:t>tant públics com privats, el Comitè va</w:t>
      </w:r>
      <w:r w:rsidR="0005151C" w:rsidRPr="00FC74AB">
        <w:rPr>
          <w:lang w:val="ca-ES"/>
        </w:rPr>
        <w:t xml:space="preserve"> assenyalar al paràgraf 11 de l’</w:t>
      </w:r>
      <w:r w:rsidR="004A76B7" w:rsidRPr="00FC74AB">
        <w:rPr>
          <w:lang w:val="ca-ES"/>
        </w:rPr>
        <w:t xml:space="preserve">observació general que </w:t>
      </w:r>
      <w:r w:rsidR="006B6C52" w:rsidRPr="00FC74AB">
        <w:rPr>
          <w:lang w:val="ca-ES"/>
        </w:rPr>
        <w:t>«</w:t>
      </w:r>
      <w:r w:rsidR="0005151C" w:rsidRPr="00FC74AB">
        <w:rPr>
          <w:lang w:val="ca-ES"/>
        </w:rPr>
        <w:t>l’</w:t>
      </w:r>
      <w:r w:rsidR="004A76B7" w:rsidRPr="00FC74AB">
        <w:rPr>
          <w:lang w:val="ca-ES"/>
        </w:rPr>
        <w:t>aigua s</w:t>
      </w:r>
      <w:r w:rsidR="0005151C" w:rsidRPr="00FC74AB">
        <w:rPr>
          <w:lang w:val="ca-ES"/>
        </w:rPr>
        <w:t>’</w:t>
      </w:r>
      <w:r w:rsidR="004A76B7" w:rsidRPr="00FC74AB">
        <w:rPr>
          <w:lang w:val="ca-ES"/>
        </w:rPr>
        <w:t xml:space="preserve">ha de tractar com </w:t>
      </w:r>
      <w:r w:rsidR="006B6C52" w:rsidRPr="00FC74AB">
        <w:rPr>
          <w:lang w:val="ca-ES"/>
        </w:rPr>
        <w:t>a</w:t>
      </w:r>
      <w:r w:rsidR="004A76B7" w:rsidRPr="00FC74AB">
        <w:rPr>
          <w:lang w:val="ca-ES"/>
        </w:rPr>
        <w:t xml:space="preserve"> bé social i cultural, i no fonamentalment com </w:t>
      </w:r>
      <w:r w:rsidR="006B6C52" w:rsidRPr="00FC74AB">
        <w:rPr>
          <w:lang w:val="ca-ES"/>
        </w:rPr>
        <w:t>a</w:t>
      </w:r>
      <w:r w:rsidR="004A76B7" w:rsidRPr="00FC74AB">
        <w:rPr>
          <w:lang w:val="ca-ES"/>
        </w:rPr>
        <w:t xml:space="preserve"> bé econòmic</w:t>
      </w:r>
      <w:r w:rsidR="006B6C52" w:rsidRPr="00FC74AB">
        <w:rPr>
          <w:lang w:val="ca-ES"/>
        </w:rPr>
        <w:t>»</w:t>
      </w:r>
      <w:r w:rsidR="004A76B7" w:rsidRPr="00FC74AB">
        <w:rPr>
          <w:lang w:val="ca-ES"/>
        </w:rPr>
        <w:t>. A</w:t>
      </w:r>
      <w:r w:rsidR="008E4D98" w:rsidRPr="00FC74AB">
        <w:rPr>
          <w:lang w:val="ca-ES"/>
        </w:rPr>
        <w:t>l paràgraf 24, el Comitè també va subratllar l'ob</w:t>
      </w:r>
      <w:r w:rsidR="004A76B7" w:rsidRPr="00FC74AB">
        <w:rPr>
          <w:lang w:val="ca-ES"/>
        </w:rPr>
        <w:t xml:space="preserve">ligació de l'Estat de protegir </w:t>
      </w:r>
      <w:r w:rsidR="00323268" w:rsidRPr="00FC74AB">
        <w:rPr>
          <w:lang w:val="ca-ES"/>
        </w:rPr>
        <w:t>«</w:t>
      </w:r>
      <w:r w:rsidR="0005151C" w:rsidRPr="00FC74AB">
        <w:rPr>
          <w:lang w:val="ca-ES"/>
        </w:rPr>
        <w:t>l’</w:t>
      </w:r>
      <w:r w:rsidR="008E4D98" w:rsidRPr="00FC74AB">
        <w:rPr>
          <w:lang w:val="ca-ES"/>
        </w:rPr>
        <w:t>accés físic en condicions d'igualtat i a un cost raonable</w:t>
      </w:r>
      <w:r w:rsidR="00323268" w:rsidRPr="00FC74AB">
        <w:rPr>
          <w:lang w:val="ca-ES"/>
        </w:rPr>
        <w:t>»</w:t>
      </w:r>
      <w:r w:rsidR="008E4D98" w:rsidRPr="00FC74AB">
        <w:rPr>
          <w:lang w:val="ca-ES"/>
        </w:rPr>
        <w:t xml:space="preserve"> </w:t>
      </w:r>
      <w:r w:rsidR="004A76B7" w:rsidRPr="00FC74AB">
        <w:rPr>
          <w:lang w:val="ca-ES"/>
        </w:rPr>
        <w:t xml:space="preserve">dels abusos, quan els serveis de </w:t>
      </w:r>
      <w:r w:rsidR="004A76B7" w:rsidRPr="00FC74AB">
        <w:rPr>
          <w:lang w:val="ca-ES"/>
        </w:rPr>
        <w:lastRenderedPageBreak/>
        <w:t>subministrament d'aigua siguin explotats o estiguin controlats per tercers, mitjançant un sistema normatiu eficaç</w:t>
      </w:r>
      <w:r w:rsidR="008E4D98" w:rsidRPr="00FC74AB">
        <w:rPr>
          <w:lang w:val="ca-ES"/>
        </w:rPr>
        <w:t xml:space="preserve"> que ha de preveure una supervisió independent, </w:t>
      </w:r>
      <w:r w:rsidR="00B70210" w:rsidRPr="00FC74AB">
        <w:rPr>
          <w:lang w:val="ca-ES"/>
        </w:rPr>
        <w:t xml:space="preserve">la </w:t>
      </w:r>
      <w:r w:rsidR="008E4D98" w:rsidRPr="00FC74AB">
        <w:rPr>
          <w:lang w:val="ca-ES"/>
        </w:rPr>
        <w:t>participació pública i la imposi</w:t>
      </w:r>
      <w:r w:rsidR="004A76B7" w:rsidRPr="00FC74AB">
        <w:rPr>
          <w:lang w:val="ca-ES"/>
        </w:rPr>
        <w:t xml:space="preserve">ció de multes per incompliment. Malgrat aquestes directrius, </w:t>
      </w:r>
      <w:r w:rsidR="00323268" w:rsidRPr="00FC74AB">
        <w:rPr>
          <w:lang w:val="ca-ES"/>
        </w:rPr>
        <w:t>encara cal interpretar i desenvolupar més clarament què</w:t>
      </w:r>
      <w:r w:rsidR="004A76B7" w:rsidRPr="00FC74AB">
        <w:rPr>
          <w:lang w:val="ca-ES"/>
        </w:rPr>
        <w:t xml:space="preserve"> significa i </w:t>
      </w:r>
      <w:r w:rsidR="00323268" w:rsidRPr="00FC74AB">
        <w:rPr>
          <w:lang w:val="ca-ES"/>
        </w:rPr>
        <w:t>quine</w:t>
      </w:r>
      <w:r w:rsidR="004A76B7" w:rsidRPr="00FC74AB">
        <w:rPr>
          <w:lang w:val="ca-ES"/>
        </w:rPr>
        <w:t xml:space="preserve">s conseqüències </w:t>
      </w:r>
      <w:r w:rsidR="00323268" w:rsidRPr="00FC74AB">
        <w:rPr>
          <w:lang w:val="ca-ES"/>
        </w:rPr>
        <w:t>té</w:t>
      </w:r>
      <w:r w:rsidR="004A76B7" w:rsidRPr="00FC74AB">
        <w:rPr>
          <w:lang w:val="ca-ES"/>
        </w:rPr>
        <w:t xml:space="preserve"> tractar l’aigua com un bé social i cultural més que </w:t>
      </w:r>
      <w:r w:rsidR="00323268" w:rsidRPr="00FC74AB">
        <w:rPr>
          <w:lang w:val="ca-ES"/>
        </w:rPr>
        <w:t xml:space="preserve">com </w:t>
      </w:r>
      <w:r w:rsidR="004A76B7" w:rsidRPr="00FC74AB">
        <w:rPr>
          <w:lang w:val="ca-ES"/>
        </w:rPr>
        <w:t>un bé econòmic, un principi clau d’aquesta observació fundacional.</w:t>
      </w:r>
    </w:p>
    <w:p w14:paraId="6B6109DF" w14:textId="6DE5A992" w:rsidR="007E16DC" w:rsidRPr="00FC74AB" w:rsidRDefault="00B70210" w:rsidP="00233BCF">
      <w:pPr>
        <w:pStyle w:val="SingleTxt"/>
        <w:keepNext/>
        <w:keepLines/>
        <w:numPr>
          <w:ilvl w:val="2"/>
          <w:numId w:val="49"/>
        </w:numPr>
        <w:spacing w:line="240" w:lineRule="atLeast"/>
        <w:ind w:left="1264" w:right="1264" w:firstLine="0"/>
        <w:rPr>
          <w:lang w:val="ca-ES"/>
        </w:rPr>
      </w:pPr>
      <w:r w:rsidRPr="00FC74AB">
        <w:rPr>
          <w:lang w:val="ca-ES"/>
        </w:rPr>
        <w:lastRenderedPageBreak/>
        <w:t xml:space="preserve">En aquest </w:t>
      </w:r>
      <w:r w:rsidR="007E16DC" w:rsidRPr="00FC74AB">
        <w:rPr>
          <w:lang w:val="ca-ES"/>
        </w:rPr>
        <w:t>informe, el Relator Especial sobre</w:t>
      </w:r>
      <w:r w:rsidR="005214BF" w:rsidRPr="00FC74AB">
        <w:rPr>
          <w:lang w:val="ca-ES"/>
        </w:rPr>
        <w:t xml:space="preserve"> els </w:t>
      </w:r>
      <w:r w:rsidR="007E4E7F" w:rsidRPr="00FC74AB">
        <w:rPr>
          <w:lang w:val="ca-ES"/>
        </w:rPr>
        <w:t>drets humans</w:t>
      </w:r>
      <w:r w:rsidR="007E16DC" w:rsidRPr="00FC74AB">
        <w:rPr>
          <w:lang w:val="ca-ES"/>
        </w:rPr>
        <w:t xml:space="preserve"> </w:t>
      </w:r>
      <w:r w:rsidR="007E4E7F" w:rsidRPr="00FC74AB">
        <w:rPr>
          <w:lang w:val="ca-ES"/>
        </w:rPr>
        <w:t xml:space="preserve">a l’aigua potable i </w:t>
      </w:r>
      <w:r w:rsidR="007E16DC" w:rsidRPr="00FC74AB">
        <w:rPr>
          <w:lang w:val="ca-ES"/>
        </w:rPr>
        <w:t xml:space="preserve">al </w:t>
      </w:r>
      <w:r w:rsidR="007E4E7F" w:rsidRPr="00FC74AB">
        <w:rPr>
          <w:lang w:val="ca-ES"/>
        </w:rPr>
        <w:t>sanejament</w:t>
      </w:r>
      <w:r w:rsidR="007E16DC" w:rsidRPr="00FC74AB">
        <w:rPr>
          <w:lang w:val="ca-ES"/>
        </w:rPr>
        <w:t xml:space="preserve">, Sr. Léo Heller, </w:t>
      </w:r>
      <w:r w:rsidR="00B3113E" w:rsidRPr="00FC74AB">
        <w:rPr>
          <w:lang w:val="ca-ES"/>
        </w:rPr>
        <w:t xml:space="preserve">parteix de la premissa que </w:t>
      </w:r>
      <w:r w:rsidR="005214BF" w:rsidRPr="00FC74AB">
        <w:rPr>
          <w:lang w:val="ca-ES"/>
        </w:rPr>
        <w:t xml:space="preserve">els </w:t>
      </w:r>
      <w:r w:rsidR="007E16DC" w:rsidRPr="00FC74AB">
        <w:rPr>
          <w:lang w:val="ca-ES"/>
        </w:rPr>
        <w:t>proces</w:t>
      </w:r>
      <w:r w:rsidR="00B3113E" w:rsidRPr="00FC74AB">
        <w:rPr>
          <w:lang w:val="ca-ES"/>
        </w:rPr>
        <w:t>s</w:t>
      </w:r>
      <w:r w:rsidR="007E16DC" w:rsidRPr="00FC74AB">
        <w:rPr>
          <w:lang w:val="ca-ES"/>
        </w:rPr>
        <w:t xml:space="preserve">os </w:t>
      </w:r>
      <w:r w:rsidR="00B3113E" w:rsidRPr="00FC74AB">
        <w:rPr>
          <w:lang w:val="ca-ES"/>
        </w:rPr>
        <w:t>subj</w:t>
      </w:r>
      <w:r w:rsidR="007E16DC" w:rsidRPr="00FC74AB">
        <w:rPr>
          <w:lang w:val="ca-ES"/>
        </w:rPr>
        <w:t>acen</w:t>
      </w:r>
      <w:r w:rsidR="00B3113E" w:rsidRPr="00FC74AB">
        <w:rPr>
          <w:lang w:val="ca-ES"/>
        </w:rPr>
        <w:t xml:space="preserve">ts de </w:t>
      </w:r>
      <w:r w:rsidR="007E16DC" w:rsidRPr="00FC74AB">
        <w:rPr>
          <w:lang w:val="ca-ES"/>
        </w:rPr>
        <w:t xml:space="preserve">la </w:t>
      </w:r>
      <w:r w:rsidR="003D1714" w:rsidRPr="00FC74AB">
        <w:rPr>
          <w:lang w:val="ca-ES"/>
        </w:rPr>
        <w:t>prestació de serveis</w:t>
      </w:r>
      <w:r w:rsidR="007E16DC" w:rsidRPr="00FC74AB">
        <w:rPr>
          <w:lang w:val="ca-ES"/>
        </w:rPr>
        <w:t xml:space="preserve"> </w:t>
      </w:r>
      <w:r w:rsidR="003A58C9" w:rsidRPr="00FC74AB">
        <w:rPr>
          <w:lang w:val="ca-ES"/>
        </w:rPr>
        <w:t>d’aigua</w:t>
      </w:r>
      <w:r w:rsidR="007E4E7F" w:rsidRPr="00FC74AB">
        <w:rPr>
          <w:lang w:val="ca-ES"/>
        </w:rPr>
        <w:t xml:space="preserve"> i sanejament</w:t>
      </w:r>
      <w:r w:rsidR="00B3113E" w:rsidRPr="00FC74AB">
        <w:rPr>
          <w:lang w:val="ca-ES"/>
        </w:rPr>
        <w:t xml:space="preserve"> no són neutral</w:t>
      </w:r>
      <w:r w:rsidR="007E16DC" w:rsidRPr="00FC74AB">
        <w:rPr>
          <w:lang w:val="ca-ES"/>
        </w:rPr>
        <w:t>s</w:t>
      </w:r>
      <w:r w:rsidR="007E4E7F" w:rsidRPr="00FC74AB">
        <w:rPr>
          <w:lang w:val="ca-ES"/>
        </w:rPr>
        <w:t xml:space="preserve"> i </w:t>
      </w:r>
      <w:r w:rsidR="00B3113E" w:rsidRPr="00FC74AB">
        <w:rPr>
          <w:lang w:val="ca-ES"/>
        </w:rPr>
        <w:t>configure</w:t>
      </w:r>
      <w:r w:rsidR="007E16DC" w:rsidRPr="00FC74AB">
        <w:rPr>
          <w:lang w:val="ca-ES"/>
        </w:rPr>
        <w:t>n l</w:t>
      </w:r>
      <w:r w:rsidR="00B3113E" w:rsidRPr="00FC74AB">
        <w:rPr>
          <w:lang w:val="ca-ES"/>
        </w:rPr>
        <w:t>’entorn social, polític</w:t>
      </w:r>
      <w:r w:rsidR="007E4E7F" w:rsidRPr="00FC74AB">
        <w:rPr>
          <w:lang w:val="ca-ES"/>
        </w:rPr>
        <w:t xml:space="preserve"> i </w:t>
      </w:r>
      <w:r w:rsidR="00B3113E" w:rsidRPr="00FC74AB">
        <w:rPr>
          <w:lang w:val="ca-ES"/>
        </w:rPr>
        <w:t>econòmic</w:t>
      </w:r>
      <w:r w:rsidR="007E16DC" w:rsidRPr="00FC74AB">
        <w:rPr>
          <w:lang w:val="ca-ES"/>
        </w:rPr>
        <w:t xml:space="preserve"> en </w:t>
      </w:r>
      <w:r w:rsidR="00B3113E" w:rsidRPr="00FC74AB">
        <w:rPr>
          <w:lang w:val="ca-ES"/>
        </w:rPr>
        <w:t xml:space="preserve">què s’exerceixen </w:t>
      </w:r>
      <w:r w:rsidR="005214BF" w:rsidRPr="00FC74AB">
        <w:rPr>
          <w:lang w:val="ca-ES"/>
        </w:rPr>
        <w:t xml:space="preserve">els </w:t>
      </w:r>
      <w:r w:rsidR="007E4E7F" w:rsidRPr="00FC74AB">
        <w:rPr>
          <w:lang w:val="ca-ES"/>
        </w:rPr>
        <w:t>drets humans</w:t>
      </w:r>
      <w:r w:rsidR="007E16DC" w:rsidRPr="00FC74AB">
        <w:rPr>
          <w:lang w:val="ca-ES"/>
        </w:rPr>
        <w:t>. A</w:t>
      </w:r>
      <w:r w:rsidR="00B3113E" w:rsidRPr="00FC74AB">
        <w:rPr>
          <w:lang w:val="ca-ES"/>
        </w:rPr>
        <w:t xml:space="preserve"> més</w:t>
      </w:r>
      <w:r w:rsidR="007E16DC" w:rsidRPr="00FC74AB">
        <w:rPr>
          <w:lang w:val="ca-ES"/>
        </w:rPr>
        <w:t xml:space="preserve">, considera que, </w:t>
      </w:r>
      <w:r w:rsidR="004879F7" w:rsidRPr="00FC74AB">
        <w:rPr>
          <w:lang w:val="ca-ES"/>
        </w:rPr>
        <w:t>atès</w:t>
      </w:r>
      <w:r w:rsidR="00B3113E" w:rsidRPr="00FC74AB">
        <w:rPr>
          <w:lang w:val="ca-ES"/>
        </w:rPr>
        <w:t xml:space="preserve"> que </w:t>
      </w:r>
      <w:r w:rsidR="005214BF" w:rsidRPr="00FC74AB">
        <w:rPr>
          <w:lang w:val="ca-ES"/>
        </w:rPr>
        <w:t xml:space="preserve">els </w:t>
      </w:r>
      <w:r w:rsidR="00B3113E" w:rsidRPr="00FC74AB">
        <w:rPr>
          <w:lang w:val="ca-ES"/>
        </w:rPr>
        <w:t>debat</w:t>
      </w:r>
      <w:r w:rsidR="007E16DC" w:rsidRPr="00FC74AB">
        <w:rPr>
          <w:lang w:val="ca-ES"/>
        </w:rPr>
        <w:t>s</w:t>
      </w:r>
      <w:r w:rsidR="007E4E7F" w:rsidRPr="00FC74AB">
        <w:rPr>
          <w:lang w:val="ca-ES"/>
        </w:rPr>
        <w:t xml:space="preserve"> i</w:t>
      </w:r>
      <w:r w:rsidR="00B3113E" w:rsidRPr="00FC74AB">
        <w:rPr>
          <w:lang w:val="ca-ES"/>
        </w:rPr>
        <w:t xml:space="preserve"> les </w:t>
      </w:r>
      <w:r w:rsidR="00320544" w:rsidRPr="00FC74AB">
        <w:rPr>
          <w:lang w:val="ca-ES"/>
        </w:rPr>
        <w:t>inquietuds</w:t>
      </w:r>
      <w:r w:rsidR="007E16DC" w:rsidRPr="00FC74AB">
        <w:rPr>
          <w:lang w:val="ca-ES"/>
        </w:rPr>
        <w:t xml:space="preserve"> </w:t>
      </w:r>
      <w:r w:rsidR="009A31D3" w:rsidRPr="00FC74AB">
        <w:rPr>
          <w:lang w:val="ca-ES"/>
        </w:rPr>
        <w:t>sobre l’</w:t>
      </w:r>
      <w:r w:rsidR="007E16DC" w:rsidRPr="00FC74AB">
        <w:rPr>
          <w:lang w:val="ca-ES"/>
        </w:rPr>
        <w:t>as</w:t>
      </w:r>
      <w:r w:rsidR="009A31D3" w:rsidRPr="00FC74AB">
        <w:rPr>
          <w:lang w:val="ca-ES"/>
        </w:rPr>
        <w:t>sociació</w:t>
      </w:r>
      <w:r w:rsidR="007E16DC" w:rsidRPr="00FC74AB">
        <w:rPr>
          <w:lang w:val="ca-ES"/>
        </w:rPr>
        <w:t xml:space="preserve"> entre la </w:t>
      </w:r>
      <w:r w:rsidR="007E4E7F" w:rsidRPr="00FC74AB">
        <w:rPr>
          <w:lang w:val="ca-ES"/>
        </w:rPr>
        <w:t>privatització i</w:t>
      </w:r>
      <w:r w:rsidR="005214BF" w:rsidRPr="00FC74AB">
        <w:rPr>
          <w:lang w:val="ca-ES"/>
        </w:rPr>
        <w:t xml:space="preserve"> </w:t>
      </w:r>
      <w:r w:rsidR="00320544" w:rsidRPr="00FC74AB">
        <w:rPr>
          <w:lang w:val="ca-ES"/>
        </w:rPr>
        <w:t>les vulneracions del</w:t>
      </w:r>
      <w:r w:rsidR="009A31D3" w:rsidRPr="00FC74AB">
        <w:rPr>
          <w:lang w:val="ca-ES"/>
        </w:rPr>
        <w:t>s</w:t>
      </w:r>
      <w:r w:rsidR="005214BF" w:rsidRPr="00FC74AB">
        <w:rPr>
          <w:lang w:val="ca-ES"/>
        </w:rPr>
        <w:t xml:space="preserve"> </w:t>
      </w:r>
      <w:r w:rsidR="007E4E7F" w:rsidRPr="00FC74AB">
        <w:rPr>
          <w:lang w:val="ca-ES"/>
        </w:rPr>
        <w:t>drets humans</w:t>
      </w:r>
      <w:r w:rsidR="007E16DC" w:rsidRPr="00FC74AB">
        <w:rPr>
          <w:lang w:val="ca-ES"/>
        </w:rPr>
        <w:t xml:space="preserve"> a</w:t>
      </w:r>
      <w:r w:rsidR="00320544" w:rsidRPr="00FC74AB">
        <w:rPr>
          <w:lang w:val="ca-ES"/>
        </w:rPr>
        <w:t xml:space="preserve"> </w:t>
      </w:r>
      <w:r w:rsidR="007E16DC" w:rsidRPr="00FC74AB">
        <w:rPr>
          <w:lang w:val="ca-ES"/>
        </w:rPr>
        <w:t>l</w:t>
      </w:r>
      <w:r w:rsidR="00320544" w:rsidRPr="00FC74AB">
        <w:rPr>
          <w:lang w:val="ca-ES"/>
        </w:rPr>
        <w:t>’</w:t>
      </w:r>
      <w:r w:rsidR="007E16DC" w:rsidRPr="00FC74AB">
        <w:rPr>
          <w:lang w:val="ca-ES"/>
        </w:rPr>
        <w:t>a</w:t>
      </w:r>
      <w:r w:rsidR="00320544" w:rsidRPr="00FC74AB">
        <w:rPr>
          <w:lang w:val="ca-ES"/>
        </w:rPr>
        <w:t>i</w:t>
      </w:r>
      <w:r w:rsidR="007E16DC" w:rsidRPr="00FC74AB">
        <w:rPr>
          <w:lang w:val="ca-ES"/>
        </w:rPr>
        <w:t>gua</w:t>
      </w:r>
      <w:r w:rsidR="007E4E7F" w:rsidRPr="00FC74AB">
        <w:rPr>
          <w:lang w:val="ca-ES"/>
        </w:rPr>
        <w:t xml:space="preserve"> i </w:t>
      </w:r>
      <w:r w:rsidR="00320544" w:rsidRPr="00FC74AB">
        <w:rPr>
          <w:lang w:val="ca-ES"/>
        </w:rPr>
        <w:t>e</w:t>
      </w:r>
      <w:r w:rsidR="007E16DC" w:rsidRPr="00FC74AB">
        <w:rPr>
          <w:lang w:val="ca-ES"/>
        </w:rPr>
        <w:t xml:space="preserve">l </w:t>
      </w:r>
      <w:r w:rsidR="007E4E7F" w:rsidRPr="00FC74AB">
        <w:rPr>
          <w:lang w:val="ca-ES"/>
        </w:rPr>
        <w:t>sanejament</w:t>
      </w:r>
      <w:r w:rsidR="004879F7" w:rsidRPr="00FC74AB">
        <w:rPr>
          <w:lang w:val="ca-ES"/>
        </w:rPr>
        <w:t xml:space="preserve"> t</w:t>
      </w:r>
      <w:r w:rsidR="007E16DC" w:rsidRPr="00FC74AB">
        <w:rPr>
          <w:lang w:val="ca-ES"/>
        </w:rPr>
        <w:t xml:space="preserve">enen una </w:t>
      </w:r>
      <w:r w:rsidR="004879F7" w:rsidRPr="00FC74AB">
        <w:rPr>
          <w:lang w:val="ca-ES"/>
        </w:rPr>
        <w:t>l</w:t>
      </w:r>
      <w:r w:rsidR="007E16DC" w:rsidRPr="00FC74AB">
        <w:rPr>
          <w:lang w:val="ca-ES"/>
        </w:rPr>
        <w:t xml:space="preserve">larga </w:t>
      </w:r>
      <w:r w:rsidR="004879F7" w:rsidRPr="00FC74AB">
        <w:rPr>
          <w:lang w:val="ca-ES"/>
        </w:rPr>
        <w:t>trajectòria</w:t>
      </w:r>
      <w:r w:rsidR="007E16DC" w:rsidRPr="00FC74AB">
        <w:rPr>
          <w:lang w:val="ca-ES"/>
        </w:rPr>
        <w:t xml:space="preserve"> </w:t>
      </w:r>
      <w:r w:rsidR="004879F7" w:rsidRPr="00FC74AB">
        <w:rPr>
          <w:lang w:val="ca-ES"/>
        </w:rPr>
        <w:t>a</w:t>
      </w:r>
      <w:r w:rsidR="007E16DC" w:rsidRPr="00FC74AB">
        <w:rPr>
          <w:lang w:val="ca-ES"/>
        </w:rPr>
        <w:t xml:space="preserve">l sector, correspon al Relator Especial examinar la </w:t>
      </w:r>
      <w:r w:rsidR="004879F7" w:rsidRPr="00FC74AB">
        <w:rPr>
          <w:lang w:val="ca-ES"/>
        </w:rPr>
        <w:t>qüestió</w:t>
      </w:r>
      <w:r w:rsidR="007E16DC" w:rsidRPr="00FC74AB">
        <w:rPr>
          <w:lang w:val="ca-ES"/>
        </w:rPr>
        <w:t xml:space="preserve"> teni</w:t>
      </w:r>
      <w:r w:rsidR="004879F7" w:rsidRPr="00FC74AB">
        <w:rPr>
          <w:lang w:val="ca-ES"/>
        </w:rPr>
        <w:t>nt</w:t>
      </w:r>
      <w:r w:rsidR="00E82FDB" w:rsidRPr="00FC74AB">
        <w:rPr>
          <w:lang w:val="ca-ES"/>
        </w:rPr>
        <w:t>-ne</w:t>
      </w:r>
      <w:r w:rsidR="004879F7" w:rsidRPr="00FC74AB">
        <w:rPr>
          <w:lang w:val="ca-ES"/>
        </w:rPr>
        <w:t xml:space="preserve"> en compte les dimension</w:t>
      </w:r>
      <w:r w:rsidR="007E16DC" w:rsidRPr="00FC74AB">
        <w:rPr>
          <w:lang w:val="ca-ES"/>
        </w:rPr>
        <w:t>s jurídi</w:t>
      </w:r>
      <w:r w:rsidR="004879F7" w:rsidRPr="00FC74AB">
        <w:rPr>
          <w:lang w:val="ca-ES"/>
        </w:rPr>
        <w:t>ques, teò</w:t>
      </w:r>
      <w:r w:rsidR="007E16DC" w:rsidRPr="00FC74AB">
        <w:rPr>
          <w:lang w:val="ca-ES"/>
        </w:rPr>
        <w:t>ri</w:t>
      </w:r>
      <w:r w:rsidR="004879F7" w:rsidRPr="00FC74AB">
        <w:rPr>
          <w:lang w:val="ca-ES"/>
        </w:rPr>
        <w:t>ques</w:t>
      </w:r>
      <w:r w:rsidR="007E4E7F" w:rsidRPr="00FC74AB">
        <w:rPr>
          <w:lang w:val="ca-ES"/>
        </w:rPr>
        <w:t xml:space="preserve"> i </w:t>
      </w:r>
      <w:r w:rsidR="007E16DC" w:rsidRPr="00FC74AB">
        <w:rPr>
          <w:lang w:val="ca-ES"/>
        </w:rPr>
        <w:t>empíri</w:t>
      </w:r>
      <w:r w:rsidR="004879F7" w:rsidRPr="00FC74AB">
        <w:rPr>
          <w:lang w:val="ca-ES"/>
        </w:rPr>
        <w:t>ques</w:t>
      </w:r>
      <w:r w:rsidR="007E16DC" w:rsidRPr="00FC74AB">
        <w:rPr>
          <w:lang w:val="ca-ES"/>
        </w:rPr>
        <w:t xml:space="preserve">. </w:t>
      </w:r>
      <w:r w:rsidR="004879F7" w:rsidRPr="00FC74AB">
        <w:rPr>
          <w:lang w:val="ca-ES"/>
        </w:rPr>
        <w:t xml:space="preserve">L’aplicació de </w:t>
      </w:r>
      <w:r w:rsidR="007E16DC" w:rsidRPr="00FC74AB">
        <w:rPr>
          <w:lang w:val="ca-ES"/>
        </w:rPr>
        <w:t>l</w:t>
      </w:r>
      <w:r w:rsidR="004879F7" w:rsidRPr="00FC74AB">
        <w:rPr>
          <w:lang w:val="ca-ES"/>
        </w:rPr>
        <w:t>’Agenda 2030 pe</w:t>
      </w:r>
      <w:r w:rsidR="007E16DC" w:rsidRPr="00FC74AB">
        <w:rPr>
          <w:lang w:val="ca-ES"/>
        </w:rPr>
        <w:t>r</w:t>
      </w:r>
      <w:r w:rsidR="004879F7" w:rsidRPr="00FC74AB">
        <w:rPr>
          <w:lang w:val="ca-ES"/>
        </w:rPr>
        <w:t xml:space="preserve"> </w:t>
      </w:r>
      <w:r w:rsidR="007E16DC" w:rsidRPr="00FC74AB">
        <w:rPr>
          <w:lang w:val="ca-ES"/>
        </w:rPr>
        <w:t>al Des</w:t>
      </w:r>
      <w:r w:rsidR="004879F7" w:rsidRPr="00FC74AB">
        <w:rPr>
          <w:lang w:val="ca-ES"/>
        </w:rPr>
        <w:t xml:space="preserve">envolupament </w:t>
      </w:r>
      <w:r w:rsidR="007E16DC" w:rsidRPr="00FC74AB">
        <w:rPr>
          <w:lang w:val="ca-ES"/>
        </w:rPr>
        <w:t>Sostenible ha crea</w:t>
      </w:r>
      <w:r w:rsidR="004879F7" w:rsidRPr="00FC74AB">
        <w:rPr>
          <w:lang w:val="ca-ES"/>
        </w:rPr>
        <w:t>t</w:t>
      </w:r>
      <w:r w:rsidR="007E16DC" w:rsidRPr="00FC74AB">
        <w:rPr>
          <w:lang w:val="ca-ES"/>
        </w:rPr>
        <w:t xml:space="preserve"> </w:t>
      </w:r>
      <w:r w:rsidR="00E82FDB" w:rsidRPr="00FC74AB">
        <w:rPr>
          <w:lang w:val="ca-ES"/>
        </w:rPr>
        <w:t xml:space="preserve">la </w:t>
      </w:r>
      <w:r w:rsidR="004879F7" w:rsidRPr="00FC74AB">
        <w:rPr>
          <w:lang w:val="ca-ES"/>
        </w:rPr>
        <w:t>necessitat</w:t>
      </w:r>
      <w:r w:rsidR="007E16DC" w:rsidRPr="00FC74AB">
        <w:rPr>
          <w:lang w:val="ca-ES"/>
        </w:rPr>
        <w:t xml:space="preserve"> </w:t>
      </w:r>
      <w:r w:rsidR="004879F7" w:rsidRPr="00FC74AB">
        <w:rPr>
          <w:lang w:val="ca-ES"/>
        </w:rPr>
        <w:t>peremptòria</w:t>
      </w:r>
      <w:r w:rsidR="007E16DC" w:rsidRPr="00FC74AB">
        <w:rPr>
          <w:lang w:val="ca-ES"/>
        </w:rPr>
        <w:t xml:space="preserve"> d</w:t>
      </w:r>
      <w:r w:rsidR="004879F7" w:rsidRPr="00FC74AB">
        <w:rPr>
          <w:lang w:val="ca-ES"/>
        </w:rPr>
        <w:t>’</w:t>
      </w:r>
      <w:r w:rsidR="007E16DC" w:rsidRPr="00FC74AB">
        <w:rPr>
          <w:lang w:val="ca-ES"/>
        </w:rPr>
        <w:t xml:space="preserve">abordar </w:t>
      </w:r>
      <w:r w:rsidR="004879F7" w:rsidRPr="00FC74AB">
        <w:rPr>
          <w:lang w:val="ca-ES"/>
        </w:rPr>
        <w:t>aqu</w:t>
      </w:r>
      <w:r w:rsidR="007E16DC" w:rsidRPr="00FC74AB">
        <w:rPr>
          <w:lang w:val="ca-ES"/>
        </w:rPr>
        <w:t xml:space="preserve">esta </w:t>
      </w:r>
      <w:r w:rsidR="004879F7" w:rsidRPr="00FC74AB">
        <w:rPr>
          <w:lang w:val="ca-ES"/>
        </w:rPr>
        <w:t>qüestió</w:t>
      </w:r>
      <w:r w:rsidR="007E16DC" w:rsidRPr="00FC74AB">
        <w:rPr>
          <w:lang w:val="ca-ES"/>
        </w:rPr>
        <w:t xml:space="preserve">, </w:t>
      </w:r>
      <w:r w:rsidRPr="00FC74AB">
        <w:rPr>
          <w:lang w:val="ca-ES"/>
        </w:rPr>
        <w:t xml:space="preserve">ja que </w:t>
      </w:r>
      <w:r w:rsidR="004879F7" w:rsidRPr="00FC74AB">
        <w:rPr>
          <w:lang w:val="ca-ES"/>
        </w:rPr>
        <w:t xml:space="preserve">ha </w:t>
      </w:r>
      <w:r w:rsidR="00233BCF" w:rsidRPr="00FC74AB">
        <w:rPr>
          <w:lang w:val="ca-ES"/>
        </w:rPr>
        <w:t xml:space="preserve">torna a posar </w:t>
      </w:r>
      <w:r w:rsidR="007E16DC" w:rsidRPr="00FC74AB">
        <w:rPr>
          <w:lang w:val="ca-ES"/>
        </w:rPr>
        <w:t>pres</w:t>
      </w:r>
      <w:r w:rsidR="004879F7" w:rsidRPr="00FC74AB">
        <w:rPr>
          <w:lang w:val="ca-ES"/>
        </w:rPr>
        <w:t>s</w:t>
      </w:r>
      <w:r w:rsidR="007E16DC" w:rsidRPr="00FC74AB">
        <w:rPr>
          <w:lang w:val="ca-ES"/>
        </w:rPr>
        <w:t xml:space="preserve">ió sobre </w:t>
      </w:r>
      <w:r w:rsidR="004879F7" w:rsidRPr="00FC74AB">
        <w:rPr>
          <w:lang w:val="ca-ES"/>
        </w:rPr>
        <w:t>l’</w:t>
      </w:r>
      <w:r w:rsidR="007E16DC" w:rsidRPr="00FC74AB">
        <w:rPr>
          <w:lang w:val="ca-ES"/>
        </w:rPr>
        <w:t>au</w:t>
      </w:r>
      <w:r w:rsidR="004879F7" w:rsidRPr="00FC74AB">
        <w:rPr>
          <w:lang w:val="ca-ES"/>
        </w:rPr>
        <w:t>gment de la participació</w:t>
      </w:r>
      <w:r w:rsidR="007E16DC" w:rsidRPr="00FC74AB">
        <w:rPr>
          <w:lang w:val="ca-ES"/>
        </w:rPr>
        <w:t xml:space="preserve"> del sector </w:t>
      </w:r>
      <w:r w:rsidR="004879F7" w:rsidRPr="00FC74AB">
        <w:rPr>
          <w:lang w:val="ca-ES"/>
        </w:rPr>
        <w:t>privat</w:t>
      </w:r>
      <w:r w:rsidR="007E16DC" w:rsidRPr="00FC74AB">
        <w:rPr>
          <w:lang w:val="ca-ES"/>
        </w:rPr>
        <w:t>, m</w:t>
      </w:r>
      <w:r w:rsidR="00BE7C83" w:rsidRPr="00FC74AB">
        <w:rPr>
          <w:lang w:val="ca-ES"/>
        </w:rPr>
        <w:t>itjançant la mob</w:t>
      </w:r>
      <w:r w:rsidR="007E16DC" w:rsidRPr="00FC74AB">
        <w:rPr>
          <w:lang w:val="ca-ES"/>
        </w:rPr>
        <w:t>ili</w:t>
      </w:r>
      <w:r w:rsidR="00BE7C83" w:rsidRPr="00FC74AB">
        <w:rPr>
          <w:lang w:val="ca-ES"/>
        </w:rPr>
        <w:t>tzació de diferents forme</w:t>
      </w:r>
      <w:r w:rsidR="007E16DC" w:rsidRPr="00FC74AB">
        <w:rPr>
          <w:lang w:val="ca-ES"/>
        </w:rPr>
        <w:t xml:space="preserve">s de </w:t>
      </w:r>
      <w:r w:rsidR="00BE7C83" w:rsidRPr="00FC74AB">
        <w:rPr>
          <w:lang w:val="ca-ES"/>
        </w:rPr>
        <w:t>finançament que complementi</w:t>
      </w:r>
      <w:r w:rsidR="007E16DC" w:rsidRPr="00FC74AB">
        <w:rPr>
          <w:lang w:val="ca-ES"/>
        </w:rPr>
        <w:t>n</w:t>
      </w:r>
      <w:r w:rsidR="005214BF" w:rsidRPr="00FC74AB">
        <w:rPr>
          <w:lang w:val="ca-ES"/>
        </w:rPr>
        <w:t xml:space="preserve"> els </w:t>
      </w:r>
      <w:r w:rsidR="00BE7C83" w:rsidRPr="00FC74AB">
        <w:rPr>
          <w:lang w:val="ca-ES"/>
        </w:rPr>
        <w:t>fons públics</w:t>
      </w:r>
      <w:r w:rsidR="007E16DC" w:rsidRPr="00FC74AB">
        <w:rPr>
          <w:rStyle w:val="FootnoteReference"/>
          <w:shd w:val="clear" w:color="auto" w:fill="FFFFFF"/>
          <w:lang w:val="ca-ES"/>
        </w:rPr>
        <w:footnoteReference w:id="4"/>
      </w:r>
      <w:r w:rsidR="007E16DC" w:rsidRPr="00FC74AB">
        <w:rPr>
          <w:lang w:val="ca-ES"/>
        </w:rPr>
        <w:t>.</w:t>
      </w:r>
    </w:p>
    <w:p w14:paraId="04C4AC2C" w14:textId="5B455919" w:rsidR="007E16DC" w:rsidRPr="00FC74AB" w:rsidRDefault="00733CB9" w:rsidP="00233BCF">
      <w:pPr>
        <w:pStyle w:val="SingleTxt"/>
        <w:keepNext/>
        <w:keepLines/>
        <w:numPr>
          <w:ilvl w:val="2"/>
          <w:numId w:val="49"/>
        </w:numPr>
        <w:spacing w:line="240" w:lineRule="atLeast"/>
        <w:ind w:left="1264" w:right="1264" w:firstLine="0"/>
        <w:rPr>
          <w:spacing w:val="3"/>
          <w:w w:val="102"/>
          <w:lang w:val="ca-ES"/>
        </w:rPr>
      </w:pPr>
      <w:r w:rsidRPr="00FC74AB">
        <w:rPr>
          <w:lang w:val="ca-ES"/>
        </w:rPr>
        <w:lastRenderedPageBreak/>
        <w:t xml:space="preserve">Tot i que el terme </w:t>
      </w:r>
      <w:r w:rsidR="000010D4" w:rsidRPr="00FC74AB">
        <w:rPr>
          <w:lang w:val="ca-ES"/>
        </w:rPr>
        <w:t>«privatització»</w:t>
      </w:r>
      <w:r w:rsidRPr="00FC74AB">
        <w:rPr>
          <w:lang w:val="ca-ES"/>
        </w:rPr>
        <w:t xml:space="preserve"> s’ha aplicat a diferents situacions de participació privada al sector de l’aigua i el sanejament, aquí s’utilitza en un sentit ampli, que abasta les </w:t>
      </w:r>
      <w:r w:rsidR="000010D4" w:rsidRPr="00FC74AB">
        <w:rPr>
          <w:lang w:val="ca-ES"/>
        </w:rPr>
        <w:t xml:space="preserve">diverses </w:t>
      </w:r>
      <w:r w:rsidRPr="00FC74AB">
        <w:rPr>
          <w:lang w:val="ca-ES"/>
        </w:rPr>
        <w:t>formes en què les autoritats públiques deleguen la prestació de serveis a les entitats del sector privat, i el terme no queda restringit a la venda d’actius.</w:t>
      </w:r>
      <w:r w:rsidR="007E16DC" w:rsidRPr="00FC74AB">
        <w:rPr>
          <w:lang w:val="ca-ES"/>
        </w:rPr>
        <w:t xml:space="preserve"> </w:t>
      </w:r>
      <w:r w:rsidRPr="00FC74AB">
        <w:rPr>
          <w:lang w:val="ca-ES"/>
        </w:rPr>
        <w:t xml:space="preserve">L’ús </w:t>
      </w:r>
      <w:r w:rsidR="007E16DC" w:rsidRPr="00FC74AB">
        <w:rPr>
          <w:lang w:val="ca-ES"/>
        </w:rPr>
        <w:t>del t</w:t>
      </w:r>
      <w:r w:rsidRPr="00FC74AB">
        <w:rPr>
          <w:lang w:val="ca-ES"/>
        </w:rPr>
        <w:t xml:space="preserve">erme amb aquest </w:t>
      </w:r>
      <w:r w:rsidR="007E16DC" w:rsidRPr="00FC74AB">
        <w:rPr>
          <w:lang w:val="ca-ES"/>
        </w:rPr>
        <w:t>significa</w:t>
      </w:r>
      <w:r w:rsidRPr="00FC74AB">
        <w:rPr>
          <w:lang w:val="ca-ES"/>
        </w:rPr>
        <w:t>t és coherent</w:t>
      </w:r>
      <w:r w:rsidR="007E16DC" w:rsidRPr="00FC74AB">
        <w:rPr>
          <w:lang w:val="ca-ES"/>
        </w:rPr>
        <w:t xml:space="preserve"> </w:t>
      </w:r>
      <w:r w:rsidRPr="00FC74AB">
        <w:rPr>
          <w:lang w:val="ca-ES"/>
        </w:rPr>
        <w:t xml:space="preserve">amb altres </w:t>
      </w:r>
      <w:r w:rsidR="007E16DC" w:rsidRPr="00FC74AB">
        <w:rPr>
          <w:lang w:val="ca-ES"/>
        </w:rPr>
        <w:t>informes publica</w:t>
      </w:r>
      <w:r w:rsidRPr="00FC74AB">
        <w:rPr>
          <w:lang w:val="ca-ES"/>
        </w:rPr>
        <w:t>t</w:t>
      </w:r>
      <w:r w:rsidR="007E16DC" w:rsidRPr="00FC74AB">
        <w:rPr>
          <w:lang w:val="ca-ES"/>
        </w:rPr>
        <w:t>s p</w:t>
      </w:r>
      <w:r w:rsidR="005214BF" w:rsidRPr="00FC74AB">
        <w:rPr>
          <w:lang w:val="ca-ES"/>
        </w:rPr>
        <w:t>e</w:t>
      </w:r>
      <w:r w:rsidR="00233BCF" w:rsidRPr="00FC74AB">
        <w:rPr>
          <w:lang w:val="ca-ES"/>
        </w:rPr>
        <w:t>r</w:t>
      </w:r>
      <w:r w:rsidR="005214BF" w:rsidRPr="00FC74AB">
        <w:rPr>
          <w:lang w:val="ca-ES"/>
        </w:rPr>
        <w:t xml:space="preserve"> </w:t>
      </w:r>
      <w:r w:rsidRPr="00FC74AB">
        <w:rPr>
          <w:lang w:val="ca-ES"/>
        </w:rPr>
        <w:t>titulars de mandats de procediments especial</w:t>
      </w:r>
      <w:r w:rsidR="007E16DC" w:rsidRPr="00FC74AB">
        <w:rPr>
          <w:lang w:val="ca-ES"/>
        </w:rPr>
        <w:t>s</w:t>
      </w:r>
      <w:r w:rsidR="007E16DC" w:rsidRPr="00FC74AB">
        <w:rPr>
          <w:rStyle w:val="FootnoteReference"/>
          <w:spacing w:val="3"/>
          <w:w w:val="102"/>
          <w:lang w:val="ca-ES"/>
        </w:rPr>
        <w:footnoteReference w:id="5"/>
      </w:r>
      <w:r w:rsidR="007E16DC" w:rsidRPr="00FC74AB">
        <w:rPr>
          <w:lang w:val="ca-ES"/>
        </w:rPr>
        <w:t xml:space="preserve">. </w:t>
      </w:r>
      <w:r w:rsidRPr="00FC74AB">
        <w:rPr>
          <w:lang w:val="ca-ES"/>
        </w:rPr>
        <w:t>Aquesta anàlisi comprèn diverse</w:t>
      </w:r>
      <w:r w:rsidR="007E16DC" w:rsidRPr="00FC74AB">
        <w:rPr>
          <w:lang w:val="ca-ES"/>
        </w:rPr>
        <w:t xml:space="preserve">s </w:t>
      </w:r>
      <w:r w:rsidRPr="00FC74AB">
        <w:rPr>
          <w:lang w:val="ca-ES"/>
        </w:rPr>
        <w:t xml:space="preserve">modalitats d'organitzacions amb ànim de lucre que presten serveis, entre d’altres: empreses multinacionals i nacionals, i empreses </w:t>
      </w:r>
      <w:r w:rsidR="000010D4" w:rsidRPr="00FC74AB">
        <w:rPr>
          <w:lang w:val="ca-ES"/>
        </w:rPr>
        <w:t xml:space="preserve">públiques que cotitzen a </w:t>
      </w:r>
      <w:r w:rsidRPr="00FC74AB">
        <w:rPr>
          <w:lang w:val="ca-ES"/>
        </w:rPr>
        <w:t>borsa, que tenen una proporció important d’accions en mans d’inversors privats</w:t>
      </w:r>
      <w:r w:rsidR="007E16DC" w:rsidRPr="00FC74AB">
        <w:rPr>
          <w:lang w:val="ca-ES"/>
        </w:rPr>
        <w:t xml:space="preserve">. </w:t>
      </w:r>
      <w:r w:rsidRPr="00FC74AB">
        <w:rPr>
          <w:lang w:val="ca-ES"/>
        </w:rPr>
        <w:t>Aqueste</w:t>
      </w:r>
      <w:r w:rsidR="007E16DC" w:rsidRPr="00FC74AB">
        <w:rPr>
          <w:lang w:val="ca-ES"/>
        </w:rPr>
        <w:t>s modali</w:t>
      </w:r>
      <w:r w:rsidRPr="00FC74AB">
        <w:rPr>
          <w:lang w:val="ca-ES"/>
        </w:rPr>
        <w:t xml:space="preserve">tats </w:t>
      </w:r>
      <w:r w:rsidR="007E16DC" w:rsidRPr="00FC74AB">
        <w:rPr>
          <w:lang w:val="ca-ES"/>
        </w:rPr>
        <w:t>no incl</w:t>
      </w:r>
      <w:r w:rsidRPr="00FC74AB">
        <w:rPr>
          <w:lang w:val="ca-ES"/>
        </w:rPr>
        <w:t>ouen els subministradors informal</w:t>
      </w:r>
      <w:r w:rsidR="007E16DC" w:rsidRPr="00FC74AB">
        <w:rPr>
          <w:lang w:val="ca-ES"/>
        </w:rPr>
        <w:t>s</w:t>
      </w:r>
      <w:r w:rsidR="007E4E7F" w:rsidRPr="00FC74AB">
        <w:rPr>
          <w:lang w:val="ca-ES"/>
        </w:rPr>
        <w:t xml:space="preserve"> i </w:t>
      </w:r>
      <w:r w:rsidR="000010D4" w:rsidRPr="00FC74AB">
        <w:rPr>
          <w:lang w:val="ca-ES"/>
        </w:rPr>
        <w:t xml:space="preserve">de les </w:t>
      </w:r>
      <w:r w:rsidRPr="00FC74AB">
        <w:rPr>
          <w:lang w:val="ca-ES"/>
        </w:rPr>
        <w:t>comunita</w:t>
      </w:r>
      <w:r w:rsidR="000010D4" w:rsidRPr="00FC74AB">
        <w:rPr>
          <w:lang w:val="ca-ES"/>
        </w:rPr>
        <w:t>ts</w:t>
      </w:r>
      <w:r w:rsidR="007E16DC" w:rsidRPr="00FC74AB">
        <w:rPr>
          <w:lang w:val="ca-ES"/>
        </w:rPr>
        <w:t>,</w:t>
      </w:r>
      <w:r w:rsidR="00B3113E" w:rsidRPr="00FC74AB">
        <w:rPr>
          <w:lang w:val="ca-ES"/>
        </w:rPr>
        <w:t xml:space="preserve"> les </w:t>
      </w:r>
      <w:r w:rsidRPr="00FC74AB">
        <w:rPr>
          <w:lang w:val="ca-ES"/>
        </w:rPr>
        <w:t>organitzacions no governamentals ni les empreses estatals</w:t>
      </w:r>
      <w:r w:rsidR="007E16DC" w:rsidRPr="00FC74AB">
        <w:rPr>
          <w:lang w:val="ca-ES"/>
        </w:rPr>
        <w:t>. A</w:t>
      </w:r>
      <w:r w:rsidRPr="00FC74AB">
        <w:rPr>
          <w:lang w:val="ca-ES"/>
        </w:rPr>
        <w:t xml:space="preserve"> mé</w:t>
      </w:r>
      <w:r w:rsidR="007E16DC" w:rsidRPr="00FC74AB">
        <w:rPr>
          <w:lang w:val="ca-ES"/>
        </w:rPr>
        <w:t xml:space="preserve">s, </w:t>
      </w:r>
      <w:r w:rsidRPr="00FC74AB">
        <w:rPr>
          <w:lang w:val="ca-ES"/>
        </w:rPr>
        <w:t>l’</w:t>
      </w:r>
      <w:r w:rsidR="007E16DC" w:rsidRPr="00FC74AB">
        <w:rPr>
          <w:lang w:val="ca-ES"/>
        </w:rPr>
        <w:t>informe se centra en</w:t>
      </w:r>
      <w:r w:rsidR="00B3113E" w:rsidRPr="00FC74AB">
        <w:rPr>
          <w:lang w:val="ca-ES"/>
        </w:rPr>
        <w:t xml:space="preserve"> les </w:t>
      </w:r>
      <w:r w:rsidRPr="00FC74AB">
        <w:rPr>
          <w:lang w:val="ca-ES"/>
        </w:rPr>
        <w:t xml:space="preserve">entitats del sector privat que presten serveis directament o participen en activitats </w:t>
      </w:r>
      <w:r w:rsidR="000010D4" w:rsidRPr="00FC74AB">
        <w:rPr>
          <w:lang w:val="ca-ES"/>
        </w:rPr>
        <w:t xml:space="preserve">importants </w:t>
      </w:r>
      <w:r w:rsidRPr="00FC74AB">
        <w:rPr>
          <w:lang w:val="ca-ES"/>
        </w:rPr>
        <w:t xml:space="preserve">de prestació de serveis, </w:t>
      </w:r>
      <w:r w:rsidR="007E4E7F" w:rsidRPr="00FC74AB">
        <w:rPr>
          <w:lang w:val="ca-ES"/>
        </w:rPr>
        <w:t xml:space="preserve">i </w:t>
      </w:r>
      <w:r w:rsidRPr="00FC74AB">
        <w:rPr>
          <w:lang w:val="ca-ES"/>
        </w:rPr>
        <w:t>no en le</w:t>
      </w:r>
      <w:r w:rsidR="007E16DC" w:rsidRPr="00FC74AB">
        <w:rPr>
          <w:lang w:val="ca-ES"/>
        </w:rPr>
        <w:t xml:space="preserve">s que </w:t>
      </w:r>
      <w:r w:rsidRPr="00FC74AB">
        <w:rPr>
          <w:lang w:val="ca-ES"/>
        </w:rPr>
        <w:t xml:space="preserve">es </w:t>
      </w:r>
      <w:r w:rsidRPr="00FC74AB">
        <w:rPr>
          <w:lang w:val="ca-ES"/>
        </w:rPr>
        <w:lastRenderedPageBreak/>
        <w:t xml:space="preserve">dediquen a activitats complementàries de tot el cicle de l'aigua i el sanejament, com ara el subministrament de </w:t>
      </w:r>
      <w:r w:rsidR="009F581B" w:rsidRPr="00FC74AB">
        <w:rPr>
          <w:lang w:val="ca-ES"/>
        </w:rPr>
        <w:t>materia</w:t>
      </w:r>
      <w:r w:rsidRPr="00FC74AB">
        <w:rPr>
          <w:lang w:val="ca-ES"/>
        </w:rPr>
        <w:t>ls i equipaments, l’elaboració de dissenys tècnics o la construcció d'infraestructura</w:t>
      </w:r>
      <w:r w:rsidR="007E16DC" w:rsidRPr="00FC74AB">
        <w:rPr>
          <w:lang w:val="ca-ES"/>
        </w:rPr>
        <w:t>.</w:t>
      </w:r>
    </w:p>
    <w:p w14:paraId="080DC6B7" w14:textId="71C0432E" w:rsidR="007E16DC" w:rsidRPr="00FC74AB" w:rsidRDefault="00733CB9" w:rsidP="006A531E">
      <w:pPr>
        <w:pStyle w:val="SingleTxt"/>
        <w:numPr>
          <w:ilvl w:val="2"/>
          <w:numId w:val="49"/>
        </w:numPr>
        <w:spacing w:line="240" w:lineRule="atLeast"/>
        <w:ind w:left="1267" w:firstLine="0"/>
        <w:rPr>
          <w:lang w:val="ca-ES"/>
        </w:rPr>
      </w:pPr>
      <w:r w:rsidRPr="00FC74AB">
        <w:rPr>
          <w:lang w:val="ca-ES"/>
        </w:rPr>
        <w:t xml:space="preserve">Tot i que </w:t>
      </w:r>
      <w:r w:rsidR="005B333C" w:rsidRPr="00FC74AB">
        <w:rPr>
          <w:lang w:val="ca-ES"/>
        </w:rPr>
        <w:t>aquest</w:t>
      </w:r>
      <w:r w:rsidR="007E16DC" w:rsidRPr="00FC74AB">
        <w:rPr>
          <w:lang w:val="ca-ES"/>
        </w:rPr>
        <w:t xml:space="preserve"> informe</w:t>
      </w:r>
      <w:r w:rsidRPr="00FC74AB">
        <w:rPr>
          <w:lang w:val="ca-ES"/>
        </w:rPr>
        <w:t xml:space="preserve"> només </w:t>
      </w:r>
      <w:r w:rsidR="007E16DC" w:rsidRPr="00FC74AB">
        <w:rPr>
          <w:lang w:val="ca-ES"/>
        </w:rPr>
        <w:t>anali</w:t>
      </w:r>
      <w:r w:rsidRPr="00FC74AB">
        <w:rPr>
          <w:lang w:val="ca-ES"/>
        </w:rPr>
        <w:t>t</w:t>
      </w:r>
      <w:r w:rsidR="007E16DC" w:rsidRPr="00FC74AB">
        <w:rPr>
          <w:lang w:val="ca-ES"/>
        </w:rPr>
        <w:t xml:space="preserve">za </w:t>
      </w:r>
      <w:r w:rsidRPr="00FC74AB">
        <w:rPr>
          <w:lang w:val="ca-ES"/>
        </w:rPr>
        <w:t>algunes forme</w:t>
      </w:r>
      <w:r w:rsidR="007E16DC" w:rsidRPr="00FC74AB">
        <w:rPr>
          <w:lang w:val="ca-ES"/>
        </w:rPr>
        <w:t>s de pa</w:t>
      </w:r>
      <w:r w:rsidRPr="00FC74AB">
        <w:rPr>
          <w:lang w:val="ca-ES"/>
        </w:rPr>
        <w:t>rticipació</w:t>
      </w:r>
      <w:r w:rsidR="007E16DC" w:rsidRPr="00FC74AB">
        <w:rPr>
          <w:lang w:val="ca-ES"/>
        </w:rPr>
        <w:t xml:space="preserve"> privada, aba</w:t>
      </w:r>
      <w:r w:rsidRPr="00FC74AB">
        <w:rPr>
          <w:lang w:val="ca-ES"/>
        </w:rPr>
        <w:t>sta</w:t>
      </w:r>
      <w:r w:rsidR="007E16DC" w:rsidRPr="00FC74AB">
        <w:rPr>
          <w:lang w:val="ca-ES"/>
        </w:rPr>
        <w:t xml:space="preserve"> un panorama comple</w:t>
      </w:r>
      <w:r w:rsidRPr="00FC74AB">
        <w:rPr>
          <w:lang w:val="ca-ES"/>
        </w:rPr>
        <w:t>x</w:t>
      </w:r>
      <w:r w:rsidR="007E4E7F" w:rsidRPr="00FC74AB">
        <w:rPr>
          <w:lang w:val="ca-ES"/>
        </w:rPr>
        <w:t xml:space="preserve"> i </w:t>
      </w:r>
      <w:r w:rsidR="007E16DC" w:rsidRPr="00FC74AB">
        <w:rPr>
          <w:lang w:val="ca-ES"/>
        </w:rPr>
        <w:t>complica</w:t>
      </w:r>
      <w:r w:rsidRPr="00FC74AB">
        <w:rPr>
          <w:lang w:val="ca-ES"/>
        </w:rPr>
        <w:t>t i inclou diversos tipu</w:t>
      </w:r>
      <w:r w:rsidR="007E16DC" w:rsidRPr="00FC74AB">
        <w:rPr>
          <w:lang w:val="ca-ES"/>
        </w:rPr>
        <w:t>s d</w:t>
      </w:r>
      <w:r w:rsidRPr="00FC74AB">
        <w:rPr>
          <w:lang w:val="ca-ES"/>
        </w:rPr>
        <w:t>’agent</w:t>
      </w:r>
      <w:r w:rsidR="007E16DC" w:rsidRPr="00FC74AB">
        <w:rPr>
          <w:lang w:val="ca-ES"/>
        </w:rPr>
        <w:t>s</w:t>
      </w:r>
      <w:r w:rsidR="007E4E7F" w:rsidRPr="00FC74AB">
        <w:rPr>
          <w:lang w:val="ca-ES"/>
        </w:rPr>
        <w:t xml:space="preserve"> i </w:t>
      </w:r>
      <w:r w:rsidRPr="00FC74AB">
        <w:rPr>
          <w:lang w:val="ca-ES"/>
        </w:rPr>
        <w:t>formes en què</w:t>
      </w:r>
      <w:r w:rsidR="007E16DC" w:rsidRPr="00FC74AB">
        <w:rPr>
          <w:lang w:val="ca-ES"/>
        </w:rPr>
        <w:t xml:space="preserve"> p</w:t>
      </w:r>
      <w:r w:rsidRPr="00FC74AB">
        <w:rPr>
          <w:lang w:val="ca-ES"/>
        </w:rPr>
        <w:t>o</w:t>
      </w:r>
      <w:r w:rsidR="007E16DC" w:rsidRPr="00FC74AB">
        <w:rPr>
          <w:lang w:val="ca-ES"/>
        </w:rPr>
        <w:t xml:space="preserve">den participar en la </w:t>
      </w:r>
      <w:r w:rsidR="003D1714" w:rsidRPr="00FC74AB">
        <w:rPr>
          <w:lang w:val="ca-ES"/>
        </w:rPr>
        <w:t>prestació de serveis</w:t>
      </w:r>
      <w:r w:rsidR="007E16DC" w:rsidRPr="00FC74AB">
        <w:rPr>
          <w:lang w:val="ca-ES"/>
        </w:rPr>
        <w:t xml:space="preserve">. </w:t>
      </w:r>
      <w:r w:rsidRPr="00FC74AB">
        <w:rPr>
          <w:lang w:val="ca-ES"/>
        </w:rPr>
        <w:t>Q</w:t>
      </w:r>
      <w:r w:rsidR="007E16DC" w:rsidRPr="00FC74AB">
        <w:rPr>
          <w:lang w:val="ca-ES"/>
        </w:rPr>
        <w:t xml:space="preserve">uant </w:t>
      </w:r>
      <w:r w:rsidR="009A31D3" w:rsidRPr="00FC74AB">
        <w:rPr>
          <w:lang w:val="ca-ES"/>
        </w:rPr>
        <w:t>als</w:t>
      </w:r>
      <w:r w:rsidR="005214BF" w:rsidRPr="00FC74AB">
        <w:rPr>
          <w:lang w:val="ca-ES"/>
        </w:rPr>
        <w:t xml:space="preserve"> </w:t>
      </w:r>
      <w:r w:rsidRPr="00FC74AB">
        <w:rPr>
          <w:lang w:val="ca-ES"/>
        </w:rPr>
        <w:t>tipu</w:t>
      </w:r>
      <w:r w:rsidR="007E16DC" w:rsidRPr="00FC74AB">
        <w:rPr>
          <w:lang w:val="ca-ES"/>
        </w:rPr>
        <w:t xml:space="preserve">s de </w:t>
      </w:r>
      <w:r w:rsidR="007E4E7F" w:rsidRPr="00FC74AB">
        <w:rPr>
          <w:lang w:val="ca-ES"/>
        </w:rPr>
        <w:t>privatització</w:t>
      </w:r>
      <w:r w:rsidRPr="00FC74AB">
        <w:rPr>
          <w:lang w:val="ca-ES"/>
        </w:rPr>
        <w:t>, el mé</w:t>
      </w:r>
      <w:r w:rsidR="007E16DC" w:rsidRPr="00FC74AB">
        <w:rPr>
          <w:lang w:val="ca-ES"/>
        </w:rPr>
        <w:t>s extrem</w:t>
      </w:r>
      <w:r w:rsidRPr="00FC74AB">
        <w:rPr>
          <w:lang w:val="ca-ES"/>
        </w:rPr>
        <w:t xml:space="preserve"> és la </w:t>
      </w:r>
      <w:r w:rsidR="00320544" w:rsidRPr="00FC74AB">
        <w:rPr>
          <w:lang w:val="ca-ES"/>
        </w:rPr>
        <w:t>«</w:t>
      </w:r>
      <w:r w:rsidRPr="00FC74AB">
        <w:rPr>
          <w:lang w:val="ca-ES"/>
        </w:rPr>
        <w:t>desinversió</w:t>
      </w:r>
      <w:r w:rsidR="007E16DC" w:rsidRPr="00FC74AB">
        <w:rPr>
          <w:lang w:val="ca-ES"/>
        </w:rPr>
        <w:t xml:space="preserve"> total</w:t>
      </w:r>
      <w:r w:rsidR="00320544" w:rsidRPr="00FC74AB">
        <w:rPr>
          <w:lang w:val="ca-ES"/>
        </w:rPr>
        <w:t>»</w:t>
      </w:r>
      <w:r w:rsidR="007E16DC" w:rsidRPr="00FC74AB">
        <w:rPr>
          <w:lang w:val="ca-ES"/>
        </w:rPr>
        <w:t xml:space="preserve">, </w:t>
      </w:r>
      <w:r w:rsidR="00BC1217" w:rsidRPr="00FC74AB">
        <w:rPr>
          <w:lang w:val="ca-ES"/>
        </w:rPr>
        <w:t>quan</w:t>
      </w:r>
      <w:r w:rsidR="004C5042" w:rsidRPr="00FC74AB">
        <w:rPr>
          <w:lang w:val="ca-ES"/>
        </w:rPr>
        <w:t xml:space="preserve"> tots els actius pertinents d’una entitat pública es transfereixen íntegrament a una empresa privada, i l’entitat del sector privat assumeix la responsabilitat de la inversió de capital, l’explotació i el manteniment, a canvi del cobrament dels serveis. Hi ha altres models que solen denominar-se aliances públicoprivades. Una modalitat habitual d’aquestes aliances és la concessió de la totalitat o de parts del cicle de l'aigua </w:t>
      </w:r>
      <w:r w:rsidR="004460EC" w:rsidRPr="00FC74AB">
        <w:rPr>
          <w:lang w:val="ca-ES"/>
        </w:rPr>
        <w:t xml:space="preserve">per </w:t>
      </w:r>
      <w:r w:rsidR="004C5042" w:rsidRPr="00FC74AB">
        <w:rPr>
          <w:lang w:val="ca-ES"/>
        </w:rPr>
        <w:t xml:space="preserve">un </w:t>
      </w:r>
      <w:r w:rsidR="004C5042" w:rsidRPr="00FC74AB">
        <w:rPr>
          <w:lang w:val="ca-ES"/>
        </w:rPr>
        <w:lastRenderedPageBreak/>
        <w:t>període d</w:t>
      </w:r>
      <w:r w:rsidR="00606518" w:rsidRPr="00FC74AB">
        <w:rPr>
          <w:lang w:val="ca-ES"/>
        </w:rPr>
        <w:t>’</w:t>
      </w:r>
      <w:r w:rsidR="004C5042" w:rsidRPr="00FC74AB">
        <w:rPr>
          <w:lang w:val="ca-ES"/>
        </w:rPr>
        <w:t xml:space="preserve">entre </w:t>
      </w:r>
      <w:r w:rsidR="004460EC" w:rsidRPr="00FC74AB">
        <w:rPr>
          <w:lang w:val="ca-ES"/>
        </w:rPr>
        <w:t xml:space="preserve">vint </w:t>
      </w:r>
      <w:r w:rsidR="004C5042" w:rsidRPr="00FC74AB">
        <w:rPr>
          <w:lang w:val="ca-ES"/>
        </w:rPr>
        <w:t xml:space="preserve">i </w:t>
      </w:r>
      <w:r w:rsidR="004460EC" w:rsidRPr="00FC74AB">
        <w:rPr>
          <w:lang w:val="ca-ES"/>
        </w:rPr>
        <w:t xml:space="preserve">trenta </w:t>
      </w:r>
      <w:r w:rsidR="004C5042" w:rsidRPr="00FC74AB">
        <w:rPr>
          <w:lang w:val="ca-ES"/>
        </w:rPr>
        <w:t xml:space="preserve">anys, i mentrestant </w:t>
      </w:r>
      <w:r w:rsidR="00323268" w:rsidRPr="00FC74AB">
        <w:rPr>
          <w:lang w:val="ca-ES"/>
        </w:rPr>
        <w:t>els g</w:t>
      </w:r>
      <w:r w:rsidR="004C5042" w:rsidRPr="00FC74AB">
        <w:rPr>
          <w:lang w:val="ca-ES"/>
        </w:rPr>
        <w:t xml:space="preserve">overns conserven la propietat dels actius. En les empreses conjuntes, una entitat privada i una de pública són propietàries conjuntament d’una empresa, o bé es ven una </w:t>
      </w:r>
      <w:r w:rsidR="006A531E" w:rsidRPr="00FC74AB">
        <w:rPr>
          <w:lang w:val="ca-ES"/>
        </w:rPr>
        <w:t xml:space="preserve">part </w:t>
      </w:r>
      <w:r w:rsidR="004C5042" w:rsidRPr="00FC74AB">
        <w:rPr>
          <w:lang w:val="ca-ES"/>
        </w:rPr>
        <w:t xml:space="preserve">important de les accions d’una empresa pública </w:t>
      </w:r>
      <w:r w:rsidR="00320544" w:rsidRPr="00FC74AB">
        <w:rPr>
          <w:lang w:val="ca-ES"/>
        </w:rPr>
        <w:t xml:space="preserve">ja </w:t>
      </w:r>
      <w:r w:rsidR="004C5042" w:rsidRPr="00FC74AB">
        <w:rPr>
          <w:lang w:val="ca-ES"/>
        </w:rPr>
        <w:t>existent a la borsa de valors. Altres tipus són els contractes d'arrendament (</w:t>
      </w:r>
      <w:r w:rsidR="004C5042" w:rsidRPr="00FC74AB">
        <w:rPr>
          <w:i/>
          <w:iCs/>
          <w:lang w:val="fr-BE"/>
        </w:rPr>
        <w:t>affermage</w:t>
      </w:r>
      <w:r w:rsidR="004C5042" w:rsidRPr="00FC74AB">
        <w:rPr>
          <w:lang w:val="ca-ES"/>
        </w:rPr>
        <w:t xml:space="preserve">), en què els serveis es transfereixen durant un període determinat a un </w:t>
      </w:r>
      <w:r w:rsidR="007F3D09" w:rsidRPr="00FC74AB">
        <w:rPr>
          <w:lang w:val="ca-ES"/>
        </w:rPr>
        <w:t xml:space="preserve">subministrador </w:t>
      </w:r>
      <w:r w:rsidR="004C5042" w:rsidRPr="00FC74AB">
        <w:rPr>
          <w:lang w:val="ca-ES"/>
        </w:rPr>
        <w:t>privat a canvi d’una quota d'arrendament, i els contractes de construcció, explotació i transferència, en què l’empresa construeix una infraestructura, l’explota durant un període determinat i després la transfereix de nou a l'autoritat pública</w:t>
      </w:r>
      <w:r w:rsidR="007E16DC" w:rsidRPr="00FC74AB">
        <w:rPr>
          <w:lang w:val="ca-ES"/>
        </w:rPr>
        <w:t>.</w:t>
      </w:r>
      <w:bookmarkStart w:id="2" w:name="_Hlk46481409"/>
      <w:bookmarkStart w:id="3" w:name="_Hlk46827502"/>
      <w:bookmarkEnd w:id="2"/>
      <w:bookmarkEnd w:id="3"/>
    </w:p>
    <w:p w14:paraId="138D0CD6" w14:textId="64DE42D0" w:rsidR="007E16DC" w:rsidRPr="00FC74AB" w:rsidRDefault="004460EC" w:rsidP="00320544">
      <w:pPr>
        <w:pStyle w:val="SingleTxt"/>
        <w:numPr>
          <w:ilvl w:val="2"/>
          <w:numId w:val="49"/>
        </w:numPr>
        <w:spacing w:line="240" w:lineRule="atLeast"/>
        <w:ind w:left="1267" w:firstLine="0"/>
        <w:rPr>
          <w:lang w:val="ca-ES"/>
        </w:rPr>
      </w:pPr>
      <w:r w:rsidRPr="00FC74AB">
        <w:rPr>
          <w:lang w:val="ca-ES"/>
        </w:rPr>
        <w:t xml:space="preserve">En aquest </w:t>
      </w:r>
      <w:r w:rsidR="007E16DC" w:rsidRPr="00FC74AB">
        <w:rPr>
          <w:lang w:val="ca-ES"/>
        </w:rPr>
        <w:t xml:space="preserve">informe, el Relator Especial no </w:t>
      </w:r>
      <w:r w:rsidRPr="00FC74AB">
        <w:rPr>
          <w:lang w:val="ca-ES"/>
        </w:rPr>
        <w:t xml:space="preserve">fa </w:t>
      </w:r>
      <w:r w:rsidR="007E16DC" w:rsidRPr="00FC74AB">
        <w:rPr>
          <w:lang w:val="ca-ES"/>
        </w:rPr>
        <w:t>un</w:t>
      </w:r>
      <w:r w:rsidR="00D85349" w:rsidRPr="00FC74AB">
        <w:rPr>
          <w:lang w:val="ca-ES"/>
        </w:rPr>
        <w:t>a anàlisi</w:t>
      </w:r>
      <w:r w:rsidR="007E16DC" w:rsidRPr="00FC74AB">
        <w:rPr>
          <w:lang w:val="ca-ES"/>
        </w:rPr>
        <w:t xml:space="preserve"> comparativ</w:t>
      </w:r>
      <w:r w:rsidR="00D85349" w:rsidRPr="00FC74AB">
        <w:rPr>
          <w:lang w:val="ca-ES"/>
        </w:rPr>
        <w:t>a</w:t>
      </w:r>
      <w:r w:rsidR="007E16DC" w:rsidRPr="00FC74AB">
        <w:rPr>
          <w:lang w:val="ca-ES"/>
        </w:rPr>
        <w:t xml:space="preserve"> exh</w:t>
      </w:r>
      <w:r w:rsidR="00D85349" w:rsidRPr="00FC74AB">
        <w:rPr>
          <w:lang w:val="ca-ES"/>
        </w:rPr>
        <w:t>austiva</w:t>
      </w:r>
      <w:r w:rsidR="007E16DC" w:rsidRPr="00FC74AB">
        <w:rPr>
          <w:lang w:val="ca-ES"/>
        </w:rPr>
        <w:t xml:space="preserve"> entre el su</w:t>
      </w:r>
      <w:r w:rsidR="00D85349" w:rsidRPr="00FC74AB">
        <w:rPr>
          <w:lang w:val="ca-ES"/>
        </w:rPr>
        <w:t>bministrament</w:t>
      </w:r>
      <w:r w:rsidR="007E16DC" w:rsidRPr="00FC74AB">
        <w:rPr>
          <w:lang w:val="ca-ES"/>
        </w:rPr>
        <w:t xml:space="preserve"> </w:t>
      </w:r>
      <w:r w:rsidR="004879F7" w:rsidRPr="00FC74AB">
        <w:rPr>
          <w:lang w:val="ca-ES"/>
        </w:rPr>
        <w:t>privat</w:t>
      </w:r>
      <w:r w:rsidR="007E4E7F" w:rsidRPr="00FC74AB">
        <w:rPr>
          <w:lang w:val="ca-ES"/>
        </w:rPr>
        <w:t xml:space="preserve"> i </w:t>
      </w:r>
      <w:r w:rsidR="00D85349" w:rsidRPr="00FC74AB">
        <w:rPr>
          <w:lang w:val="ca-ES"/>
        </w:rPr>
        <w:t>el públic</w:t>
      </w:r>
      <w:r w:rsidR="007E16DC" w:rsidRPr="00FC74AB">
        <w:rPr>
          <w:lang w:val="ca-ES"/>
        </w:rPr>
        <w:t>, ni pres</w:t>
      </w:r>
      <w:r w:rsidR="00D85349" w:rsidRPr="00FC74AB">
        <w:rPr>
          <w:lang w:val="ca-ES"/>
        </w:rPr>
        <w:t>s</w:t>
      </w:r>
      <w:r w:rsidR="007E16DC" w:rsidRPr="00FC74AB">
        <w:rPr>
          <w:lang w:val="ca-ES"/>
        </w:rPr>
        <w:t>upo</w:t>
      </w:r>
      <w:r w:rsidR="00D85349" w:rsidRPr="00FC74AB">
        <w:rPr>
          <w:lang w:val="ca-ES"/>
        </w:rPr>
        <w:t>sa que un</w:t>
      </w:r>
      <w:r w:rsidR="007E16DC" w:rsidRPr="00FC74AB">
        <w:rPr>
          <w:lang w:val="ca-ES"/>
        </w:rPr>
        <w:t xml:space="preserve"> s</w:t>
      </w:r>
      <w:r w:rsidR="00D85349" w:rsidRPr="00FC74AB">
        <w:rPr>
          <w:lang w:val="ca-ES"/>
        </w:rPr>
        <w:t>igui més o menys capaç</w:t>
      </w:r>
      <w:r w:rsidR="007E16DC" w:rsidRPr="00FC74AB">
        <w:rPr>
          <w:lang w:val="ca-ES"/>
        </w:rPr>
        <w:t xml:space="preserve"> de </w:t>
      </w:r>
      <w:r w:rsidR="00D85349" w:rsidRPr="00FC74AB">
        <w:rPr>
          <w:lang w:val="ca-ES"/>
        </w:rPr>
        <w:t xml:space="preserve">fer efectius </w:t>
      </w:r>
      <w:r w:rsidR="005214BF" w:rsidRPr="00FC74AB">
        <w:rPr>
          <w:lang w:val="ca-ES"/>
        </w:rPr>
        <w:t xml:space="preserve">els </w:t>
      </w:r>
      <w:r w:rsidR="007E4E7F" w:rsidRPr="00FC74AB">
        <w:rPr>
          <w:lang w:val="ca-ES"/>
        </w:rPr>
        <w:t>drets humans</w:t>
      </w:r>
      <w:r w:rsidR="007E16DC" w:rsidRPr="00FC74AB">
        <w:rPr>
          <w:lang w:val="ca-ES"/>
        </w:rPr>
        <w:t xml:space="preserve"> a</w:t>
      </w:r>
      <w:r w:rsidR="00D85349" w:rsidRPr="00FC74AB">
        <w:rPr>
          <w:lang w:val="ca-ES"/>
        </w:rPr>
        <w:t xml:space="preserve"> </w:t>
      </w:r>
      <w:r w:rsidR="007E16DC" w:rsidRPr="00FC74AB">
        <w:rPr>
          <w:lang w:val="ca-ES"/>
        </w:rPr>
        <w:t>l</w:t>
      </w:r>
      <w:r w:rsidR="00D85349" w:rsidRPr="00FC74AB">
        <w:rPr>
          <w:lang w:val="ca-ES"/>
        </w:rPr>
        <w:t>’</w:t>
      </w:r>
      <w:r w:rsidR="007E16DC" w:rsidRPr="00FC74AB">
        <w:rPr>
          <w:lang w:val="ca-ES"/>
        </w:rPr>
        <w:t>a</w:t>
      </w:r>
      <w:r w:rsidR="00D85349" w:rsidRPr="00FC74AB">
        <w:rPr>
          <w:lang w:val="ca-ES"/>
        </w:rPr>
        <w:t>i</w:t>
      </w:r>
      <w:r w:rsidR="007E16DC" w:rsidRPr="00FC74AB">
        <w:rPr>
          <w:lang w:val="ca-ES"/>
        </w:rPr>
        <w:t>gua</w:t>
      </w:r>
      <w:r w:rsidR="007E4E7F" w:rsidRPr="00FC74AB">
        <w:rPr>
          <w:lang w:val="ca-ES"/>
        </w:rPr>
        <w:t xml:space="preserve"> i </w:t>
      </w:r>
      <w:r w:rsidR="007E16DC" w:rsidRPr="00FC74AB">
        <w:rPr>
          <w:lang w:val="ca-ES"/>
        </w:rPr>
        <w:t xml:space="preserve">el </w:t>
      </w:r>
      <w:r w:rsidR="007E4E7F" w:rsidRPr="00FC74AB">
        <w:rPr>
          <w:lang w:val="ca-ES"/>
        </w:rPr>
        <w:t>sanejament</w:t>
      </w:r>
      <w:r w:rsidR="007E16DC" w:rsidRPr="00FC74AB">
        <w:rPr>
          <w:lang w:val="ca-ES"/>
        </w:rPr>
        <w:t xml:space="preserve"> que</w:t>
      </w:r>
      <w:r w:rsidR="00D85349" w:rsidRPr="00FC74AB">
        <w:rPr>
          <w:lang w:val="ca-ES"/>
        </w:rPr>
        <w:t xml:space="preserve"> l’altre</w:t>
      </w:r>
      <w:r w:rsidR="007E16DC" w:rsidRPr="00FC74AB">
        <w:rPr>
          <w:lang w:val="ca-ES"/>
        </w:rPr>
        <w:t xml:space="preserve">. </w:t>
      </w:r>
      <w:r w:rsidR="00D85349" w:rsidRPr="00FC74AB">
        <w:rPr>
          <w:lang w:val="ca-ES"/>
        </w:rPr>
        <w:t>L’</w:t>
      </w:r>
      <w:r w:rsidR="007E16DC" w:rsidRPr="00FC74AB">
        <w:rPr>
          <w:lang w:val="ca-ES"/>
        </w:rPr>
        <w:t>obje</w:t>
      </w:r>
      <w:r w:rsidR="00D85349" w:rsidRPr="00FC74AB">
        <w:rPr>
          <w:lang w:val="ca-ES"/>
        </w:rPr>
        <w:t>ctiu</w:t>
      </w:r>
      <w:r w:rsidR="007E16DC" w:rsidRPr="00FC74AB">
        <w:rPr>
          <w:lang w:val="ca-ES"/>
        </w:rPr>
        <w:t xml:space="preserve"> principal del Relator Especial </w:t>
      </w:r>
      <w:r w:rsidR="00D85349" w:rsidRPr="00FC74AB">
        <w:rPr>
          <w:lang w:val="ca-ES"/>
        </w:rPr>
        <w:t xml:space="preserve">és </w:t>
      </w:r>
      <w:r w:rsidR="007E16DC" w:rsidRPr="00FC74AB">
        <w:rPr>
          <w:lang w:val="ca-ES"/>
        </w:rPr>
        <w:t xml:space="preserve">estudiar </w:t>
      </w:r>
      <w:r w:rsidR="00195395" w:rsidRPr="00FC74AB">
        <w:rPr>
          <w:lang w:val="ca-ES"/>
        </w:rPr>
        <w:t>els riscos</w:t>
      </w:r>
      <w:r w:rsidR="007E16DC" w:rsidRPr="00FC74AB">
        <w:rPr>
          <w:lang w:val="ca-ES"/>
        </w:rPr>
        <w:t xml:space="preserve"> </w:t>
      </w:r>
      <w:r w:rsidR="00D85349" w:rsidRPr="00FC74AB">
        <w:rPr>
          <w:lang w:val="ca-ES"/>
        </w:rPr>
        <w:t>específic</w:t>
      </w:r>
      <w:r w:rsidR="007E16DC" w:rsidRPr="00FC74AB">
        <w:rPr>
          <w:lang w:val="ca-ES"/>
        </w:rPr>
        <w:t xml:space="preserve">s de la </w:t>
      </w:r>
      <w:r w:rsidR="007E4E7F" w:rsidRPr="00FC74AB">
        <w:rPr>
          <w:lang w:val="ca-ES"/>
        </w:rPr>
        <w:t>privatització</w:t>
      </w:r>
      <w:r w:rsidR="007E16DC" w:rsidRPr="00FC74AB">
        <w:rPr>
          <w:lang w:val="ca-ES"/>
        </w:rPr>
        <w:t xml:space="preserve"> o que </w:t>
      </w:r>
      <w:r w:rsidR="00D85349" w:rsidRPr="00FC74AB">
        <w:rPr>
          <w:lang w:val="ca-ES"/>
        </w:rPr>
        <w:t xml:space="preserve">aquesta </w:t>
      </w:r>
      <w:r w:rsidR="00D85349" w:rsidRPr="00FC74AB">
        <w:rPr>
          <w:lang w:val="ca-ES"/>
        </w:rPr>
        <w:lastRenderedPageBreak/>
        <w:t>podri</w:t>
      </w:r>
      <w:r w:rsidR="007E16DC" w:rsidRPr="00FC74AB">
        <w:rPr>
          <w:lang w:val="ca-ES"/>
        </w:rPr>
        <w:t>a</w:t>
      </w:r>
      <w:r w:rsidR="00D85349" w:rsidRPr="00FC74AB">
        <w:rPr>
          <w:lang w:val="ca-ES"/>
        </w:rPr>
        <w:t xml:space="preserve"> </w:t>
      </w:r>
      <w:r w:rsidR="007E16DC" w:rsidRPr="00FC74AB">
        <w:rPr>
          <w:lang w:val="ca-ES"/>
        </w:rPr>
        <w:t>exacerba</w:t>
      </w:r>
      <w:r w:rsidR="00D85349" w:rsidRPr="00FC74AB">
        <w:rPr>
          <w:lang w:val="ca-ES"/>
        </w:rPr>
        <w:t>r,</w:t>
      </w:r>
      <w:r w:rsidR="007E16DC" w:rsidRPr="00FC74AB">
        <w:rPr>
          <w:lang w:val="ca-ES"/>
        </w:rPr>
        <w:t xml:space="preserve"> </w:t>
      </w:r>
      <w:r w:rsidR="007E4E7F" w:rsidRPr="00FC74AB">
        <w:rPr>
          <w:lang w:val="ca-ES"/>
        </w:rPr>
        <w:t xml:space="preserve">i </w:t>
      </w:r>
      <w:r w:rsidR="007E16DC" w:rsidRPr="00FC74AB">
        <w:rPr>
          <w:lang w:val="ca-ES"/>
        </w:rPr>
        <w:t>determinar qu</w:t>
      </w:r>
      <w:r w:rsidR="00D85349" w:rsidRPr="00FC74AB">
        <w:rPr>
          <w:lang w:val="ca-ES"/>
        </w:rPr>
        <w:t>ines salvaguardes</w:t>
      </w:r>
      <w:r w:rsidR="007E16DC" w:rsidRPr="00FC74AB">
        <w:rPr>
          <w:lang w:val="ca-ES"/>
        </w:rPr>
        <w:t xml:space="preserve"> </w:t>
      </w:r>
      <w:r w:rsidR="00D85349" w:rsidRPr="00FC74AB">
        <w:rPr>
          <w:lang w:val="ca-ES"/>
        </w:rPr>
        <w:t>calen per protegi</w:t>
      </w:r>
      <w:r w:rsidR="007E16DC" w:rsidRPr="00FC74AB">
        <w:rPr>
          <w:lang w:val="ca-ES"/>
        </w:rPr>
        <w:t>r</w:t>
      </w:r>
      <w:r w:rsidR="00D85349" w:rsidRPr="00FC74AB">
        <w:rPr>
          <w:lang w:val="ca-ES"/>
        </w:rPr>
        <w:t>-ne</w:t>
      </w:r>
      <w:r w:rsidR="005214BF" w:rsidRPr="00FC74AB">
        <w:rPr>
          <w:lang w:val="ca-ES"/>
        </w:rPr>
        <w:t xml:space="preserve"> els </w:t>
      </w:r>
      <w:r w:rsidR="007E4E7F" w:rsidRPr="00FC74AB">
        <w:rPr>
          <w:lang w:val="ca-ES"/>
        </w:rPr>
        <w:t>drets humans</w:t>
      </w:r>
      <w:r w:rsidR="007E16DC" w:rsidRPr="00FC74AB">
        <w:rPr>
          <w:lang w:val="ca-ES"/>
        </w:rPr>
        <w:t xml:space="preserve"> </w:t>
      </w:r>
      <w:r w:rsidR="00D85349" w:rsidRPr="00FC74AB">
        <w:rPr>
          <w:lang w:val="ca-ES"/>
        </w:rPr>
        <w:t>a l’aigua</w:t>
      </w:r>
      <w:r w:rsidR="007E4E7F" w:rsidRPr="00FC74AB">
        <w:rPr>
          <w:lang w:val="ca-ES"/>
        </w:rPr>
        <w:t xml:space="preserve"> i </w:t>
      </w:r>
      <w:r w:rsidR="007E16DC" w:rsidRPr="00FC74AB">
        <w:rPr>
          <w:lang w:val="ca-ES"/>
        </w:rPr>
        <w:t xml:space="preserve">al </w:t>
      </w:r>
      <w:r w:rsidR="007E4E7F" w:rsidRPr="00FC74AB">
        <w:rPr>
          <w:lang w:val="ca-ES"/>
        </w:rPr>
        <w:t>sanejament</w:t>
      </w:r>
      <w:r w:rsidR="007E16DC" w:rsidRPr="00FC74AB">
        <w:rPr>
          <w:lang w:val="ca-ES"/>
        </w:rPr>
        <w:t xml:space="preserve">. </w:t>
      </w:r>
      <w:r w:rsidR="00D85349" w:rsidRPr="00FC74AB">
        <w:rPr>
          <w:lang w:val="ca-ES"/>
        </w:rPr>
        <w:t xml:space="preserve">Tot i que es reconeix que el </w:t>
      </w:r>
      <w:r w:rsidR="007E16DC" w:rsidRPr="00FC74AB">
        <w:rPr>
          <w:lang w:val="ca-ES"/>
        </w:rPr>
        <w:t>su</w:t>
      </w:r>
      <w:r w:rsidR="00D85349" w:rsidRPr="00FC74AB">
        <w:rPr>
          <w:lang w:val="ca-ES"/>
        </w:rPr>
        <w:t>b</w:t>
      </w:r>
      <w:r w:rsidR="007E16DC" w:rsidRPr="00FC74AB">
        <w:rPr>
          <w:lang w:val="ca-ES"/>
        </w:rPr>
        <w:t>ministr</w:t>
      </w:r>
      <w:r w:rsidR="00D85349" w:rsidRPr="00FC74AB">
        <w:rPr>
          <w:lang w:val="ca-ES"/>
        </w:rPr>
        <w:t>ament públic</w:t>
      </w:r>
      <w:r w:rsidR="007E16DC" w:rsidRPr="00FC74AB">
        <w:rPr>
          <w:lang w:val="ca-ES"/>
        </w:rPr>
        <w:t xml:space="preserve"> de serv</w:t>
      </w:r>
      <w:r w:rsidR="00D85349" w:rsidRPr="00FC74AB">
        <w:rPr>
          <w:lang w:val="ca-ES"/>
        </w:rPr>
        <w:t>eis</w:t>
      </w:r>
      <w:r w:rsidR="007E16DC" w:rsidRPr="00FC74AB">
        <w:rPr>
          <w:lang w:val="ca-ES"/>
        </w:rPr>
        <w:t xml:space="preserve"> </w:t>
      </w:r>
      <w:r w:rsidR="003A58C9" w:rsidRPr="00FC74AB">
        <w:rPr>
          <w:lang w:val="ca-ES"/>
        </w:rPr>
        <w:t>d’aigua</w:t>
      </w:r>
      <w:r w:rsidR="007E4E7F" w:rsidRPr="00FC74AB">
        <w:rPr>
          <w:lang w:val="ca-ES"/>
        </w:rPr>
        <w:t xml:space="preserve"> i sanejament</w:t>
      </w:r>
      <w:r w:rsidR="007E16DC" w:rsidRPr="00FC74AB">
        <w:rPr>
          <w:lang w:val="ca-ES"/>
        </w:rPr>
        <w:t xml:space="preserve">, que predomina </w:t>
      </w:r>
      <w:r w:rsidR="00D85349" w:rsidRPr="00FC74AB">
        <w:rPr>
          <w:lang w:val="ca-ES"/>
        </w:rPr>
        <w:t xml:space="preserve">a </w:t>
      </w:r>
      <w:r w:rsidRPr="00FC74AB">
        <w:rPr>
          <w:lang w:val="ca-ES"/>
        </w:rPr>
        <w:t>arreu d</w:t>
      </w:r>
      <w:r w:rsidR="00D85349" w:rsidRPr="00FC74AB">
        <w:rPr>
          <w:lang w:val="ca-ES"/>
        </w:rPr>
        <w:t>el món</w:t>
      </w:r>
      <w:r w:rsidR="007E16DC" w:rsidRPr="00FC74AB">
        <w:rPr>
          <w:lang w:val="ca-ES"/>
        </w:rPr>
        <w:t xml:space="preserve">, </w:t>
      </w:r>
      <w:r w:rsidR="00D85349" w:rsidRPr="00FC74AB">
        <w:rPr>
          <w:lang w:val="ca-ES"/>
        </w:rPr>
        <w:t>també presenta riscos per als drets humans, en informes anterior</w:t>
      </w:r>
      <w:r w:rsidR="007E16DC" w:rsidRPr="00FC74AB">
        <w:rPr>
          <w:lang w:val="ca-ES"/>
        </w:rPr>
        <w:t>s s</w:t>
      </w:r>
      <w:r w:rsidR="00A47243" w:rsidRPr="00FC74AB">
        <w:rPr>
          <w:lang w:val="ca-ES"/>
        </w:rPr>
        <w:t>e n</w:t>
      </w:r>
      <w:r w:rsidR="00D85349" w:rsidRPr="00FC74AB">
        <w:rPr>
          <w:lang w:val="ca-ES"/>
        </w:rPr>
        <w:t xml:space="preserve">’han </w:t>
      </w:r>
      <w:r w:rsidR="007E16DC" w:rsidRPr="00FC74AB">
        <w:rPr>
          <w:lang w:val="ca-ES"/>
        </w:rPr>
        <w:t>aborda</w:t>
      </w:r>
      <w:r w:rsidR="00D85349" w:rsidRPr="00FC74AB">
        <w:rPr>
          <w:lang w:val="ca-ES"/>
        </w:rPr>
        <w:t xml:space="preserve">t </w:t>
      </w:r>
      <w:r w:rsidR="00320544" w:rsidRPr="00FC74AB">
        <w:rPr>
          <w:lang w:val="ca-ES"/>
        </w:rPr>
        <w:t>els problemes</w:t>
      </w:r>
      <w:r w:rsidR="007E4E7F" w:rsidRPr="00FC74AB">
        <w:rPr>
          <w:lang w:val="ca-ES"/>
        </w:rPr>
        <w:t xml:space="preserve"> i</w:t>
      </w:r>
      <w:r w:rsidR="00B3113E" w:rsidRPr="00FC74AB">
        <w:rPr>
          <w:lang w:val="ca-ES"/>
        </w:rPr>
        <w:t xml:space="preserve"> les </w:t>
      </w:r>
      <w:r w:rsidR="00D85349" w:rsidRPr="00FC74AB">
        <w:rPr>
          <w:lang w:val="ca-ES"/>
        </w:rPr>
        <w:t>forme</w:t>
      </w:r>
      <w:r w:rsidR="007E16DC" w:rsidRPr="00FC74AB">
        <w:rPr>
          <w:lang w:val="ca-ES"/>
        </w:rPr>
        <w:t xml:space="preserve">s </w:t>
      </w:r>
      <w:r w:rsidR="00D85349" w:rsidRPr="00FC74AB">
        <w:rPr>
          <w:lang w:val="ca-ES"/>
        </w:rPr>
        <w:t xml:space="preserve">com es podria millorar aquest tipus de prestació </w:t>
      </w:r>
      <w:r w:rsidR="00A47243" w:rsidRPr="00FC74AB">
        <w:rPr>
          <w:lang w:val="ca-ES"/>
        </w:rPr>
        <w:t>pel que fa a la</w:t>
      </w:r>
      <w:r w:rsidR="00D85349" w:rsidRPr="00FC74AB">
        <w:rPr>
          <w:lang w:val="ca-ES"/>
        </w:rPr>
        <w:t xml:space="preserve"> rendició</w:t>
      </w:r>
      <w:r w:rsidR="007E16DC" w:rsidRPr="00FC74AB">
        <w:rPr>
          <w:lang w:val="ca-ES"/>
        </w:rPr>
        <w:t xml:space="preserve"> de c</w:t>
      </w:r>
      <w:r w:rsidR="00D85349" w:rsidRPr="00FC74AB">
        <w:rPr>
          <w:lang w:val="ca-ES"/>
        </w:rPr>
        <w:t>omptes</w:t>
      </w:r>
      <w:r w:rsidR="007E16DC" w:rsidRPr="00FC74AB">
        <w:rPr>
          <w:rStyle w:val="FootnoteReference"/>
          <w:lang w:val="ca-ES"/>
        </w:rPr>
        <w:footnoteReference w:id="6"/>
      </w:r>
      <w:r w:rsidR="00D85349" w:rsidRPr="00FC74AB">
        <w:rPr>
          <w:lang w:val="ca-ES"/>
        </w:rPr>
        <w:t>, regulació</w:t>
      </w:r>
      <w:r w:rsidR="007E16DC" w:rsidRPr="00FC74AB">
        <w:rPr>
          <w:rStyle w:val="FootnoteReference"/>
          <w:lang w:val="ca-ES"/>
        </w:rPr>
        <w:footnoteReference w:id="7"/>
      </w:r>
      <w:r w:rsidR="007E16DC" w:rsidRPr="00FC74AB">
        <w:rPr>
          <w:lang w:val="ca-ES"/>
        </w:rPr>
        <w:t xml:space="preserve">, </w:t>
      </w:r>
      <w:r w:rsidR="007E4E7F" w:rsidRPr="00FC74AB">
        <w:rPr>
          <w:lang w:val="ca-ES"/>
        </w:rPr>
        <w:t>assequibilitat</w:t>
      </w:r>
      <w:r w:rsidR="007E16DC" w:rsidRPr="00FC74AB">
        <w:rPr>
          <w:rStyle w:val="FootnoteReference"/>
          <w:lang w:val="ca-ES"/>
        </w:rPr>
        <w:footnoteReference w:id="8"/>
      </w:r>
      <w:r w:rsidR="007E16DC" w:rsidRPr="00FC74AB">
        <w:rPr>
          <w:lang w:val="ca-ES"/>
        </w:rPr>
        <w:t>, participació</w:t>
      </w:r>
      <w:r w:rsidR="007E16DC" w:rsidRPr="00FC74AB">
        <w:rPr>
          <w:rStyle w:val="FootnoteReference"/>
          <w:lang w:val="ca-ES"/>
        </w:rPr>
        <w:footnoteReference w:id="9"/>
      </w:r>
      <w:r w:rsidR="007E16DC" w:rsidRPr="00FC74AB">
        <w:rPr>
          <w:lang w:val="ca-ES"/>
        </w:rPr>
        <w:t>, planificació</w:t>
      </w:r>
      <w:r w:rsidR="007E16DC" w:rsidRPr="00FC74AB">
        <w:rPr>
          <w:rStyle w:val="FootnoteReference"/>
          <w:lang w:val="ca-ES"/>
        </w:rPr>
        <w:footnoteReference w:id="10"/>
      </w:r>
      <w:r w:rsidR="007E16DC" w:rsidRPr="00FC74AB">
        <w:rPr>
          <w:lang w:val="ca-ES"/>
        </w:rPr>
        <w:t xml:space="preserve">, </w:t>
      </w:r>
      <w:r w:rsidR="00BE7C83" w:rsidRPr="00FC74AB">
        <w:rPr>
          <w:lang w:val="ca-ES"/>
        </w:rPr>
        <w:t>finançament</w:t>
      </w:r>
      <w:r w:rsidR="007E16DC" w:rsidRPr="00FC74AB">
        <w:rPr>
          <w:rStyle w:val="FootnoteReference"/>
          <w:lang w:val="ca-ES"/>
        </w:rPr>
        <w:footnoteReference w:id="11"/>
      </w:r>
      <w:r w:rsidR="007E4E7F" w:rsidRPr="00FC74AB">
        <w:rPr>
          <w:lang w:val="ca-ES"/>
        </w:rPr>
        <w:t xml:space="preserve"> i</w:t>
      </w:r>
      <w:r w:rsidR="005214BF" w:rsidRPr="00FC74AB">
        <w:rPr>
          <w:lang w:val="ca-ES"/>
        </w:rPr>
        <w:t xml:space="preserve"> </w:t>
      </w:r>
      <w:r w:rsidR="007E16DC" w:rsidRPr="00FC74AB">
        <w:rPr>
          <w:lang w:val="ca-ES"/>
        </w:rPr>
        <w:t>d</w:t>
      </w:r>
      <w:r w:rsidR="00D85349" w:rsidRPr="00FC74AB">
        <w:rPr>
          <w:lang w:val="ca-ES"/>
        </w:rPr>
        <w:t xml:space="preserve">rets </w:t>
      </w:r>
      <w:r w:rsidR="007E16DC" w:rsidRPr="00FC74AB">
        <w:rPr>
          <w:lang w:val="ca-ES"/>
        </w:rPr>
        <w:t>de</w:t>
      </w:r>
      <w:r w:rsidR="00B3113E" w:rsidRPr="00FC74AB">
        <w:rPr>
          <w:lang w:val="ca-ES"/>
        </w:rPr>
        <w:t xml:space="preserve"> les </w:t>
      </w:r>
      <w:r w:rsidR="00D85349" w:rsidRPr="00FC74AB">
        <w:rPr>
          <w:lang w:val="ca-ES"/>
        </w:rPr>
        <w:t>persone</w:t>
      </w:r>
      <w:r w:rsidR="007E16DC" w:rsidRPr="00FC74AB">
        <w:rPr>
          <w:lang w:val="ca-ES"/>
        </w:rPr>
        <w:t xml:space="preserve">s que </w:t>
      </w:r>
      <w:r w:rsidR="00D85349" w:rsidRPr="00FC74AB">
        <w:rPr>
          <w:lang w:val="ca-ES"/>
        </w:rPr>
        <w:t>e</w:t>
      </w:r>
      <w:r w:rsidR="007E16DC" w:rsidRPr="00FC74AB">
        <w:rPr>
          <w:lang w:val="ca-ES"/>
        </w:rPr>
        <w:t xml:space="preserve">s </w:t>
      </w:r>
      <w:r w:rsidR="00D85349" w:rsidRPr="00FC74AB">
        <w:rPr>
          <w:lang w:val="ca-ES"/>
        </w:rPr>
        <w:t>troben en situacions de vulnerabilitat</w:t>
      </w:r>
      <w:r w:rsidR="007E16DC" w:rsidRPr="00FC74AB">
        <w:rPr>
          <w:rStyle w:val="FootnoteReference"/>
          <w:lang w:val="ca-ES"/>
        </w:rPr>
        <w:footnoteReference w:id="12"/>
      </w:r>
      <w:r w:rsidR="007E16DC" w:rsidRPr="00FC74AB">
        <w:rPr>
          <w:lang w:val="ca-ES"/>
        </w:rPr>
        <w:t>. A</w:t>
      </w:r>
      <w:r w:rsidR="00D85349" w:rsidRPr="00FC74AB">
        <w:rPr>
          <w:lang w:val="ca-ES"/>
        </w:rPr>
        <w:t xml:space="preserve"> més, és pertinent que un informe se centri específicament</w:t>
      </w:r>
      <w:r w:rsidR="007E16DC" w:rsidRPr="00FC74AB">
        <w:rPr>
          <w:lang w:val="ca-ES"/>
        </w:rPr>
        <w:t xml:space="preserve"> en el </w:t>
      </w:r>
      <w:r w:rsidR="00D85349" w:rsidRPr="00FC74AB">
        <w:rPr>
          <w:lang w:val="ca-ES"/>
        </w:rPr>
        <w:t xml:space="preserve">subministrament </w:t>
      </w:r>
      <w:r w:rsidR="004879F7" w:rsidRPr="00FC74AB">
        <w:rPr>
          <w:lang w:val="ca-ES"/>
        </w:rPr>
        <w:t>privat</w:t>
      </w:r>
      <w:r w:rsidR="00D85349" w:rsidRPr="00FC74AB">
        <w:rPr>
          <w:lang w:val="ca-ES"/>
        </w:rPr>
        <w:t>, j</w:t>
      </w:r>
      <w:r w:rsidR="007E16DC" w:rsidRPr="00FC74AB">
        <w:rPr>
          <w:lang w:val="ca-ES"/>
        </w:rPr>
        <w:t xml:space="preserve">a que la </w:t>
      </w:r>
      <w:r w:rsidR="007E4E7F" w:rsidRPr="00FC74AB">
        <w:rPr>
          <w:lang w:val="ca-ES"/>
        </w:rPr>
        <w:t>privatització</w:t>
      </w:r>
      <w:r w:rsidR="007E16DC" w:rsidRPr="00FC74AB">
        <w:rPr>
          <w:lang w:val="ca-ES"/>
        </w:rPr>
        <w:t xml:space="preserve"> </w:t>
      </w:r>
      <w:r w:rsidR="007E4E7F" w:rsidRPr="00FC74AB">
        <w:rPr>
          <w:lang w:val="ca-ES"/>
        </w:rPr>
        <w:t>dels serveis d’aigua i sanejament</w:t>
      </w:r>
      <w:r w:rsidR="00D85349" w:rsidRPr="00FC74AB">
        <w:rPr>
          <w:lang w:val="ca-ES"/>
        </w:rPr>
        <w:t xml:space="preserve"> requ</w:t>
      </w:r>
      <w:r w:rsidR="007E16DC" w:rsidRPr="00FC74AB">
        <w:rPr>
          <w:lang w:val="ca-ES"/>
        </w:rPr>
        <w:t>ere</w:t>
      </w:r>
      <w:r w:rsidR="00D85349" w:rsidRPr="00FC74AB">
        <w:rPr>
          <w:lang w:val="ca-ES"/>
        </w:rPr>
        <w:t>ix un procés</w:t>
      </w:r>
      <w:r w:rsidR="007E16DC" w:rsidRPr="00FC74AB">
        <w:rPr>
          <w:lang w:val="ca-ES"/>
        </w:rPr>
        <w:t xml:space="preserve"> </w:t>
      </w:r>
      <w:r w:rsidR="00A47243" w:rsidRPr="00FC74AB">
        <w:rPr>
          <w:lang w:val="ca-ES"/>
        </w:rPr>
        <w:t xml:space="preserve">de presa </w:t>
      </w:r>
      <w:r w:rsidR="00D85349" w:rsidRPr="00FC74AB">
        <w:rPr>
          <w:lang w:val="ca-ES"/>
        </w:rPr>
        <w:t>de decisions per part</w:t>
      </w:r>
      <w:r w:rsidR="007E16DC" w:rsidRPr="00FC74AB">
        <w:rPr>
          <w:lang w:val="ca-ES"/>
        </w:rPr>
        <w:t xml:space="preserve"> </w:t>
      </w:r>
      <w:r w:rsidR="009A31D3" w:rsidRPr="00FC74AB">
        <w:rPr>
          <w:lang w:val="ca-ES"/>
        </w:rPr>
        <w:t>dels</w:t>
      </w:r>
      <w:r w:rsidR="005214BF" w:rsidRPr="00FC74AB">
        <w:rPr>
          <w:lang w:val="ca-ES"/>
        </w:rPr>
        <w:t xml:space="preserve"> </w:t>
      </w:r>
      <w:r w:rsidR="00195395" w:rsidRPr="00FC74AB">
        <w:rPr>
          <w:lang w:val="ca-ES"/>
        </w:rPr>
        <w:t>Estats</w:t>
      </w:r>
      <w:r w:rsidR="007E16DC" w:rsidRPr="00FC74AB">
        <w:rPr>
          <w:lang w:val="ca-ES"/>
        </w:rPr>
        <w:t xml:space="preserve"> </w:t>
      </w:r>
      <w:r w:rsidR="00A47243" w:rsidRPr="00FC74AB">
        <w:rPr>
          <w:lang w:val="ca-ES"/>
        </w:rPr>
        <w:t xml:space="preserve">respecte de </w:t>
      </w:r>
      <w:r w:rsidR="00D85349" w:rsidRPr="00FC74AB">
        <w:rPr>
          <w:lang w:val="ca-ES"/>
        </w:rPr>
        <w:t xml:space="preserve">la </w:t>
      </w:r>
      <w:r w:rsidR="00D85349" w:rsidRPr="00FC74AB">
        <w:rPr>
          <w:lang w:val="ca-ES"/>
        </w:rPr>
        <w:lastRenderedPageBreak/>
        <w:t>conveniè</w:t>
      </w:r>
      <w:r w:rsidR="007E16DC" w:rsidRPr="00FC74AB">
        <w:rPr>
          <w:lang w:val="ca-ES"/>
        </w:rPr>
        <w:t>ncia d</w:t>
      </w:r>
      <w:r w:rsidR="00D85349" w:rsidRPr="00FC74AB">
        <w:rPr>
          <w:lang w:val="ca-ES"/>
        </w:rPr>
        <w:t>’emprend</w:t>
      </w:r>
      <w:r w:rsidR="007E16DC" w:rsidRPr="00FC74AB">
        <w:rPr>
          <w:lang w:val="ca-ES"/>
        </w:rPr>
        <w:t>r</w:t>
      </w:r>
      <w:r w:rsidR="00D85349" w:rsidRPr="00FC74AB">
        <w:rPr>
          <w:lang w:val="ca-ES"/>
        </w:rPr>
        <w:t>e</w:t>
      </w:r>
      <w:r w:rsidR="007E16DC" w:rsidRPr="00FC74AB">
        <w:rPr>
          <w:lang w:val="ca-ES"/>
        </w:rPr>
        <w:t xml:space="preserve"> o no </w:t>
      </w:r>
      <w:r w:rsidR="00D85349" w:rsidRPr="00FC74AB">
        <w:rPr>
          <w:lang w:val="ca-ES"/>
        </w:rPr>
        <w:t>aqu</w:t>
      </w:r>
      <w:r w:rsidR="007E16DC" w:rsidRPr="00FC74AB">
        <w:rPr>
          <w:lang w:val="ca-ES"/>
        </w:rPr>
        <w:t>esta modali</w:t>
      </w:r>
      <w:r w:rsidR="00D85349" w:rsidRPr="00FC74AB">
        <w:rPr>
          <w:lang w:val="ca-ES"/>
        </w:rPr>
        <w:t>t</w:t>
      </w:r>
      <w:r w:rsidR="007E16DC" w:rsidRPr="00FC74AB">
        <w:rPr>
          <w:lang w:val="ca-ES"/>
        </w:rPr>
        <w:t>a</w:t>
      </w:r>
      <w:r w:rsidR="00D85349" w:rsidRPr="00FC74AB">
        <w:rPr>
          <w:lang w:val="ca-ES"/>
        </w:rPr>
        <w:t>t</w:t>
      </w:r>
      <w:r w:rsidR="007E16DC" w:rsidRPr="00FC74AB">
        <w:rPr>
          <w:lang w:val="ca-ES"/>
        </w:rPr>
        <w:t xml:space="preserve"> de </w:t>
      </w:r>
      <w:r w:rsidR="00D85349" w:rsidRPr="00FC74AB">
        <w:rPr>
          <w:lang w:val="ca-ES"/>
        </w:rPr>
        <w:t>subministrament</w:t>
      </w:r>
      <w:r w:rsidR="007E16DC" w:rsidRPr="00FC74AB">
        <w:rPr>
          <w:lang w:val="ca-ES"/>
        </w:rPr>
        <w:t>,</w:t>
      </w:r>
      <w:r w:rsidR="007E4E7F" w:rsidRPr="00FC74AB">
        <w:rPr>
          <w:lang w:val="ca-ES"/>
        </w:rPr>
        <w:t xml:space="preserve"> i </w:t>
      </w:r>
      <w:r w:rsidR="00A47243" w:rsidRPr="00FC74AB">
        <w:rPr>
          <w:lang w:val="ca-ES"/>
        </w:rPr>
        <w:t xml:space="preserve">amb l’informe </w:t>
      </w:r>
      <w:r w:rsidR="007E16DC" w:rsidRPr="00FC74AB">
        <w:rPr>
          <w:lang w:val="ca-ES"/>
        </w:rPr>
        <w:t xml:space="preserve">el Relator Especial </w:t>
      </w:r>
      <w:r w:rsidR="00D85349" w:rsidRPr="00FC74AB">
        <w:rPr>
          <w:lang w:val="ca-ES"/>
        </w:rPr>
        <w:t>preté</w:t>
      </w:r>
      <w:r w:rsidR="007E16DC" w:rsidRPr="00FC74AB">
        <w:rPr>
          <w:lang w:val="ca-ES"/>
        </w:rPr>
        <w:t>n</w:t>
      </w:r>
      <w:r w:rsidR="00D85349" w:rsidRPr="00FC74AB">
        <w:rPr>
          <w:lang w:val="ca-ES"/>
        </w:rPr>
        <w:t xml:space="preserve"> </w:t>
      </w:r>
      <w:r w:rsidR="007E16DC" w:rsidRPr="00FC74AB">
        <w:rPr>
          <w:lang w:val="ca-ES"/>
        </w:rPr>
        <w:t>of</w:t>
      </w:r>
      <w:r w:rsidR="00D85349" w:rsidRPr="00FC74AB">
        <w:rPr>
          <w:lang w:val="ca-ES"/>
        </w:rPr>
        <w:t>e</w:t>
      </w:r>
      <w:r w:rsidR="007E16DC" w:rsidRPr="00FC74AB">
        <w:rPr>
          <w:lang w:val="ca-ES"/>
        </w:rPr>
        <w:t>r</w:t>
      </w:r>
      <w:r w:rsidR="00D85349" w:rsidRPr="00FC74AB">
        <w:rPr>
          <w:lang w:val="ca-ES"/>
        </w:rPr>
        <w:t>ir una orientació útil pe</w:t>
      </w:r>
      <w:r w:rsidR="007E16DC" w:rsidRPr="00FC74AB">
        <w:rPr>
          <w:lang w:val="ca-ES"/>
        </w:rPr>
        <w:t>r</w:t>
      </w:r>
      <w:r w:rsidR="00D85349" w:rsidRPr="00FC74AB">
        <w:rPr>
          <w:lang w:val="ca-ES"/>
        </w:rPr>
        <w:t xml:space="preserve"> </w:t>
      </w:r>
      <w:r w:rsidR="007E16DC" w:rsidRPr="00FC74AB">
        <w:rPr>
          <w:lang w:val="ca-ES"/>
        </w:rPr>
        <w:t xml:space="preserve">a </w:t>
      </w:r>
      <w:r w:rsidR="00D85349" w:rsidRPr="00FC74AB">
        <w:rPr>
          <w:lang w:val="ca-ES"/>
        </w:rPr>
        <w:t>aquest procés</w:t>
      </w:r>
      <w:r w:rsidR="007E16DC" w:rsidRPr="00FC74AB">
        <w:rPr>
          <w:lang w:val="ca-ES"/>
        </w:rPr>
        <w:t>.</w:t>
      </w:r>
    </w:p>
    <w:p w14:paraId="2532239E" w14:textId="307A7E90" w:rsidR="007E16DC" w:rsidRPr="00FC74AB" w:rsidRDefault="00440C57" w:rsidP="00320544">
      <w:pPr>
        <w:pStyle w:val="SingleTxt"/>
        <w:numPr>
          <w:ilvl w:val="2"/>
          <w:numId w:val="49"/>
        </w:numPr>
        <w:spacing w:line="240" w:lineRule="atLeast"/>
        <w:ind w:left="1267" w:firstLine="0"/>
        <w:rPr>
          <w:lang w:val="ca-ES"/>
        </w:rPr>
      </w:pPr>
      <w:r w:rsidRPr="00FC74AB">
        <w:rPr>
          <w:lang w:val="ca-ES"/>
        </w:rPr>
        <w:t>Pe</w:t>
      </w:r>
      <w:r w:rsidR="007E16DC" w:rsidRPr="00FC74AB">
        <w:rPr>
          <w:lang w:val="ca-ES"/>
        </w:rPr>
        <w:t>r</w:t>
      </w:r>
      <w:r w:rsidRPr="00FC74AB">
        <w:rPr>
          <w:lang w:val="ca-ES"/>
        </w:rPr>
        <w:t xml:space="preserve"> redactar </w:t>
      </w:r>
      <w:r w:rsidR="007E16DC" w:rsidRPr="00FC74AB">
        <w:rPr>
          <w:lang w:val="ca-ES"/>
        </w:rPr>
        <w:t>l</w:t>
      </w:r>
      <w:r w:rsidRPr="00FC74AB">
        <w:rPr>
          <w:lang w:val="ca-ES"/>
        </w:rPr>
        <w:t>’</w:t>
      </w:r>
      <w:r w:rsidR="007E16DC" w:rsidRPr="00FC74AB">
        <w:rPr>
          <w:lang w:val="ca-ES"/>
        </w:rPr>
        <w:t>informe, el Relator Especial</w:t>
      </w:r>
      <w:r w:rsidRPr="00FC74AB">
        <w:rPr>
          <w:lang w:val="ca-ES"/>
        </w:rPr>
        <w:t xml:space="preserve"> va</w:t>
      </w:r>
      <w:r w:rsidR="007E16DC" w:rsidRPr="00FC74AB">
        <w:rPr>
          <w:lang w:val="ca-ES"/>
        </w:rPr>
        <w:t xml:space="preserve"> convoc</w:t>
      </w:r>
      <w:r w:rsidRPr="00FC74AB">
        <w:rPr>
          <w:lang w:val="ca-ES"/>
        </w:rPr>
        <w:t>ar tres consulte</w:t>
      </w:r>
      <w:r w:rsidR="007E16DC" w:rsidRPr="00FC74AB">
        <w:rPr>
          <w:lang w:val="ca-ES"/>
        </w:rPr>
        <w:t>s públi</w:t>
      </w:r>
      <w:r w:rsidRPr="00FC74AB">
        <w:rPr>
          <w:lang w:val="ca-ES"/>
        </w:rPr>
        <w:t>que</w:t>
      </w:r>
      <w:r w:rsidR="007E16DC" w:rsidRPr="00FC74AB">
        <w:rPr>
          <w:lang w:val="ca-ES"/>
        </w:rPr>
        <w:t xml:space="preserve">s: el 13 de </w:t>
      </w:r>
      <w:r w:rsidRPr="00FC74AB">
        <w:rPr>
          <w:lang w:val="ca-ES"/>
        </w:rPr>
        <w:t>setembre</w:t>
      </w:r>
      <w:r w:rsidR="007E16DC" w:rsidRPr="00FC74AB">
        <w:rPr>
          <w:lang w:val="ca-ES"/>
        </w:rPr>
        <w:t xml:space="preserve"> de 2019 </w:t>
      </w:r>
      <w:r w:rsidRPr="00FC74AB">
        <w:rPr>
          <w:lang w:val="ca-ES"/>
        </w:rPr>
        <w:t>a</w:t>
      </w:r>
      <w:r w:rsidR="007E16DC" w:rsidRPr="00FC74AB">
        <w:rPr>
          <w:lang w:val="ca-ES"/>
        </w:rPr>
        <w:t xml:space="preserve"> Ginebra; el 21 d</w:t>
      </w:r>
      <w:r w:rsidRPr="00FC74AB">
        <w:rPr>
          <w:lang w:val="ca-ES"/>
        </w:rPr>
        <w:t>’</w:t>
      </w:r>
      <w:r w:rsidR="007E16DC" w:rsidRPr="00FC74AB">
        <w:rPr>
          <w:lang w:val="ca-ES"/>
        </w:rPr>
        <w:t xml:space="preserve">octubre de 2019 </w:t>
      </w:r>
      <w:r w:rsidRPr="00FC74AB">
        <w:rPr>
          <w:lang w:val="ca-ES"/>
        </w:rPr>
        <w:t>a</w:t>
      </w:r>
      <w:r w:rsidR="007E16DC" w:rsidRPr="00FC74AB">
        <w:rPr>
          <w:lang w:val="ca-ES"/>
        </w:rPr>
        <w:t xml:space="preserve"> N</w:t>
      </w:r>
      <w:r w:rsidRPr="00FC74AB">
        <w:rPr>
          <w:lang w:val="ca-ES"/>
        </w:rPr>
        <w:t>o</w:t>
      </w:r>
      <w:r w:rsidR="007E16DC" w:rsidRPr="00FC74AB">
        <w:rPr>
          <w:lang w:val="ca-ES"/>
        </w:rPr>
        <w:t>va York,</w:t>
      </w:r>
      <w:r w:rsidR="007E4E7F" w:rsidRPr="00FC74AB">
        <w:rPr>
          <w:lang w:val="ca-ES"/>
        </w:rPr>
        <w:t xml:space="preserve"> i </w:t>
      </w:r>
      <w:r w:rsidR="007E16DC" w:rsidRPr="00FC74AB">
        <w:rPr>
          <w:lang w:val="ca-ES"/>
        </w:rPr>
        <w:t xml:space="preserve">una consulta específica </w:t>
      </w:r>
      <w:r w:rsidRPr="00FC74AB">
        <w:rPr>
          <w:lang w:val="ca-ES"/>
        </w:rPr>
        <w:t xml:space="preserve">amb </w:t>
      </w:r>
      <w:r w:rsidR="005214BF" w:rsidRPr="00FC74AB">
        <w:rPr>
          <w:lang w:val="ca-ES"/>
        </w:rPr>
        <w:t xml:space="preserve">els </w:t>
      </w:r>
      <w:r w:rsidR="007E16DC" w:rsidRPr="00FC74AB">
        <w:rPr>
          <w:lang w:val="ca-ES"/>
        </w:rPr>
        <w:t>prove</w:t>
      </w:r>
      <w:r w:rsidRPr="00FC74AB">
        <w:rPr>
          <w:lang w:val="ca-ES"/>
        </w:rPr>
        <w:t>ïdor</w:t>
      </w:r>
      <w:r w:rsidR="007E16DC" w:rsidRPr="00FC74AB">
        <w:rPr>
          <w:lang w:val="ca-ES"/>
        </w:rPr>
        <w:t>s de serv</w:t>
      </w:r>
      <w:r w:rsidRPr="00FC74AB">
        <w:rPr>
          <w:lang w:val="ca-ES"/>
        </w:rPr>
        <w:t>e</w:t>
      </w:r>
      <w:r w:rsidR="007E16DC" w:rsidRPr="00FC74AB">
        <w:rPr>
          <w:lang w:val="ca-ES"/>
        </w:rPr>
        <w:t xml:space="preserve">is </w:t>
      </w:r>
      <w:r w:rsidR="004879F7" w:rsidRPr="00FC74AB">
        <w:rPr>
          <w:lang w:val="ca-ES"/>
        </w:rPr>
        <w:t>privat</w:t>
      </w:r>
      <w:r w:rsidR="007E16DC" w:rsidRPr="00FC74AB">
        <w:rPr>
          <w:lang w:val="ca-ES"/>
        </w:rPr>
        <w:t>s el 17 d</w:t>
      </w:r>
      <w:r w:rsidRPr="00FC74AB">
        <w:rPr>
          <w:lang w:val="ca-ES"/>
        </w:rPr>
        <w:t>’o</w:t>
      </w:r>
      <w:r w:rsidR="007E16DC" w:rsidRPr="00FC74AB">
        <w:rPr>
          <w:lang w:val="ca-ES"/>
        </w:rPr>
        <w:t xml:space="preserve">ctubre de 2019 </w:t>
      </w:r>
      <w:r w:rsidR="001B65A8" w:rsidRPr="00FC74AB">
        <w:rPr>
          <w:lang w:val="ca-ES"/>
        </w:rPr>
        <w:t xml:space="preserve">també </w:t>
      </w:r>
      <w:r w:rsidRPr="00FC74AB">
        <w:rPr>
          <w:lang w:val="ca-ES"/>
        </w:rPr>
        <w:t>a No</w:t>
      </w:r>
      <w:r w:rsidR="007E16DC" w:rsidRPr="00FC74AB">
        <w:rPr>
          <w:lang w:val="ca-ES"/>
        </w:rPr>
        <w:t>va York. A</w:t>
      </w:r>
      <w:r w:rsidRPr="00FC74AB">
        <w:rPr>
          <w:lang w:val="ca-ES"/>
        </w:rPr>
        <w:t xml:space="preserve"> mé</w:t>
      </w:r>
      <w:r w:rsidR="007E16DC" w:rsidRPr="00FC74AB">
        <w:rPr>
          <w:lang w:val="ca-ES"/>
        </w:rPr>
        <w:t xml:space="preserve">s, </w:t>
      </w:r>
      <w:r w:rsidRPr="00FC74AB">
        <w:rPr>
          <w:lang w:val="ca-ES"/>
        </w:rPr>
        <w:t xml:space="preserve">es van rebre 109 contribucions </w:t>
      </w:r>
      <w:r w:rsidR="00320544" w:rsidRPr="00FC74AB">
        <w:rPr>
          <w:lang w:val="ca-ES"/>
        </w:rPr>
        <w:t>a través de</w:t>
      </w:r>
      <w:r w:rsidR="005214BF" w:rsidRPr="00FC74AB">
        <w:rPr>
          <w:lang w:val="ca-ES"/>
        </w:rPr>
        <w:t xml:space="preserve">ls </w:t>
      </w:r>
      <w:r w:rsidRPr="00FC74AB">
        <w:rPr>
          <w:lang w:val="ca-ES"/>
        </w:rPr>
        <w:t>qüestionaris</w:t>
      </w:r>
      <w:r w:rsidR="007E16DC" w:rsidRPr="00FC74AB">
        <w:rPr>
          <w:lang w:val="ca-ES"/>
        </w:rPr>
        <w:t xml:space="preserve"> dirigi</w:t>
      </w:r>
      <w:r w:rsidRPr="00FC74AB">
        <w:rPr>
          <w:lang w:val="ca-ES"/>
        </w:rPr>
        <w:t>t</w:t>
      </w:r>
      <w:r w:rsidR="007E16DC" w:rsidRPr="00FC74AB">
        <w:rPr>
          <w:lang w:val="ca-ES"/>
        </w:rPr>
        <w:t xml:space="preserve">s </w:t>
      </w:r>
      <w:r w:rsidR="009A31D3" w:rsidRPr="00FC74AB">
        <w:rPr>
          <w:lang w:val="ca-ES"/>
        </w:rPr>
        <w:t>als</w:t>
      </w:r>
      <w:r w:rsidR="005214BF" w:rsidRPr="00FC74AB">
        <w:rPr>
          <w:lang w:val="ca-ES"/>
        </w:rPr>
        <w:t xml:space="preserve"> </w:t>
      </w:r>
      <w:r w:rsidR="00195395" w:rsidRPr="00FC74AB">
        <w:rPr>
          <w:lang w:val="ca-ES"/>
        </w:rPr>
        <w:t>Estats</w:t>
      </w:r>
      <w:r w:rsidR="007E4E7F" w:rsidRPr="00FC74AB">
        <w:rPr>
          <w:lang w:val="ca-ES"/>
        </w:rPr>
        <w:t xml:space="preserve"> i </w:t>
      </w:r>
      <w:r w:rsidR="007E16DC" w:rsidRPr="00FC74AB">
        <w:rPr>
          <w:lang w:val="ca-ES"/>
        </w:rPr>
        <w:t>a</w:t>
      </w:r>
      <w:r w:rsidR="00B3113E" w:rsidRPr="00FC74AB">
        <w:rPr>
          <w:lang w:val="ca-ES"/>
        </w:rPr>
        <w:t xml:space="preserve"> les </w:t>
      </w:r>
      <w:r w:rsidR="007E16DC" w:rsidRPr="00FC74AB">
        <w:rPr>
          <w:lang w:val="ca-ES"/>
        </w:rPr>
        <w:t>organi</w:t>
      </w:r>
      <w:r w:rsidRPr="00FC74AB">
        <w:rPr>
          <w:lang w:val="ca-ES"/>
        </w:rPr>
        <w:t>tzacion</w:t>
      </w:r>
      <w:r w:rsidR="007E16DC" w:rsidRPr="00FC74AB">
        <w:rPr>
          <w:lang w:val="ca-ES"/>
        </w:rPr>
        <w:t>s de la socie</w:t>
      </w:r>
      <w:r w:rsidRPr="00FC74AB">
        <w:rPr>
          <w:lang w:val="ca-ES"/>
        </w:rPr>
        <w:t>tat</w:t>
      </w:r>
      <w:r w:rsidR="007E16DC" w:rsidRPr="00FC74AB">
        <w:rPr>
          <w:lang w:val="ca-ES"/>
        </w:rPr>
        <w:t xml:space="preserve"> civil. </w:t>
      </w:r>
      <w:r w:rsidRPr="00FC74AB">
        <w:rPr>
          <w:lang w:val="ca-ES"/>
        </w:rPr>
        <w:t>També es van organitzar diverses consultes en línia que van permetre la participació a distància dels interessats</w:t>
      </w:r>
      <w:r w:rsidR="007E16DC" w:rsidRPr="00FC74AB">
        <w:rPr>
          <w:rStyle w:val="FootnoteReference"/>
          <w:lang w:val="ca-ES"/>
        </w:rPr>
        <w:footnoteReference w:id="13"/>
      </w:r>
      <w:r w:rsidR="007E16DC" w:rsidRPr="00FC74AB">
        <w:rPr>
          <w:lang w:val="ca-ES"/>
        </w:rPr>
        <w:t xml:space="preserve">. </w:t>
      </w:r>
      <w:r w:rsidRPr="00FC74AB">
        <w:rPr>
          <w:lang w:val="ca-ES"/>
        </w:rPr>
        <w:t>El Relator Especial va rebre una enorme quantitat de valuoses aportacions que sens dubte van contribuir a millorar el contingut de l’informe i van proporcionar proves sobres les quals basar els seus arguments. Malauradament, a causa de les limitacions d</w:t>
      </w:r>
      <w:r w:rsidR="00A47243" w:rsidRPr="00FC74AB">
        <w:rPr>
          <w:lang w:val="ca-ES"/>
        </w:rPr>
        <w:t>’extensió</w:t>
      </w:r>
      <w:r w:rsidRPr="00FC74AB">
        <w:rPr>
          <w:lang w:val="ca-ES"/>
        </w:rPr>
        <w:t xml:space="preserve">, el present </w:t>
      </w:r>
      <w:r w:rsidRPr="00FC74AB">
        <w:rPr>
          <w:lang w:val="ca-ES"/>
        </w:rPr>
        <w:lastRenderedPageBreak/>
        <w:t xml:space="preserve">document només ha pogut </w:t>
      </w:r>
      <w:r w:rsidR="00320544" w:rsidRPr="00FC74AB">
        <w:rPr>
          <w:lang w:val="ca-ES"/>
        </w:rPr>
        <w:t xml:space="preserve">recollir </w:t>
      </w:r>
      <w:r w:rsidRPr="00FC74AB">
        <w:rPr>
          <w:lang w:val="ca-ES"/>
        </w:rPr>
        <w:t>explícitament una part de les contribucions</w:t>
      </w:r>
      <w:r w:rsidR="007E16DC" w:rsidRPr="00FC74AB">
        <w:rPr>
          <w:lang w:val="ca-ES"/>
        </w:rPr>
        <w:t>.</w:t>
      </w:r>
    </w:p>
    <w:p w14:paraId="0F8D2EE1" w14:textId="239DDC48" w:rsidR="007E16DC" w:rsidRPr="00FC74AB" w:rsidRDefault="007E16DC" w:rsidP="00624952">
      <w:pPr>
        <w:pStyle w:val="SingleTxt"/>
        <w:numPr>
          <w:ilvl w:val="2"/>
          <w:numId w:val="49"/>
        </w:numPr>
        <w:spacing w:line="240" w:lineRule="atLeast"/>
        <w:ind w:left="1267" w:firstLine="0"/>
        <w:rPr>
          <w:rStyle w:val="None"/>
          <w:spacing w:val="3"/>
          <w:w w:val="102"/>
          <w:lang w:val="ca-ES"/>
        </w:rPr>
      </w:pPr>
      <w:r w:rsidRPr="00FC74AB">
        <w:rPr>
          <w:lang w:val="ca-ES"/>
        </w:rPr>
        <w:t xml:space="preserve">El Relator Especial </w:t>
      </w:r>
      <w:r w:rsidR="00440C57" w:rsidRPr="00FC74AB">
        <w:rPr>
          <w:lang w:val="ca-ES"/>
        </w:rPr>
        <w:t>comença</w:t>
      </w:r>
      <w:r w:rsidRPr="00FC74AB">
        <w:rPr>
          <w:lang w:val="ca-ES"/>
        </w:rPr>
        <w:t xml:space="preserve"> presentan</w:t>
      </w:r>
      <w:r w:rsidR="00440C57" w:rsidRPr="00FC74AB">
        <w:rPr>
          <w:lang w:val="ca-ES"/>
        </w:rPr>
        <w:t>t</w:t>
      </w:r>
      <w:r w:rsidR="005214BF" w:rsidRPr="00FC74AB">
        <w:rPr>
          <w:lang w:val="ca-ES"/>
        </w:rPr>
        <w:t xml:space="preserve"> els </w:t>
      </w:r>
      <w:r w:rsidR="00440C57" w:rsidRPr="00FC74AB">
        <w:rPr>
          <w:lang w:val="ca-ES"/>
        </w:rPr>
        <w:t>antecedents del debat</w:t>
      </w:r>
      <w:r w:rsidRPr="00FC74AB">
        <w:rPr>
          <w:lang w:val="ca-ES"/>
        </w:rPr>
        <w:t xml:space="preserve">, en </w:t>
      </w:r>
      <w:r w:rsidR="00D569EE" w:rsidRPr="00FC74AB">
        <w:rPr>
          <w:lang w:val="ca-ES"/>
        </w:rPr>
        <w:t>concret com</w:t>
      </w:r>
      <w:r w:rsidR="00440C57" w:rsidRPr="00FC74AB">
        <w:rPr>
          <w:lang w:val="ca-ES"/>
        </w:rPr>
        <w:t xml:space="preserve"> </w:t>
      </w:r>
      <w:r w:rsidR="00B3113E" w:rsidRPr="00FC74AB">
        <w:rPr>
          <w:lang w:val="ca-ES"/>
        </w:rPr>
        <w:t xml:space="preserve">les </w:t>
      </w:r>
      <w:r w:rsidR="00440C57" w:rsidRPr="00FC74AB">
        <w:rPr>
          <w:lang w:val="ca-ES"/>
        </w:rPr>
        <w:t>tendències mundial</w:t>
      </w:r>
      <w:r w:rsidRPr="00FC74AB">
        <w:rPr>
          <w:lang w:val="ca-ES"/>
        </w:rPr>
        <w:t>s de</w:t>
      </w:r>
      <w:r w:rsidR="00B3113E" w:rsidRPr="00FC74AB">
        <w:rPr>
          <w:lang w:val="ca-ES"/>
        </w:rPr>
        <w:t xml:space="preserve"> les </w:t>
      </w:r>
      <w:r w:rsidR="00440C57" w:rsidRPr="00FC74AB">
        <w:rPr>
          <w:lang w:val="ca-ES"/>
        </w:rPr>
        <w:t>economie</w:t>
      </w:r>
      <w:r w:rsidRPr="00FC74AB">
        <w:rPr>
          <w:lang w:val="ca-ES"/>
        </w:rPr>
        <w:t xml:space="preserve">s </w:t>
      </w:r>
      <w:r w:rsidR="00440C57" w:rsidRPr="00FC74AB">
        <w:rPr>
          <w:lang w:val="ca-ES"/>
        </w:rPr>
        <w:t xml:space="preserve">contemporànies van arribar a </w:t>
      </w:r>
      <w:r w:rsidRPr="00FC74AB">
        <w:rPr>
          <w:lang w:val="ca-ES"/>
        </w:rPr>
        <w:t xml:space="preserve">influir la </w:t>
      </w:r>
      <w:r w:rsidR="007E4E7F" w:rsidRPr="00FC74AB">
        <w:rPr>
          <w:lang w:val="ca-ES"/>
        </w:rPr>
        <w:t>privatització</w:t>
      </w:r>
      <w:r w:rsidRPr="00FC74AB">
        <w:rPr>
          <w:lang w:val="ca-ES"/>
        </w:rPr>
        <w:t xml:space="preserve"> </w:t>
      </w:r>
      <w:r w:rsidR="007E4E7F" w:rsidRPr="00FC74AB">
        <w:rPr>
          <w:lang w:val="ca-ES"/>
        </w:rPr>
        <w:t>dels serveis d’aigua i sanejament</w:t>
      </w:r>
      <w:r w:rsidR="00440C57" w:rsidRPr="00FC74AB">
        <w:rPr>
          <w:lang w:val="ca-ES"/>
        </w:rPr>
        <w:t xml:space="preserve"> (secc</w:t>
      </w:r>
      <w:r w:rsidR="00F67D2A" w:rsidRPr="00FC74AB">
        <w:rPr>
          <w:lang w:val="ca-ES"/>
        </w:rPr>
        <w:t>ió</w:t>
      </w:r>
      <w:r w:rsidR="00440C57" w:rsidRPr="00FC74AB">
        <w:rPr>
          <w:lang w:val="ca-ES"/>
        </w:rPr>
        <w:t xml:space="preserve"> II). A continuació, presenta una justificació</w:t>
      </w:r>
      <w:r w:rsidRPr="00FC74AB">
        <w:rPr>
          <w:lang w:val="ca-ES"/>
        </w:rPr>
        <w:t xml:space="preserve"> conceptual que s</w:t>
      </w:r>
      <w:r w:rsidR="00440C57" w:rsidRPr="00FC74AB">
        <w:rPr>
          <w:lang w:val="ca-ES"/>
        </w:rPr>
        <w:t>erveix de base pe</w:t>
      </w:r>
      <w:r w:rsidRPr="00FC74AB">
        <w:rPr>
          <w:lang w:val="ca-ES"/>
        </w:rPr>
        <w:t>r</w:t>
      </w:r>
      <w:r w:rsidR="00440C57" w:rsidRPr="00FC74AB">
        <w:rPr>
          <w:lang w:val="ca-ES"/>
        </w:rPr>
        <w:t xml:space="preserve"> </w:t>
      </w:r>
      <w:r w:rsidRPr="00FC74AB">
        <w:rPr>
          <w:lang w:val="ca-ES"/>
        </w:rPr>
        <w:t>a</w:t>
      </w:r>
      <w:r w:rsidR="00B3113E" w:rsidRPr="00FC74AB">
        <w:rPr>
          <w:lang w:val="ca-ES"/>
        </w:rPr>
        <w:t xml:space="preserve"> les </w:t>
      </w:r>
      <w:r w:rsidR="00440C57" w:rsidRPr="00FC74AB">
        <w:rPr>
          <w:lang w:val="ca-ES"/>
        </w:rPr>
        <w:t>següent</w:t>
      </w:r>
      <w:r w:rsidRPr="00FC74AB">
        <w:rPr>
          <w:lang w:val="ca-ES"/>
        </w:rPr>
        <w:t xml:space="preserve">s </w:t>
      </w:r>
      <w:r w:rsidR="00440C57" w:rsidRPr="00FC74AB">
        <w:rPr>
          <w:lang w:val="ca-ES"/>
        </w:rPr>
        <w:t>seccions (</w:t>
      </w:r>
      <w:r w:rsidR="00F67D2A" w:rsidRPr="00FC74AB">
        <w:rPr>
          <w:lang w:val="ca-ES"/>
        </w:rPr>
        <w:t>secció</w:t>
      </w:r>
      <w:r w:rsidR="00440C57" w:rsidRPr="00FC74AB">
        <w:rPr>
          <w:lang w:val="ca-ES"/>
        </w:rPr>
        <w:t xml:space="preserve"> III). Posteriorment</w:t>
      </w:r>
      <w:r w:rsidRPr="00FC74AB">
        <w:rPr>
          <w:lang w:val="ca-ES"/>
        </w:rPr>
        <w:t>, bas</w:t>
      </w:r>
      <w:r w:rsidR="00440C57" w:rsidRPr="00FC74AB">
        <w:rPr>
          <w:lang w:val="ca-ES"/>
        </w:rPr>
        <w:t>ant-se en experièncie</w:t>
      </w:r>
      <w:r w:rsidRPr="00FC74AB">
        <w:rPr>
          <w:lang w:val="ca-ES"/>
        </w:rPr>
        <w:t xml:space="preserve">s </w:t>
      </w:r>
      <w:r w:rsidR="00D569EE" w:rsidRPr="00FC74AB">
        <w:rPr>
          <w:lang w:val="ca-ES"/>
        </w:rPr>
        <w:t>d’arreu del</w:t>
      </w:r>
      <w:r w:rsidRPr="00FC74AB">
        <w:rPr>
          <w:lang w:val="ca-ES"/>
        </w:rPr>
        <w:t xml:space="preserve"> m</w:t>
      </w:r>
      <w:r w:rsidR="00440C57" w:rsidRPr="00FC74AB">
        <w:rPr>
          <w:lang w:val="ca-ES"/>
        </w:rPr>
        <w:t>ón, emmarca el debat</w:t>
      </w:r>
      <w:r w:rsidRPr="00FC74AB">
        <w:rPr>
          <w:lang w:val="ca-ES"/>
        </w:rPr>
        <w:t xml:space="preserve"> sobre</w:t>
      </w:r>
      <w:r w:rsidR="005214BF" w:rsidRPr="00FC74AB">
        <w:rPr>
          <w:lang w:val="ca-ES"/>
        </w:rPr>
        <w:t xml:space="preserve"> els </w:t>
      </w:r>
      <w:r w:rsidRPr="00FC74AB">
        <w:rPr>
          <w:lang w:val="ca-ES"/>
        </w:rPr>
        <w:t>pos</w:t>
      </w:r>
      <w:r w:rsidR="00440C57" w:rsidRPr="00FC74AB">
        <w:rPr>
          <w:lang w:val="ca-ES"/>
        </w:rPr>
        <w:t>s</w:t>
      </w:r>
      <w:r w:rsidRPr="00FC74AB">
        <w:rPr>
          <w:lang w:val="ca-ES"/>
        </w:rPr>
        <w:t>ibles ri</w:t>
      </w:r>
      <w:r w:rsidR="00440C57" w:rsidRPr="00FC74AB">
        <w:rPr>
          <w:lang w:val="ca-ES"/>
        </w:rPr>
        <w:t>sc</w:t>
      </w:r>
      <w:r w:rsidRPr="00FC74AB">
        <w:rPr>
          <w:lang w:val="ca-ES"/>
        </w:rPr>
        <w:t xml:space="preserve">os de la </w:t>
      </w:r>
      <w:r w:rsidR="007E4E7F" w:rsidRPr="00FC74AB">
        <w:rPr>
          <w:lang w:val="ca-ES"/>
        </w:rPr>
        <w:t>privatització</w:t>
      </w:r>
      <w:r w:rsidRPr="00FC74AB">
        <w:rPr>
          <w:lang w:val="ca-ES"/>
        </w:rPr>
        <w:t xml:space="preserve"> des</w:t>
      </w:r>
      <w:r w:rsidR="00440C57" w:rsidRPr="00FC74AB">
        <w:rPr>
          <w:lang w:val="ca-ES"/>
        </w:rPr>
        <w:t xml:space="preserve"> </w:t>
      </w:r>
      <w:r w:rsidRPr="00FC74AB">
        <w:rPr>
          <w:lang w:val="ca-ES"/>
        </w:rPr>
        <w:t xml:space="preserve">de la perspectiva </w:t>
      </w:r>
      <w:r w:rsidR="009A31D3" w:rsidRPr="00FC74AB">
        <w:rPr>
          <w:lang w:val="ca-ES"/>
        </w:rPr>
        <w:t>dels</w:t>
      </w:r>
      <w:r w:rsidR="005214BF" w:rsidRPr="00FC74AB">
        <w:rPr>
          <w:lang w:val="ca-ES"/>
        </w:rPr>
        <w:t xml:space="preserve"> </w:t>
      </w:r>
      <w:r w:rsidR="007E4E7F" w:rsidRPr="00FC74AB">
        <w:rPr>
          <w:lang w:val="ca-ES"/>
        </w:rPr>
        <w:t>drets humans</w:t>
      </w:r>
      <w:r w:rsidR="00440C57" w:rsidRPr="00FC74AB">
        <w:rPr>
          <w:lang w:val="ca-ES"/>
        </w:rPr>
        <w:t xml:space="preserve"> (</w:t>
      </w:r>
      <w:r w:rsidR="00F67D2A" w:rsidRPr="00FC74AB">
        <w:rPr>
          <w:lang w:val="ca-ES"/>
        </w:rPr>
        <w:t>secció</w:t>
      </w:r>
      <w:r w:rsidR="00440C57" w:rsidRPr="00FC74AB">
        <w:rPr>
          <w:lang w:val="ca-ES"/>
        </w:rPr>
        <w:t xml:space="preserve"> IV). Pe</w:t>
      </w:r>
      <w:r w:rsidRPr="00FC74AB">
        <w:rPr>
          <w:lang w:val="ca-ES"/>
        </w:rPr>
        <w:t xml:space="preserve">r </w:t>
      </w:r>
      <w:r w:rsidR="00440C57" w:rsidRPr="00FC74AB">
        <w:rPr>
          <w:lang w:val="ca-ES"/>
        </w:rPr>
        <w:t>acabar</w:t>
      </w:r>
      <w:r w:rsidRPr="00FC74AB">
        <w:rPr>
          <w:lang w:val="ca-ES"/>
        </w:rPr>
        <w:t>, el Relator Especial resume</w:t>
      </w:r>
      <w:r w:rsidR="00440C57" w:rsidRPr="00FC74AB">
        <w:rPr>
          <w:lang w:val="ca-ES"/>
        </w:rPr>
        <w:t>ix</w:t>
      </w:r>
      <w:r w:rsidR="00B3113E" w:rsidRPr="00FC74AB">
        <w:rPr>
          <w:lang w:val="ca-ES"/>
        </w:rPr>
        <w:t xml:space="preserve"> les </w:t>
      </w:r>
      <w:r w:rsidR="00440C57" w:rsidRPr="00FC74AB">
        <w:rPr>
          <w:lang w:val="ca-ES"/>
        </w:rPr>
        <w:t>respo</w:t>
      </w:r>
      <w:r w:rsidRPr="00FC74AB">
        <w:rPr>
          <w:lang w:val="ca-ES"/>
        </w:rPr>
        <w:t>s</w:t>
      </w:r>
      <w:r w:rsidR="00440C57" w:rsidRPr="00FC74AB">
        <w:rPr>
          <w:lang w:val="ca-ES"/>
        </w:rPr>
        <w:t>te</w:t>
      </w:r>
      <w:r w:rsidRPr="00FC74AB">
        <w:rPr>
          <w:lang w:val="ca-ES"/>
        </w:rPr>
        <w:t>s</w:t>
      </w:r>
      <w:r w:rsidR="007E4E7F" w:rsidRPr="00FC74AB">
        <w:rPr>
          <w:lang w:val="ca-ES"/>
        </w:rPr>
        <w:t xml:space="preserve"> i </w:t>
      </w:r>
      <w:r w:rsidR="00D85349" w:rsidRPr="00FC74AB">
        <w:rPr>
          <w:lang w:val="ca-ES"/>
        </w:rPr>
        <w:t>salvaguardes</w:t>
      </w:r>
      <w:r w:rsidRPr="00FC74AB">
        <w:rPr>
          <w:lang w:val="ca-ES"/>
        </w:rPr>
        <w:t xml:space="preserve">, </w:t>
      </w:r>
      <w:r w:rsidR="00440C57" w:rsidRPr="00FC74AB">
        <w:rPr>
          <w:lang w:val="ca-ES"/>
        </w:rPr>
        <w:t xml:space="preserve">juntament amb les recomanacions </w:t>
      </w:r>
      <w:r w:rsidR="00D569EE" w:rsidRPr="00FC74AB">
        <w:rPr>
          <w:lang w:val="ca-ES"/>
        </w:rPr>
        <w:t xml:space="preserve">encaminades </w:t>
      </w:r>
      <w:r w:rsidRPr="00FC74AB">
        <w:rPr>
          <w:lang w:val="ca-ES"/>
        </w:rPr>
        <w:t xml:space="preserve">a garantir el </w:t>
      </w:r>
      <w:r w:rsidR="00E037E5" w:rsidRPr="00FC74AB">
        <w:rPr>
          <w:lang w:val="ca-ES"/>
        </w:rPr>
        <w:t>degut compliment</w:t>
      </w:r>
      <w:r w:rsidR="00440C57" w:rsidRPr="00FC74AB">
        <w:rPr>
          <w:lang w:val="ca-ES"/>
        </w:rPr>
        <w:t>, la protecció</w:t>
      </w:r>
      <w:r w:rsidR="007E4E7F" w:rsidRPr="00FC74AB">
        <w:rPr>
          <w:lang w:val="ca-ES"/>
        </w:rPr>
        <w:t xml:space="preserve"> i </w:t>
      </w:r>
      <w:r w:rsidRPr="00FC74AB">
        <w:rPr>
          <w:lang w:val="ca-ES"/>
        </w:rPr>
        <w:t>el respe</w:t>
      </w:r>
      <w:r w:rsidR="00440C57" w:rsidRPr="00FC74AB">
        <w:rPr>
          <w:lang w:val="ca-ES"/>
        </w:rPr>
        <w:t>cte</w:t>
      </w:r>
      <w:r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Pr="00FC74AB">
        <w:rPr>
          <w:lang w:val="ca-ES"/>
        </w:rPr>
        <w:t xml:space="preserve"> </w:t>
      </w:r>
      <w:r w:rsidR="00D85349" w:rsidRPr="00FC74AB">
        <w:rPr>
          <w:lang w:val="ca-ES"/>
        </w:rPr>
        <w:t>a l’aigua</w:t>
      </w:r>
      <w:r w:rsidR="007E4E7F" w:rsidRPr="00FC74AB">
        <w:rPr>
          <w:lang w:val="ca-ES"/>
        </w:rPr>
        <w:t xml:space="preserve"> i </w:t>
      </w:r>
      <w:r w:rsidRPr="00FC74AB">
        <w:rPr>
          <w:lang w:val="ca-ES"/>
        </w:rPr>
        <w:t xml:space="preserve">al </w:t>
      </w:r>
      <w:r w:rsidR="007E4E7F" w:rsidRPr="00FC74AB">
        <w:rPr>
          <w:lang w:val="ca-ES"/>
        </w:rPr>
        <w:t>sanejament</w:t>
      </w:r>
      <w:r w:rsidR="00440C57" w:rsidRPr="00FC74AB">
        <w:rPr>
          <w:lang w:val="ca-ES"/>
        </w:rPr>
        <w:t xml:space="preserve"> q</w:t>
      </w:r>
      <w:r w:rsidRPr="00FC74AB">
        <w:rPr>
          <w:lang w:val="ca-ES"/>
        </w:rPr>
        <w:t xml:space="preserve">uan </w:t>
      </w:r>
      <w:r w:rsidR="00440C57" w:rsidRPr="00FC74AB">
        <w:rPr>
          <w:lang w:val="ca-ES"/>
        </w:rPr>
        <w:t>es</w:t>
      </w:r>
      <w:r w:rsidRPr="00FC74AB">
        <w:rPr>
          <w:lang w:val="ca-ES"/>
        </w:rPr>
        <w:t xml:space="preserve"> valora o s</w:t>
      </w:r>
      <w:r w:rsidR="00440C57" w:rsidRPr="00FC74AB">
        <w:rPr>
          <w:lang w:val="ca-ES"/>
        </w:rPr>
        <w:t>’</w:t>
      </w:r>
      <w:r w:rsidRPr="00FC74AB">
        <w:rPr>
          <w:lang w:val="ca-ES"/>
        </w:rPr>
        <w:t>estable</w:t>
      </w:r>
      <w:r w:rsidR="00440C57" w:rsidRPr="00FC74AB">
        <w:rPr>
          <w:lang w:val="ca-ES"/>
        </w:rPr>
        <w:t>ix</w:t>
      </w:r>
      <w:r w:rsidRPr="00FC74AB">
        <w:rPr>
          <w:lang w:val="ca-ES"/>
        </w:rPr>
        <w:t xml:space="preserve"> el </w:t>
      </w:r>
      <w:r w:rsidR="00E037E5" w:rsidRPr="00FC74AB">
        <w:rPr>
          <w:lang w:val="ca-ES"/>
        </w:rPr>
        <w:t>subministrament</w:t>
      </w:r>
      <w:r w:rsidRPr="00FC74AB">
        <w:rPr>
          <w:lang w:val="ca-ES"/>
        </w:rPr>
        <w:t xml:space="preserve"> </w:t>
      </w:r>
      <w:r w:rsidR="004879F7" w:rsidRPr="00FC74AB">
        <w:rPr>
          <w:lang w:val="ca-ES"/>
        </w:rPr>
        <w:t>privat</w:t>
      </w:r>
      <w:r w:rsidRPr="00FC74AB">
        <w:rPr>
          <w:lang w:val="ca-ES"/>
        </w:rPr>
        <w:t xml:space="preserve"> (</w:t>
      </w:r>
      <w:r w:rsidR="00F67D2A" w:rsidRPr="00FC74AB">
        <w:rPr>
          <w:lang w:val="ca-ES"/>
        </w:rPr>
        <w:t>secció</w:t>
      </w:r>
      <w:r w:rsidRPr="00FC74AB">
        <w:rPr>
          <w:lang w:val="ca-ES"/>
        </w:rPr>
        <w:t xml:space="preserve"> V).</w:t>
      </w:r>
    </w:p>
    <w:p w14:paraId="364C3658" w14:textId="77777777" w:rsidR="007E16DC" w:rsidRPr="00FC74AB" w:rsidRDefault="007E16DC" w:rsidP="007E16DC">
      <w:pPr>
        <w:pStyle w:val="SingleTxt"/>
        <w:spacing w:after="0" w:line="120" w:lineRule="exact"/>
        <w:rPr>
          <w:rStyle w:val="None"/>
          <w:sz w:val="10"/>
          <w:lang w:val="ca-ES"/>
        </w:rPr>
      </w:pPr>
    </w:p>
    <w:p w14:paraId="24CDA82F" w14:textId="77777777" w:rsidR="007E16DC" w:rsidRPr="00FC74AB" w:rsidRDefault="007E16DC" w:rsidP="007E16DC">
      <w:pPr>
        <w:pStyle w:val="SingleTxt"/>
        <w:spacing w:after="0" w:line="120" w:lineRule="exact"/>
        <w:rPr>
          <w:sz w:val="10"/>
          <w:lang w:val="ca-ES"/>
        </w:rPr>
      </w:pPr>
    </w:p>
    <w:p w14:paraId="146F949E" w14:textId="77777777" w:rsidR="00227553" w:rsidRPr="00FC74AB" w:rsidRDefault="00227553">
      <w:pPr>
        <w:suppressAutoHyphens w:val="0"/>
        <w:spacing w:after="200" w:line="276" w:lineRule="auto"/>
        <w:rPr>
          <w:b/>
          <w:spacing w:val="-2"/>
          <w:kern w:val="14"/>
          <w:sz w:val="28"/>
          <w:lang w:val="ca-ES"/>
        </w:rPr>
      </w:pPr>
      <w:r w:rsidRPr="00FC74AB">
        <w:rPr>
          <w:lang w:val="ca-ES"/>
        </w:rPr>
        <w:br w:type="page"/>
      </w:r>
    </w:p>
    <w:p w14:paraId="00B9E13B" w14:textId="0D6A8103" w:rsidR="007E16DC" w:rsidRPr="00FC74AB" w:rsidRDefault="007E16DC" w:rsidP="00DC2D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59" w:hanging="1264"/>
        <w:rPr>
          <w:lang w:val="ca-ES"/>
        </w:rPr>
      </w:pPr>
      <w:r w:rsidRPr="00FC74AB">
        <w:rPr>
          <w:lang w:val="ca-ES"/>
        </w:rPr>
        <w:lastRenderedPageBreak/>
        <w:tab/>
        <w:t>II.</w:t>
      </w:r>
      <w:r w:rsidRPr="00FC74AB">
        <w:rPr>
          <w:lang w:val="ca-ES"/>
        </w:rPr>
        <w:tab/>
      </w:r>
      <w:r w:rsidR="004C5042" w:rsidRPr="00FC74AB">
        <w:rPr>
          <w:lang w:val="ca-ES"/>
        </w:rPr>
        <w:t>Antecedent</w:t>
      </w:r>
      <w:r w:rsidRPr="00FC74AB">
        <w:rPr>
          <w:lang w:val="ca-ES"/>
        </w:rPr>
        <w:t>s</w:t>
      </w:r>
    </w:p>
    <w:p w14:paraId="760232DA" w14:textId="77777777" w:rsidR="007E16DC" w:rsidRPr="00FC74AB" w:rsidRDefault="007E16DC" w:rsidP="007E16DC">
      <w:pPr>
        <w:pStyle w:val="SingleTxt"/>
        <w:spacing w:after="0" w:line="120" w:lineRule="exact"/>
        <w:rPr>
          <w:sz w:val="10"/>
          <w:lang w:val="ca-ES"/>
        </w:rPr>
      </w:pPr>
    </w:p>
    <w:p w14:paraId="4D65CBA8" w14:textId="77777777" w:rsidR="007E16DC" w:rsidRPr="00FC74AB" w:rsidRDefault="007E16DC" w:rsidP="007E16DC">
      <w:pPr>
        <w:pStyle w:val="SingleTxt"/>
        <w:spacing w:after="0" w:line="120" w:lineRule="exact"/>
        <w:rPr>
          <w:sz w:val="10"/>
          <w:lang w:val="ca-ES"/>
        </w:rPr>
      </w:pPr>
    </w:p>
    <w:p w14:paraId="5542D827" w14:textId="37AB29CF" w:rsidR="007E16DC" w:rsidRPr="00FC74AB" w:rsidRDefault="007E16DC" w:rsidP="00B6301F">
      <w:pPr>
        <w:pStyle w:val="SingleTxt"/>
        <w:numPr>
          <w:ilvl w:val="2"/>
          <w:numId w:val="49"/>
        </w:numPr>
        <w:spacing w:line="240" w:lineRule="atLeast"/>
        <w:ind w:left="1267" w:firstLine="0"/>
        <w:rPr>
          <w:lang w:val="ca-ES"/>
        </w:rPr>
      </w:pPr>
      <w:r w:rsidRPr="00FC74AB">
        <w:rPr>
          <w:lang w:val="ca-ES"/>
        </w:rPr>
        <w:t xml:space="preserve">No </w:t>
      </w:r>
      <w:r w:rsidR="00380D95" w:rsidRPr="00FC74AB">
        <w:rPr>
          <w:lang w:val="ca-ES"/>
        </w:rPr>
        <w:t>s’ha d’interpretar que l’exercici</w:t>
      </w:r>
      <w:r w:rsidRPr="00FC74AB">
        <w:rPr>
          <w:lang w:val="ca-ES"/>
        </w:rPr>
        <w:t xml:space="preserve"> efecti</w:t>
      </w:r>
      <w:r w:rsidR="00380D95" w:rsidRPr="00FC74AB">
        <w:rPr>
          <w:lang w:val="ca-ES"/>
        </w:rPr>
        <w:t>u</w:t>
      </w:r>
      <w:r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Pr="00FC74AB">
        <w:rPr>
          <w:lang w:val="ca-ES"/>
        </w:rPr>
        <w:t xml:space="preserve"> </w:t>
      </w:r>
      <w:r w:rsidR="00D85349" w:rsidRPr="00FC74AB">
        <w:rPr>
          <w:lang w:val="ca-ES"/>
        </w:rPr>
        <w:t>a l’aigua</w:t>
      </w:r>
      <w:r w:rsidR="007E4E7F" w:rsidRPr="00FC74AB">
        <w:rPr>
          <w:lang w:val="ca-ES"/>
        </w:rPr>
        <w:t xml:space="preserve"> i </w:t>
      </w:r>
      <w:r w:rsidRPr="00FC74AB">
        <w:rPr>
          <w:lang w:val="ca-ES"/>
        </w:rPr>
        <w:t xml:space="preserve">al </w:t>
      </w:r>
      <w:r w:rsidR="007E4E7F" w:rsidRPr="00FC74AB">
        <w:rPr>
          <w:lang w:val="ca-ES"/>
        </w:rPr>
        <w:t>sanejament</w:t>
      </w:r>
      <w:r w:rsidR="00380D95" w:rsidRPr="00FC74AB">
        <w:rPr>
          <w:lang w:val="ca-ES"/>
        </w:rPr>
        <w:t xml:space="preserve"> en situacions en què predomina la participació</w:t>
      </w:r>
      <w:r w:rsidRPr="00FC74AB">
        <w:rPr>
          <w:lang w:val="ca-ES"/>
        </w:rPr>
        <w:t xml:space="preserve"> privada en la </w:t>
      </w:r>
      <w:r w:rsidR="003D1714" w:rsidRPr="00FC74AB">
        <w:rPr>
          <w:lang w:val="ca-ES"/>
        </w:rPr>
        <w:t>prestació de serveis</w:t>
      </w:r>
      <w:r w:rsidRPr="00FC74AB">
        <w:rPr>
          <w:lang w:val="ca-ES"/>
        </w:rPr>
        <w:t xml:space="preserve"> </w:t>
      </w:r>
      <w:r w:rsidR="00380D95" w:rsidRPr="00FC74AB">
        <w:rPr>
          <w:lang w:val="ca-ES"/>
        </w:rPr>
        <w:t>sigui un feno</w:t>
      </w:r>
      <w:r w:rsidRPr="00FC74AB">
        <w:rPr>
          <w:lang w:val="ca-ES"/>
        </w:rPr>
        <w:t>men a</w:t>
      </w:r>
      <w:r w:rsidR="00380D95" w:rsidRPr="00FC74AB">
        <w:rPr>
          <w:lang w:val="ca-ES"/>
        </w:rPr>
        <w:t xml:space="preserve">ïllat, sense cap relació amb </w:t>
      </w:r>
      <w:r w:rsidRPr="00FC74AB">
        <w:rPr>
          <w:lang w:val="ca-ES"/>
        </w:rPr>
        <w:t>l</w:t>
      </w:r>
      <w:r w:rsidR="00380D95" w:rsidRPr="00FC74AB">
        <w:rPr>
          <w:lang w:val="ca-ES"/>
        </w:rPr>
        <w:t>’economi</w:t>
      </w:r>
      <w:r w:rsidRPr="00FC74AB">
        <w:rPr>
          <w:lang w:val="ca-ES"/>
        </w:rPr>
        <w:t xml:space="preserve">a política que ha </w:t>
      </w:r>
      <w:r w:rsidR="009B1539" w:rsidRPr="00FC74AB">
        <w:rPr>
          <w:lang w:val="ca-ES"/>
        </w:rPr>
        <w:t xml:space="preserve">anat </w:t>
      </w:r>
      <w:r w:rsidRPr="00FC74AB">
        <w:rPr>
          <w:lang w:val="ca-ES"/>
        </w:rPr>
        <w:t>impulsa</w:t>
      </w:r>
      <w:r w:rsidR="009B1539" w:rsidRPr="00FC74AB">
        <w:rPr>
          <w:lang w:val="ca-ES"/>
        </w:rPr>
        <w:t>n</w:t>
      </w:r>
      <w:r w:rsidR="00380D95" w:rsidRPr="00FC74AB">
        <w:rPr>
          <w:lang w:val="ca-ES"/>
        </w:rPr>
        <w:t>t</w:t>
      </w:r>
      <w:r w:rsidRPr="00FC74AB">
        <w:rPr>
          <w:lang w:val="ca-ES"/>
        </w:rPr>
        <w:t xml:space="preserve"> la política mundial</w:t>
      </w:r>
      <w:r w:rsidR="007E4E7F" w:rsidRPr="00FC74AB">
        <w:rPr>
          <w:lang w:val="ca-ES"/>
        </w:rPr>
        <w:t xml:space="preserve"> i </w:t>
      </w:r>
      <w:r w:rsidRPr="00FC74AB">
        <w:rPr>
          <w:lang w:val="ca-ES"/>
        </w:rPr>
        <w:t>nacional des</w:t>
      </w:r>
      <w:r w:rsidR="00380D95" w:rsidRPr="00FC74AB">
        <w:rPr>
          <w:lang w:val="ca-ES"/>
        </w:rPr>
        <w:t xml:space="preserve"> </w:t>
      </w:r>
      <w:r w:rsidRPr="00FC74AB">
        <w:rPr>
          <w:lang w:val="ca-ES"/>
        </w:rPr>
        <w:t>de</w:t>
      </w:r>
      <w:r w:rsidR="00380D95" w:rsidRPr="00FC74AB">
        <w:rPr>
          <w:lang w:val="ca-ES"/>
        </w:rPr>
        <w:t>l segle</w:t>
      </w:r>
      <w:r w:rsidRPr="00FC74AB">
        <w:rPr>
          <w:lang w:val="ca-ES"/>
        </w:rPr>
        <w:t xml:space="preserve"> XX. En </w:t>
      </w:r>
      <w:r w:rsidR="00380D95" w:rsidRPr="00FC74AB">
        <w:rPr>
          <w:lang w:val="ca-ES"/>
        </w:rPr>
        <w:t>aquest context</w:t>
      </w:r>
      <w:r w:rsidRPr="00FC74AB">
        <w:rPr>
          <w:lang w:val="ca-ES"/>
        </w:rPr>
        <w:t xml:space="preserve">, la </w:t>
      </w:r>
      <w:r w:rsidR="007E4E7F" w:rsidRPr="00FC74AB">
        <w:rPr>
          <w:lang w:val="ca-ES"/>
        </w:rPr>
        <w:t>privatització</w:t>
      </w:r>
      <w:r w:rsidRPr="00FC74AB">
        <w:rPr>
          <w:lang w:val="ca-ES"/>
        </w:rPr>
        <w:t xml:space="preserve"> </w:t>
      </w:r>
      <w:r w:rsidR="007E4E7F" w:rsidRPr="00FC74AB">
        <w:rPr>
          <w:lang w:val="ca-ES"/>
        </w:rPr>
        <w:t>dels serveis</w:t>
      </w:r>
      <w:r w:rsidR="00380D95" w:rsidRPr="00FC74AB">
        <w:rPr>
          <w:lang w:val="ca-ES"/>
        </w:rPr>
        <w:t xml:space="preserve"> públic</w:t>
      </w:r>
      <w:r w:rsidRPr="00FC74AB">
        <w:rPr>
          <w:lang w:val="ca-ES"/>
        </w:rPr>
        <w:t xml:space="preserve">s, </w:t>
      </w:r>
      <w:r w:rsidR="00380D95" w:rsidRPr="00FC74AB">
        <w:rPr>
          <w:lang w:val="ca-ES"/>
        </w:rPr>
        <w:t xml:space="preserve">encara que </w:t>
      </w:r>
      <w:r w:rsidR="00296F81" w:rsidRPr="00FC74AB">
        <w:rPr>
          <w:lang w:val="ca-ES"/>
        </w:rPr>
        <w:t xml:space="preserve">se </w:t>
      </w:r>
      <w:r w:rsidR="00380D95" w:rsidRPr="00FC74AB">
        <w:rPr>
          <w:lang w:val="ca-ES"/>
        </w:rPr>
        <w:t xml:space="preserve">sol </w:t>
      </w:r>
      <w:r w:rsidRPr="00FC74AB">
        <w:rPr>
          <w:lang w:val="ca-ES"/>
        </w:rPr>
        <w:t>presentar</w:t>
      </w:r>
      <w:r w:rsidR="00380D95" w:rsidRPr="00FC74AB">
        <w:rPr>
          <w:lang w:val="ca-ES"/>
        </w:rPr>
        <w:t xml:space="preserve"> com una solució tè</w:t>
      </w:r>
      <w:r w:rsidRPr="00FC74AB">
        <w:rPr>
          <w:lang w:val="ca-ES"/>
        </w:rPr>
        <w:t xml:space="preserve">cnica, </w:t>
      </w:r>
      <w:r w:rsidR="00380D95" w:rsidRPr="00FC74AB">
        <w:rPr>
          <w:lang w:val="ca-ES"/>
        </w:rPr>
        <w:t>«</w:t>
      </w:r>
      <w:r w:rsidRPr="00FC74AB">
        <w:rPr>
          <w:lang w:val="ca-ES"/>
        </w:rPr>
        <w:t>en reali</w:t>
      </w:r>
      <w:r w:rsidR="00380D95" w:rsidRPr="00FC74AB">
        <w:rPr>
          <w:lang w:val="ca-ES"/>
        </w:rPr>
        <w:t>t</w:t>
      </w:r>
      <w:r w:rsidRPr="00FC74AB">
        <w:rPr>
          <w:lang w:val="ca-ES"/>
        </w:rPr>
        <w:t>a</w:t>
      </w:r>
      <w:r w:rsidR="00380D95" w:rsidRPr="00FC74AB">
        <w:rPr>
          <w:lang w:val="ca-ES"/>
        </w:rPr>
        <w:t>t forma part</w:t>
      </w:r>
      <w:r w:rsidRPr="00FC74AB">
        <w:rPr>
          <w:lang w:val="ca-ES"/>
        </w:rPr>
        <w:t xml:space="preserve"> integral d</w:t>
      </w:r>
      <w:r w:rsidR="00380D95" w:rsidRPr="00FC74AB">
        <w:rPr>
          <w:lang w:val="ca-ES"/>
        </w:rPr>
        <w:t>’una filosofia de la governança</w:t>
      </w:r>
      <w:r w:rsidRPr="00FC74AB">
        <w:rPr>
          <w:lang w:val="ca-ES"/>
        </w:rPr>
        <w:t xml:space="preserve"> </w:t>
      </w:r>
      <w:r w:rsidR="00380D95" w:rsidRPr="00FC74AB">
        <w:rPr>
          <w:lang w:val="ca-ES"/>
        </w:rPr>
        <w:t>econòmica</w:t>
      </w:r>
      <w:r w:rsidR="007E4E7F" w:rsidRPr="00FC74AB">
        <w:rPr>
          <w:lang w:val="ca-ES"/>
        </w:rPr>
        <w:t xml:space="preserve"> i </w:t>
      </w:r>
      <w:r w:rsidRPr="00FC74AB">
        <w:rPr>
          <w:lang w:val="ca-ES"/>
        </w:rPr>
        <w:t>social</w:t>
      </w:r>
      <w:r w:rsidR="00380D95" w:rsidRPr="00FC74AB">
        <w:rPr>
          <w:lang w:val="ca-ES"/>
        </w:rPr>
        <w:t>»</w:t>
      </w:r>
      <w:r w:rsidRPr="00FC74AB">
        <w:rPr>
          <w:rStyle w:val="FootnoteReference"/>
          <w:lang w:val="ca-ES"/>
        </w:rPr>
        <w:footnoteReference w:id="14"/>
      </w:r>
      <w:r w:rsidRPr="00FC74AB">
        <w:rPr>
          <w:lang w:val="ca-ES"/>
        </w:rPr>
        <w:t xml:space="preserve">. </w:t>
      </w:r>
      <w:r w:rsidR="000010D4" w:rsidRPr="00FC74AB">
        <w:rPr>
          <w:lang w:val="ca-ES"/>
        </w:rPr>
        <w:t>La delegació dels serveis públics s'ha justificat argumentant que el sector privat té millor rendiment i el sector públic és incapaç de prestar serveis adequats a causa d'una combinació d'ineficiència, corrupció i escassa rendició de comptes.</w:t>
      </w:r>
      <w:r w:rsidRPr="00FC74AB">
        <w:rPr>
          <w:lang w:val="ca-ES"/>
        </w:rPr>
        <w:t xml:space="preserve"> </w:t>
      </w:r>
      <w:r w:rsidR="00380D95" w:rsidRPr="00FC74AB">
        <w:rPr>
          <w:lang w:val="ca-ES"/>
        </w:rPr>
        <w:t>No obstant això</w:t>
      </w:r>
      <w:r w:rsidRPr="00FC74AB">
        <w:rPr>
          <w:lang w:val="ca-ES"/>
        </w:rPr>
        <w:t xml:space="preserve">, la </w:t>
      </w:r>
      <w:r w:rsidR="007E4E7F" w:rsidRPr="00FC74AB">
        <w:rPr>
          <w:lang w:val="ca-ES"/>
        </w:rPr>
        <w:t>privatització</w:t>
      </w:r>
      <w:r w:rsidRPr="00FC74AB">
        <w:rPr>
          <w:lang w:val="ca-ES"/>
        </w:rPr>
        <w:t xml:space="preserve"> </w:t>
      </w:r>
      <w:r w:rsidR="007E4E7F" w:rsidRPr="00FC74AB">
        <w:rPr>
          <w:lang w:val="ca-ES"/>
        </w:rPr>
        <w:t>dels serveis</w:t>
      </w:r>
      <w:r w:rsidR="00380D95" w:rsidRPr="00FC74AB">
        <w:rPr>
          <w:lang w:val="ca-ES"/>
        </w:rPr>
        <w:t xml:space="preserve"> públics no s’</w:t>
      </w:r>
      <w:r w:rsidRPr="00FC74AB">
        <w:rPr>
          <w:lang w:val="ca-ES"/>
        </w:rPr>
        <w:t>ha produ</w:t>
      </w:r>
      <w:r w:rsidR="00380D95" w:rsidRPr="00FC74AB">
        <w:rPr>
          <w:lang w:val="ca-ES"/>
        </w:rPr>
        <w:t>ït sense una notable oposició</w:t>
      </w:r>
      <w:r w:rsidRPr="00FC74AB">
        <w:rPr>
          <w:lang w:val="ca-ES"/>
        </w:rPr>
        <w:t xml:space="preserve"> social</w:t>
      </w:r>
      <w:r w:rsidR="007E4E7F" w:rsidRPr="00FC74AB">
        <w:rPr>
          <w:lang w:val="ca-ES"/>
        </w:rPr>
        <w:t xml:space="preserve"> i </w:t>
      </w:r>
      <w:r w:rsidRPr="00FC74AB">
        <w:rPr>
          <w:lang w:val="ca-ES"/>
        </w:rPr>
        <w:t xml:space="preserve">política </w:t>
      </w:r>
      <w:r w:rsidR="00380D95" w:rsidRPr="00FC74AB">
        <w:rPr>
          <w:lang w:val="ca-ES"/>
        </w:rPr>
        <w:t>fonamentada en l’evidè</w:t>
      </w:r>
      <w:r w:rsidRPr="00FC74AB">
        <w:rPr>
          <w:lang w:val="ca-ES"/>
        </w:rPr>
        <w:t xml:space="preserve">ncia que </w:t>
      </w:r>
      <w:r w:rsidR="00380D95" w:rsidRPr="00FC74AB">
        <w:rPr>
          <w:lang w:val="ca-ES"/>
        </w:rPr>
        <w:t>comporta</w:t>
      </w:r>
      <w:r w:rsidR="00B6301F" w:rsidRPr="00FC74AB">
        <w:rPr>
          <w:lang w:val="ca-ES"/>
        </w:rPr>
        <w:t xml:space="preserve"> </w:t>
      </w:r>
      <w:r w:rsidR="00380D95" w:rsidRPr="00FC74AB">
        <w:rPr>
          <w:lang w:val="ca-ES"/>
        </w:rPr>
        <w:t>mé</w:t>
      </w:r>
      <w:r w:rsidRPr="00FC74AB">
        <w:rPr>
          <w:lang w:val="ca-ES"/>
        </w:rPr>
        <w:t>s desigual</w:t>
      </w:r>
      <w:r w:rsidR="00380D95" w:rsidRPr="00FC74AB">
        <w:rPr>
          <w:lang w:val="ca-ES"/>
        </w:rPr>
        <w:t>t</w:t>
      </w:r>
      <w:r w:rsidRPr="00FC74AB">
        <w:rPr>
          <w:lang w:val="ca-ES"/>
        </w:rPr>
        <w:t>a</w:t>
      </w:r>
      <w:r w:rsidR="00380D95" w:rsidRPr="00FC74AB">
        <w:rPr>
          <w:lang w:val="ca-ES"/>
        </w:rPr>
        <w:t>t</w:t>
      </w:r>
      <w:r w:rsidR="007E4E7F" w:rsidRPr="00FC74AB">
        <w:rPr>
          <w:lang w:val="ca-ES"/>
        </w:rPr>
        <w:t xml:space="preserve"> i </w:t>
      </w:r>
      <w:r w:rsidR="00380D95" w:rsidRPr="00FC74AB">
        <w:rPr>
          <w:lang w:val="ca-ES"/>
        </w:rPr>
        <w:lastRenderedPageBreak/>
        <w:t>pobres</w:t>
      </w:r>
      <w:r w:rsidRPr="00FC74AB">
        <w:rPr>
          <w:lang w:val="ca-ES"/>
        </w:rPr>
        <w:t>a</w:t>
      </w:r>
      <w:r w:rsidRPr="00FC74AB">
        <w:rPr>
          <w:rStyle w:val="FootnoteReference"/>
          <w:lang w:val="ca-ES"/>
        </w:rPr>
        <w:footnoteReference w:id="15"/>
      </w:r>
      <w:r w:rsidRPr="00FC74AB">
        <w:rPr>
          <w:lang w:val="ca-ES"/>
        </w:rPr>
        <w:t xml:space="preserve"> </w:t>
      </w:r>
      <w:r w:rsidR="00380D95" w:rsidRPr="00FC74AB">
        <w:rPr>
          <w:lang w:val="ca-ES"/>
        </w:rPr>
        <w:t>i, pe</w:t>
      </w:r>
      <w:r w:rsidRPr="00FC74AB">
        <w:rPr>
          <w:lang w:val="ca-ES"/>
        </w:rPr>
        <w:t xml:space="preserve">r </w:t>
      </w:r>
      <w:r w:rsidR="00380D95" w:rsidRPr="00FC74AB">
        <w:rPr>
          <w:lang w:val="ca-ES"/>
        </w:rPr>
        <w:t>tant</w:t>
      </w:r>
      <w:r w:rsidRPr="00FC74AB">
        <w:rPr>
          <w:lang w:val="ca-ES"/>
        </w:rPr>
        <w:t xml:space="preserve">, </w:t>
      </w:r>
      <w:r w:rsidR="00380D95" w:rsidRPr="00FC74AB">
        <w:rPr>
          <w:lang w:val="ca-ES"/>
        </w:rPr>
        <w:t xml:space="preserve">fa perillar l’exercici efectiu </w:t>
      </w:r>
      <w:r w:rsidR="009A31D3" w:rsidRPr="00FC74AB">
        <w:rPr>
          <w:lang w:val="ca-ES"/>
        </w:rPr>
        <w:t>dels</w:t>
      </w:r>
      <w:r w:rsidR="005214BF" w:rsidRPr="00FC74AB">
        <w:rPr>
          <w:lang w:val="ca-ES"/>
        </w:rPr>
        <w:t xml:space="preserve"> </w:t>
      </w:r>
      <w:r w:rsidR="007E4E7F" w:rsidRPr="00FC74AB">
        <w:rPr>
          <w:lang w:val="ca-ES"/>
        </w:rPr>
        <w:t>drets humans</w:t>
      </w:r>
      <w:r w:rsidRPr="00FC74AB">
        <w:rPr>
          <w:rStyle w:val="FootnoteReference"/>
          <w:lang w:val="ca-ES"/>
        </w:rPr>
        <w:footnoteReference w:id="16"/>
      </w:r>
      <w:r w:rsidRPr="00FC74AB">
        <w:rPr>
          <w:lang w:val="ca-ES"/>
        </w:rPr>
        <w:t>.</w:t>
      </w:r>
    </w:p>
    <w:p w14:paraId="006B2E22" w14:textId="71D6147D" w:rsidR="007E16DC" w:rsidRPr="00FC74AB" w:rsidRDefault="00B6301F" w:rsidP="00B6301F">
      <w:pPr>
        <w:pStyle w:val="SingleTxt"/>
        <w:numPr>
          <w:ilvl w:val="2"/>
          <w:numId w:val="49"/>
        </w:numPr>
        <w:spacing w:line="240" w:lineRule="atLeast"/>
        <w:ind w:left="1267" w:firstLine="0"/>
        <w:rPr>
          <w:rStyle w:val="None"/>
          <w:lang w:val="ca-ES"/>
        </w:rPr>
      </w:pPr>
      <w:r w:rsidRPr="00FC74AB">
        <w:rPr>
          <w:lang w:val="ca-ES"/>
        </w:rPr>
        <w:t>La promoció de la privatització està relacionada amb les pressions per reduir el paper de l'Estat, per tal que el sector privat pugui prosperar i oferir prestacions socials.</w:t>
      </w:r>
      <w:r w:rsidR="007E16DC" w:rsidRPr="00FC74AB">
        <w:rPr>
          <w:lang w:val="ca-ES"/>
        </w:rPr>
        <w:t xml:space="preserve"> </w:t>
      </w:r>
      <w:r w:rsidR="007E1A24" w:rsidRPr="00FC74AB">
        <w:rPr>
          <w:lang w:val="ca-ES"/>
        </w:rPr>
        <w:t>Irònicament, per contra, les crisis periòdiques que posen en perill l'estabilitat social de les economies han requerit que l'Estat torni a prestar serveis i a protegir els qui es troben en les situacions més vulnerables</w:t>
      </w:r>
      <w:r w:rsidR="007E16DC" w:rsidRPr="00FC74AB">
        <w:rPr>
          <w:lang w:val="ca-ES"/>
        </w:rPr>
        <w:t xml:space="preserve">. </w:t>
      </w:r>
      <w:r w:rsidR="003E0E7C" w:rsidRPr="00FC74AB">
        <w:rPr>
          <w:lang w:val="ca-ES"/>
        </w:rPr>
        <w:t>El 2020, la pandèmia de la malaltia del coronavirus (COVID-19) ha estat una situació emblemàtica que ha posat de manifest la necessitat que els Estats intervinguin en el sector de l'aigua per suspendre el pagament de factures, prohibir temporalment els talls i tornar a connectar els serveis per tal de garantir a aquestes persones prou aigua per rentar-se les mans</w:t>
      </w:r>
      <w:r w:rsidR="007E16DC" w:rsidRPr="00FC74AB">
        <w:rPr>
          <w:rStyle w:val="FootnoteReference"/>
          <w:lang w:val="ca-ES"/>
        </w:rPr>
        <w:footnoteReference w:id="17"/>
      </w:r>
      <w:r w:rsidR="007E16DC" w:rsidRPr="00FC74AB">
        <w:rPr>
          <w:lang w:val="ca-ES"/>
        </w:rPr>
        <w:t>.</w:t>
      </w:r>
    </w:p>
    <w:p w14:paraId="2AD57949" w14:textId="2A79BA14" w:rsidR="007E16DC" w:rsidRPr="00FC74AB" w:rsidRDefault="008B3DE2" w:rsidP="00C151D9">
      <w:pPr>
        <w:pStyle w:val="SingleTxt"/>
        <w:numPr>
          <w:ilvl w:val="2"/>
          <w:numId w:val="49"/>
        </w:numPr>
        <w:spacing w:line="240" w:lineRule="atLeast"/>
        <w:ind w:left="1267" w:firstLine="0"/>
        <w:rPr>
          <w:lang w:val="ca-ES"/>
        </w:rPr>
      </w:pPr>
      <w:r w:rsidRPr="00FC74AB">
        <w:rPr>
          <w:lang w:val="ca-ES"/>
        </w:rPr>
        <w:t>Les institucions financeres internacionals com el Fons Monetari Internacional (FMI) i els bancs multilaterals han tingut un paper fonamental en els processos de privatització imposant condicions als Estats que sol·liciten préstecs, alleugeriment del deute i ajuts per a sectors específics</w:t>
      </w:r>
      <w:r w:rsidR="007E16DC" w:rsidRPr="00FC74AB">
        <w:rPr>
          <w:lang w:val="ca-ES"/>
        </w:rPr>
        <w:t xml:space="preserve">. En </w:t>
      </w:r>
      <w:r w:rsidR="00AE3CF6" w:rsidRPr="00FC74AB">
        <w:rPr>
          <w:lang w:val="ca-ES"/>
        </w:rPr>
        <w:t xml:space="preserve">l’àmbit de l'aigua i el sanejament, </w:t>
      </w:r>
      <w:r w:rsidR="007E16DC" w:rsidRPr="00FC74AB">
        <w:rPr>
          <w:lang w:val="ca-ES"/>
        </w:rPr>
        <w:t>p</w:t>
      </w:r>
      <w:r w:rsidR="00B6301F" w:rsidRPr="00FC74AB">
        <w:rPr>
          <w:lang w:val="ca-ES"/>
        </w:rPr>
        <w:t>e</w:t>
      </w:r>
      <w:r w:rsidR="007E16DC" w:rsidRPr="00FC74AB">
        <w:rPr>
          <w:lang w:val="ca-ES"/>
        </w:rPr>
        <w:t xml:space="preserve">r </w:t>
      </w:r>
      <w:r w:rsidR="00B6301F" w:rsidRPr="00FC74AB">
        <w:rPr>
          <w:lang w:val="ca-ES"/>
        </w:rPr>
        <w:t>esmentar algun</w:t>
      </w:r>
      <w:r w:rsidR="007E16DC" w:rsidRPr="00FC74AB">
        <w:rPr>
          <w:lang w:val="ca-ES"/>
        </w:rPr>
        <w:t xml:space="preserve">s casos, </w:t>
      </w:r>
      <w:r w:rsidR="00AE3CF6" w:rsidRPr="00FC74AB">
        <w:rPr>
          <w:lang w:val="ca-ES"/>
        </w:rPr>
        <w:t xml:space="preserve">el Banc Central Europeu, l’FMI i la Comissió Europea van instar els governs de </w:t>
      </w:r>
      <w:r w:rsidR="007E16DC" w:rsidRPr="00FC74AB">
        <w:rPr>
          <w:lang w:val="ca-ES"/>
        </w:rPr>
        <w:t>Portugal</w:t>
      </w:r>
      <w:r w:rsidR="007E16DC" w:rsidRPr="00FC74AB">
        <w:rPr>
          <w:rStyle w:val="FootnoteReference"/>
          <w:lang w:val="ca-ES"/>
        </w:rPr>
        <w:footnoteReference w:id="18"/>
      </w:r>
      <w:r w:rsidR="007E4E7F" w:rsidRPr="00FC74AB">
        <w:rPr>
          <w:lang w:val="ca-ES"/>
        </w:rPr>
        <w:t xml:space="preserve"> </w:t>
      </w:r>
      <w:r w:rsidR="00AE3CF6" w:rsidRPr="00FC74AB">
        <w:rPr>
          <w:lang w:val="ca-ES"/>
        </w:rPr>
        <w:t>i Grècia a accelerar un programa de privatització com a condició per finançar el rescat</w:t>
      </w:r>
      <w:r w:rsidR="007E16DC" w:rsidRPr="00FC74AB">
        <w:rPr>
          <w:lang w:val="ca-ES"/>
        </w:rPr>
        <w:t xml:space="preserve">. </w:t>
      </w:r>
      <w:r w:rsidR="00B6301F" w:rsidRPr="00FC74AB">
        <w:rPr>
          <w:lang w:val="ca-ES"/>
        </w:rPr>
        <w:t>A</w:t>
      </w:r>
      <w:r w:rsidR="005214BF" w:rsidRPr="00FC74AB">
        <w:rPr>
          <w:lang w:val="ca-ES"/>
        </w:rPr>
        <w:t xml:space="preserve">ls </w:t>
      </w:r>
      <w:r w:rsidR="00195395" w:rsidRPr="00FC74AB">
        <w:rPr>
          <w:lang w:val="ca-ES"/>
        </w:rPr>
        <w:t>Estats</w:t>
      </w:r>
      <w:r w:rsidR="007E16DC" w:rsidRPr="00FC74AB">
        <w:rPr>
          <w:lang w:val="ca-ES"/>
        </w:rPr>
        <w:t xml:space="preserve"> en </w:t>
      </w:r>
      <w:r w:rsidR="00B6301F" w:rsidRPr="00FC74AB">
        <w:rPr>
          <w:lang w:val="ca-ES"/>
        </w:rPr>
        <w:t>vies de desenvolupament</w:t>
      </w:r>
      <w:r w:rsidR="007E16DC" w:rsidRPr="00FC74AB">
        <w:rPr>
          <w:lang w:val="ca-ES"/>
        </w:rPr>
        <w:t xml:space="preserve">, la </w:t>
      </w:r>
      <w:r w:rsidR="007E4E7F" w:rsidRPr="00FC74AB">
        <w:rPr>
          <w:lang w:val="ca-ES"/>
        </w:rPr>
        <w:t>privatització</w:t>
      </w:r>
      <w:r w:rsidR="007E16DC" w:rsidRPr="00FC74AB">
        <w:rPr>
          <w:lang w:val="ca-ES"/>
        </w:rPr>
        <w:t xml:space="preserve"> com</w:t>
      </w:r>
      <w:r w:rsidR="00FC4865" w:rsidRPr="00FC74AB">
        <w:rPr>
          <w:lang w:val="ca-ES"/>
        </w:rPr>
        <w:t xml:space="preserve"> a condició pe</w:t>
      </w:r>
      <w:r w:rsidR="007E16DC" w:rsidRPr="00FC74AB">
        <w:rPr>
          <w:lang w:val="ca-ES"/>
        </w:rPr>
        <w:t>r</w:t>
      </w:r>
      <w:r w:rsidR="00FC4865" w:rsidRPr="00FC74AB">
        <w:rPr>
          <w:lang w:val="ca-ES"/>
        </w:rPr>
        <w:t xml:space="preserve"> </w:t>
      </w:r>
      <w:r w:rsidR="007E16DC" w:rsidRPr="00FC74AB">
        <w:rPr>
          <w:lang w:val="ca-ES"/>
        </w:rPr>
        <w:t>a</w:t>
      </w:r>
      <w:r w:rsidR="00B3113E" w:rsidRPr="00FC74AB">
        <w:rPr>
          <w:lang w:val="ca-ES"/>
        </w:rPr>
        <w:t xml:space="preserve"> les </w:t>
      </w:r>
      <w:r w:rsidR="00FC4865" w:rsidRPr="00FC74AB">
        <w:rPr>
          <w:lang w:val="ca-ES"/>
        </w:rPr>
        <w:t>reformes sectorials basade</w:t>
      </w:r>
      <w:r w:rsidR="007E16DC" w:rsidRPr="00FC74AB">
        <w:rPr>
          <w:lang w:val="ca-ES"/>
        </w:rPr>
        <w:t xml:space="preserve">s en </w:t>
      </w:r>
      <w:r w:rsidR="00FC4865" w:rsidRPr="00FC74AB">
        <w:rPr>
          <w:lang w:val="ca-ES"/>
        </w:rPr>
        <w:t>plantejaments neoliberal</w:t>
      </w:r>
      <w:r w:rsidR="007E16DC" w:rsidRPr="00FC74AB">
        <w:rPr>
          <w:lang w:val="ca-ES"/>
        </w:rPr>
        <w:t xml:space="preserve">s ha </w:t>
      </w:r>
      <w:r w:rsidR="00FC4865" w:rsidRPr="00FC74AB">
        <w:rPr>
          <w:lang w:val="ca-ES"/>
        </w:rPr>
        <w:t>estat una prà</w:t>
      </w:r>
      <w:r w:rsidR="007E16DC" w:rsidRPr="00FC74AB">
        <w:rPr>
          <w:lang w:val="ca-ES"/>
        </w:rPr>
        <w:t>ctica generali</w:t>
      </w:r>
      <w:r w:rsidR="00FC4865" w:rsidRPr="00FC74AB">
        <w:rPr>
          <w:lang w:val="ca-ES"/>
        </w:rPr>
        <w:t>t</w:t>
      </w:r>
      <w:r w:rsidR="007E16DC" w:rsidRPr="00FC74AB">
        <w:rPr>
          <w:lang w:val="ca-ES"/>
        </w:rPr>
        <w:t>zada de</w:t>
      </w:r>
      <w:r w:rsidR="00B3113E" w:rsidRPr="00FC74AB">
        <w:rPr>
          <w:lang w:val="ca-ES"/>
        </w:rPr>
        <w:t xml:space="preserve"> les </w:t>
      </w:r>
      <w:r w:rsidR="00FC4865" w:rsidRPr="00FC74AB">
        <w:rPr>
          <w:lang w:val="ca-ES"/>
        </w:rPr>
        <w:t>institucions financeres internacional</w:t>
      </w:r>
      <w:r w:rsidR="007E16DC" w:rsidRPr="00FC74AB">
        <w:rPr>
          <w:lang w:val="ca-ES"/>
        </w:rPr>
        <w:t>s des</w:t>
      </w:r>
      <w:r w:rsidR="00FC4865" w:rsidRPr="00FC74AB">
        <w:rPr>
          <w:lang w:val="ca-ES"/>
        </w:rPr>
        <w:t xml:space="preserve"> de la dè</w:t>
      </w:r>
      <w:r w:rsidR="007E16DC" w:rsidRPr="00FC74AB">
        <w:rPr>
          <w:lang w:val="ca-ES"/>
        </w:rPr>
        <w:t>cada de</w:t>
      </w:r>
      <w:r w:rsidR="00FC4865" w:rsidRPr="00FC74AB">
        <w:rPr>
          <w:lang w:val="ca-ES"/>
        </w:rPr>
        <w:t>ls</w:t>
      </w:r>
      <w:r w:rsidR="007E16DC" w:rsidRPr="00FC74AB">
        <w:rPr>
          <w:lang w:val="ca-ES"/>
        </w:rPr>
        <w:t xml:space="preserve"> 80.</w:t>
      </w:r>
    </w:p>
    <w:p w14:paraId="5A9AC26E" w14:textId="5B2FE446" w:rsidR="007E16DC" w:rsidRPr="00FC74AB" w:rsidRDefault="00CC0C60" w:rsidP="00C64132">
      <w:pPr>
        <w:pStyle w:val="SingleTxt"/>
        <w:numPr>
          <w:ilvl w:val="2"/>
          <w:numId w:val="49"/>
        </w:numPr>
        <w:spacing w:line="240" w:lineRule="atLeast"/>
        <w:ind w:left="1267" w:firstLine="0"/>
        <w:rPr>
          <w:lang w:val="ca-ES"/>
        </w:rPr>
      </w:pPr>
      <w:r w:rsidRPr="00FC74AB">
        <w:rPr>
          <w:lang w:val="ca-ES"/>
        </w:rPr>
        <w:t>Durant la dècada dels 90, les autoritats locals de diversos països van dur a terme processos de privatització del subministrament d'aigua i sanejament esperant que el sector privat aportaria més inversions, milloraria la tecnologia, augmentaria l'eficiència i en facilitaria l’accés als pobres.</w:t>
      </w:r>
      <w:r w:rsidR="007E16DC" w:rsidRPr="00FC74AB">
        <w:rPr>
          <w:lang w:val="ca-ES"/>
        </w:rPr>
        <w:t xml:space="preserve"> </w:t>
      </w:r>
      <w:r w:rsidR="00B52EC7" w:rsidRPr="00FC74AB">
        <w:rPr>
          <w:lang w:val="ca-ES"/>
        </w:rPr>
        <w:t>La privatització</w:t>
      </w:r>
      <w:r w:rsidR="00A0574C" w:rsidRPr="00FC74AB">
        <w:rPr>
          <w:lang w:val="ca-ES"/>
        </w:rPr>
        <w:t>, però,</w:t>
      </w:r>
      <w:r w:rsidR="00B52EC7" w:rsidRPr="00FC74AB">
        <w:rPr>
          <w:lang w:val="ca-ES"/>
        </w:rPr>
        <w:t xml:space="preserve"> va generar expectatives massa grans, </w:t>
      </w:r>
      <w:r w:rsidR="00A0574C" w:rsidRPr="00FC74AB">
        <w:rPr>
          <w:lang w:val="ca-ES"/>
        </w:rPr>
        <w:t xml:space="preserve">i </w:t>
      </w:r>
      <w:r w:rsidR="00B52EC7" w:rsidRPr="00FC74AB">
        <w:rPr>
          <w:lang w:val="ca-ES"/>
        </w:rPr>
        <w:t>a principis de la dècada del 2000 la realitat en certa manera semblava diferent: no només la participació del sector privat no va créixer tal com es preveia, sinó que es van rescindir prematurament diverses conces</w:t>
      </w:r>
      <w:r w:rsidR="00A0574C" w:rsidRPr="00FC74AB">
        <w:rPr>
          <w:lang w:val="ca-ES"/>
        </w:rPr>
        <w:t>sions o no es van renovar</w:t>
      </w:r>
      <w:r w:rsidR="007E16DC" w:rsidRPr="00FC74AB">
        <w:rPr>
          <w:rStyle w:val="FootnoteReference"/>
          <w:spacing w:val="2"/>
          <w:w w:val="102"/>
          <w:lang w:val="ca-ES"/>
        </w:rPr>
        <w:footnoteReference w:id="19"/>
      </w:r>
      <w:r w:rsidR="007E16DC" w:rsidRPr="00FC74AB">
        <w:rPr>
          <w:lang w:val="ca-ES"/>
        </w:rPr>
        <w:t xml:space="preserve">. </w:t>
      </w:r>
      <w:r w:rsidR="00F92C3D" w:rsidRPr="00FC74AB">
        <w:rPr>
          <w:lang w:val="ca-ES"/>
        </w:rPr>
        <w:t xml:space="preserve">Les fonts </w:t>
      </w:r>
      <w:r w:rsidR="00296F81" w:rsidRPr="00FC74AB">
        <w:rPr>
          <w:lang w:val="ca-ES"/>
        </w:rPr>
        <w:t xml:space="preserve">apunten </w:t>
      </w:r>
      <w:r w:rsidR="00F92C3D" w:rsidRPr="00FC74AB">
        <w:rPr>
          <w:lang w:val="ca-ES"/>
        </w:rPr>
        <w:t xml:space="preserve">que el 2016 </w:t>
      </w:r>
      <w:r w:rsidR="00FC2DE1" w:rsidRPr="00FC74AB">
        <w:rPr>
          <w:lang w:val="ca-ES"/>
        </w:rPr>
        <w:t>e</w:t>
      </w:r>
      <w:r w:rsidR="00F92C3D" w:rsidRPr="00FC74AB">
        <w:rPr>
          <w:lang w:val="ca-ES"/>
        </w:rPr>
        <w:t>l</w:t>
      </w:r>
      <w:r w:rsidR="00FC2DE1" w:rsidRPr="00FC74AB">
        <w:rPr>
          <w:lang w:val="ca-ES"/>
        </w:rPr>
        <w:t xml:space="preserve"> percentatge </w:t>
      </w:r>
      <w:r w:rsidR="00F92C3D" w:rsidRPr="00FC74AB">
        <w:rPr>
          <w:lang w:val="ca-ES"/>
        </w:rPr>
        <w:t xml:space="preserve">de persones que subministraven les empreses privades </w:t>
      </w:r>
      <w:r w:rsidR="00296F81" w:rsidRPr="00FC74AB">
        <w:rPr>
          <w:lang w:val="ca-ES"/>
        </w:rPr>
        <w:t xml:space="preserve">se </w:t>
      </w:r>
      <w:r w:rsidR="00F92C3D" w:rsidRPr="00FC74AB">
        <w:rPr>
          <w:lang w:val="ca-ES"/>
        </w:rPr>
        <w:t>situava entre el 10% i el 13%</w:t>
      </w:r>
      <w:r w:rsidR="007E16DC" w:rsidRPr="00FC74AB">
        <w:rPr>
          <w:rStyle w:val="FootnoteReference"/>
          <w:spacing w:val="2"/>
          <w:w w:val="102"/>
          <w:lang w:val="ca-ES"/>
        </w:rPr>
        <w:footnoteReference w:id="20"/>
      </w:r>
      <w:r w:rsidR="007E16DC" w:rsidRPr="00FC74AB">
        <w:rPr>
          <w:lang w:val="ca-ES"/>
        </w:rPr>
        <w:t xml:space="preserve">. </w:t>
      </w:r>
      <w:r w:rsidR="00A0574C" w:rsidRPr="00FC74AB">
        <w:rPr>
          <w:lang w:val="ca-ES"/>
        </w:rPr>
        <w:t>Tot i això, a molts països la</w:t>
      </w:r>
      <w:r w:rsidR="00296F81" w:rsidRPr="00FC74AB">
        <w:rPr>
          <w:lang w:val="ca-ES"/>
        </w:rPr>
        <w:t xml:space="preserve"> </w:t>
      </w:r>
      <w:r w:rsidR="00A0574C" w:rsidRPr="00FC74AB">
        <w:rPr>
          <w:lang w:val="ca-ES"/>
        </w:rPr>
        <w:t>privatització continua al programa polític</w:t>
      </w:r>
      <w:r w:rsidR="007E16DC" w:rsidRPr="00FC74AB">
        <w:rPr>
          <w:lang w:val="ca-ES"/>
        </w:rPr>
        <w:t xml:space="preserve">. </w:t>
      </w:r>
      <w:r w:rsidR="00F92C3D" w:rsidRPr="00FC74AB">
        <w:rPr>
          <w:lang w:val="ca-ES"/>
        </w:rPr>
        <w:t>A</w:t>
      </w:r>
      <w:r w:rsidR="007E16DC" w:rsidRPr="00FC74AB">
        <w:rPr>
          <w:lang w:val="ca-ES"/>
        </w:rPr>
        <w:t xml:space="preserve">l Brasil, </w:t>
      </w:r>
      <w:r w:rsidR="00F92C3D" w:rsidRPr="00FC74AB">
        <w:rPr>
          <w:lang w:val="ca-ES"/>
        </w:rPr>
        <w:t xml:space="preserve">per exemple, en un projecte de llei aprovat recentment pel Parlament es va revisar la Llei d’Aigua i Sanejament de 2007 i es va encoratjar </w:t>
      </w:r>
      <w:r w:rsidR="00C64132" w:rsidRPr="00FC74AB">
        <w:rPr>
          <w:lang w:val="ca-ES"/>
        </w:rPr>
        <w:t xml:space="preserve">insistentment </w:t>
      </w:r>
      <w:r w:rsidR="00F92C3D" w:rsidRPr="00FC74AB">
        <w:rPr>
          <w:lang w:val="ca-ES"/>
        </w:rPr>
        <w:t xml:space="preserve">els municipis a transferir els serveis </w:t>
      </w:r>
      <w:r w:rsidR="007E16DC" w:rsidRPr="00FC74AB">
        <w:rPr>
          <w:lang w:val="ca-ES"/>
        </w:rPr>
        <w:t xml:space="preserve">al sector </w:t>
      </w:r>
      <w:r w:rsidR="004879F7" w:rsidRPr="00FC74AB">
        <w:rPr>
          <w:lang w:val="ca-ES"/>
        </w:rPr>
        <w:t>privat</w:t>
      </w:r>
      <w:r w:rsidR="007E16DC" w:rsidRPr="00FC74AB">
        <w:rPr>
          <w:rStyle w:val="FootnoteReference"/>
          <w:spacing w:val="2"/>
          <w:w w:val="102"/>
          <w:lang w:val="ca-ES"/>
        </w:rPr>
        <w:footnoteReference w:id="21"/>
      </w:r>
      <w:r w:rsidR="007E16DC" w:rsidRPr="00FC74AB">
        <w:rPr>
          <w:lang w:val="ca-ES"/>
        </w:rPr>
        <w:t xml:space="preserve">. </w:t>
      </w:r>
      <w:r w:rsidR="00F92C3D" w:rsidRPr="00FC74AB">
        <w:rPr>
          <w:lang w:val="ca-ES"/>
        </w:rPr>
        <w:t xml:space="preserve">A més, els interessos comercials internacionals en el sector de l’aigua s'han desplaçat d’Amèrica Llatina i Àfrica cap a Àsia i Europa Oriental. Xina per si sola representa més de la meitat de tots els projectes de subministrament privat dels últims </w:t>
      </w:r>
      <w:r w:rsidR="00371741" w:rsidRPr="00FC74AB">
        <w:rPr>
          <w:lang w:val="ca-ES"/>
        </w:rPr>
        <w:t xml:space="preserve">trenta </w:t>
      </w:r>
      <w:r w:rsidR="00F92C3D" w:rsidRPr="00FC74AB">
        <w:rPr>
          <w:lang w:val="ca-ES"/>
        </w:rPr>
        <w:t>anys i al voltant del 25% de la inversió total</w:t>
      </w:r>
      <w:r w:rsidR="007E16DC" w:rsidRPr="00FC74AB">
        <w:rPr>
          <w:rStyle w:val="FootnoteReference"/>
          <w:spacing w:val="2"/>
          <w:w w:val="102"/>
          <w:lang w:val="ca-ES"/>
        </w:rPr>
        <w:footnoteReference w:id="22"/>
      </w:r>
      <w:r w:rsidR="007E16DC" w:rsidRPr="00FC74AB">
        <w:rPr>
          <w:lang w:val="ca-ES"/>
        </w:rPr>
        <w:t xml:space="preserve">. </w:t>
      </w:r>
      <w:r w:rsidR="00F92C3D" w:rsidRPr="00FC74AB">
        <w:rPr>
          <w:lang w:val="ca-ES"/>
        </w:rPr>
        <w:t xml:space="preserve">D’altra banda, augmenten els </w:t>
      </w:r>
      <w:r w:rsidR="00371741" w:rsidRPr="00FC74AB">
        <w:rPr>
          <w:lang w:val="ca-ES"/>
        </w:rPr>
        <w:t xml:space="preserve">tipus de contracte </w:t>
      </w:r>
      <w:r w:rsidR="00F92C3D" w:rsidRPr="00FC74AB">
        <w:rPr>
          <w:lang w:val="ca-ES"/>
        </w:rPr>
        <w:t>com ara els de construcció, explotació i transferència, més centrats i menys arriscats per a les empreses (829 projectes de 2001 a 2018)</w:t>
      </w:r>
      <w:r w:rsidR="007E16DC" w:rsidRPr="00FC74AB">
        <w:rPr>
          <w:rStyle w:val="FootnoteReference"/>
          <w:spacing w:val="2"/>
          <w:w w:val="102"/>
          <w:lang w:val="ca-ES"/>
        </w:rPr>
        <w:footnoteReference w:id="23"/>
      </w:r>
      <w:r w:rsidR="007E16DC" w:rsidRPr="00FC74AB">
        <w:rPr>
          <w:lang w:val="ca-ES"/>
        </w:rPr>
        <w:t>.</w:t>
      </w:r>
    </w:p>
    <w:p w14:paraId="7E21E44A" w14:textId="0742956E" w:rsidR="007E16DC" w:rsidRPr="00FC74AB" w:rsidRDefault="00371741" w:rsidP="00093B53">
      <w:pPr>
        <w:pStyle w:val="SingleTxt"/>
        <w:numPr>
          <w:ilvl w:val="2"/>
          <w:numId w:val="49"/>
        </w:numPr>
        <w:spacing w:line="240" w:lineRule="atLeast"/>
        <w:ind w:left="1267" w:firstLine="0"/>
        <w:rPr>
          <w:lang w:val="ca-ES"/>
        </w:rPr>
      </w:pPr>
      <w:r w:rsidRPr="00FC74AB">
        <w:rPr>
          <w:lang w:val="ca-ES"/>
        </w:rPr>
        <w:t xml:space="preserve">En </w:t>
      </w:r>
      <w:r w:rsidR="00F92C3D" w:rsidRPr="00FC74AB">
        <w:rPr>
          <w:lang w:val="ca-ES"/>
        </w:rPr>
        <w:t>molts</w:t>
      </w:r>
      <w:r w:rsidR="007E16DC" w:rsidRPr="00FC74AB">
        <w:rPr>
          <w:lang w:val="ca-ES"/>
        </w:rPr>
        <w:t xml:space="preserve"> </w:t>
      </w:r>
      <w:r w:rsidR="00195395" w:rsidRPr="00FC74AB">
        <w:rPr>
          <w:lang w:val="ca-ES"/>
        </w:rPr>
        <w:t>Estats</w:t>
      </w:r>
      <w:r w:rsidR="007E16DC" w:rsidRPr="00FC74AB">
        <w:rPr>
          <w:lang w:val="ca-ES"/>
        </w:rPr>
        <w:t xml:space="preserve">, el </w:t>
      </w:r>
      <w:r w:rsidR="00F92C3D" w:rsidRPr="00FC74AB">
        <w:rPr>
          <w:lang w:val="ca-ES"/>
        </w:rPr>
        <w:t>pèndol</w:t>
      </w:r>
      <w:r w:rsidR="007E16DC" w:rsidRPr="00FC74AB">
        <w:rPr>
          <w:lang w:val="ca-ES"/>
        </w:rPr>
        <w:t xml:space="preserve"> de la </w:t>
      </w:r>
      <w:r w:rsidR="003D1714" w:rsidRPr="00FC74AB">
        <w:rPr>
          <w:lang w:val="ca-ES"/>
        </w:rPr>
        <w:t>prestació de serveis</w:t>
      </w:r>
      <w:r w:rsidR="007E16DC" w:rsidRPr="00FC74AB">
        <w:rPr>
          <w:lang w:val="ca-ES"/>
        </w:rPr>
        <w:t xml:space="preserve"> v</w:t>
      </w:r>
      <w:r w:rsidR="00F92C3D" w:rsidRPr="00FC74AB">
        <w:rPr>
          <w:lang w:val="ca-ES"/>
        </w:rPr>
        <w:t>a retornar a man</w:t>
      </w:r>
      <w:r w:rsidR="007E16DC" w:rsidRPr="00FC74AB">
        <w:rPr>
          <w:lang w:val="ca-ES"/>
        </w:rPr>
        <w:t>s públi</w:t>
      </w:r>
      <w:r w:rsidR="00F92C3D" w:rsidRPr="00FC74AB">
        <w:rPr>
          <w:lang w:val="ca-ES"/>
        </w:rPr>
        <w:t>ques</w:t>
      </w:r>
      <w:r w:rsidR="007E16DC" w:rsidRPr="00FC74AB">
        <w:rPr>
          <w:lang w:val="ca-ES"/>
        </w:rPr>
        <w:t>. Entre 2000</w:t>
      </w:r>
      <w:r w:rsidR="007E4E7F" w:rsidRPr="00FC74AB">
        <w:rPr>
          <w:lang w:val="ca-ES"/>
        </w:rPr>
        <w:t xml:space="preserve"> i </w:t>
      </w:r>
      <w:r w:rsidR="00F92C3D" w:rsidRPr="00FC74AB">
        <w:rPr>
          <w:lang w:val="ca-ES"/>
        </w:rPr>
        <w:t xml:space="preserve">2019, </w:t>
      </w:r>
      <w:r w:rsidR="007E16DC" w:rsidRPr="00FC74AB">
        <w:rPr>
          <w:lang w:val="ca-ES"/>
        </w:rPr>
        <w:t>e</w:t>
      </w:r>
      <w:r w:rsidR="00F92C3D" w:rsidRPr="00FC74AB">
        <w:rPr>
          <w:lang w:val="ca-ES"/>
        </w:rPr>
        <w:t>s van</w:t>
      </w:r>
      <w:r w:rsidR="007E16DC" w:rsidRPr="00FC74AB">
        <w:rPr>
          <w:lang w:val="ca-ES"/>
        </w:rPr>
        <w:t xml:space="preserve"> produ</w:t>
      </w:r>
      <w:r w:rsidR="00F92C3D" w:rsidRPr="00FC74AB">
        <w:rPr>
          <w:lang w:val="ca-ES"/>
        </w:rPr>
        <w:t xml:space="preserve">ir </w:t>
      </w:r>
      <w:r w:rsidR="007E16DC" w:rsidRPr="00FC74AB">
        <w:rPr>
          <w:lang w:val="ca-ES"/>
        </w:rPr>
        <w:t>almen</w:t>
      </w:r>
      <w:r w:rsidR="00F92C3D" w:rsidRPr="00FC74AB">
        <w:rPr>
          <w:lang w:val="ca-ES"/>
        </w:rPr>
        <w:t>y</w:t>
      </w:r>
      <w:r w:rsidR="007E16DC" w:rsidRPr="00FC74AB">
        <w:rPr>
          <w:lang w:val="ca-ES"/>
        </w:rPr>
        <w:t>s 311 casos de des</w:t>
      </w:r>
      <w:r w:rsidR="007E4E7F" w:rsidRPr="00FC74AB">
        <w:rPr>
          <w:lang w:val="ca-ES"/>
        </w:rPr>
        <w:t>privatització</w:t>
      </w:r>
      <w:r w:rsidR="007E16DC" w:rsidRPr="00FC74AB">
        <w:rPr>
          <w:rStyle w:val="FootnoteReference"/>
          <w:lang w:val="ca-ES"/>
        </w:rPr>
        <w:footnoteReference w:id="24"/>
      </w:r>
      <w:r w:rsidR="007E16DC" w:rsidRPr="00FC74AB">
        <w:rPr>
          <w:lang w:val="ca-ES"/>
        </w:rPr>
        <w:t xml:space="preserve"> </w:t>
      </w:r>
      <w:r w:rsidR="00F92C3D" w:rsidRPr="00FC74AB">
        <w:rPr>
          <w:lang w:val="ca-ES"/>
        </w:rPr>
        <w:t>a tot el món</w:t>
      </w:r>
      <w:r w:rsidR="007E16DC" w:rsidRPr="00FC74AB">
        <w:rPr>
          <w:lang w:val="ca-ES"/>
        </w:rPr>
        <w:t xml:space="preserve">, </w:t>
      </w:r>
      <w:r w:rsidR="00F92C3D" w:rsidRPr="00FC74AB">
        <w:rPr>
          <w:lang w:val="ca-ES"/>
        </w:rPr>
        <w:t xml:space="preserve">malgrat </w:t>
      </w:r>
      <w:r w:rsidR="007E16DC" w:rsidRPr="00FC74AB">
        <w:rPr>
          <w:lang w:val="ca-ES"/>
        </w:rPr>
        <w:t>l</w:t>
      </w:r>
      <w:r w:rsidR="00F92C3D" w:rsidRPr="00FC74AB">
        <w:rPr>
          <w:lang w:val="ca-ES"/>
        </w:rPr>
        <w:t>’oposició</w:t>
      </w:r>
      <w:r w:rsidR="007E4E7F" w:rsidRPr="00FC74AB">
        <w:rPr>
          <w:lang w:val="ca-ES"/>
        </w:rPr>
        <w:t xml:space="preserve"> i</w:t>
      </w:r>
      <w:r w:rsidR="005214BF" w:rsidRPr="00FC74AB">
        <w:rPr>
          <w:lang w:val="ca-ES"/>
        </w:rPr>
        <w:t xml:space="preserve"> els </w:t>
      </w:r>
      <w:r w:rsidR="00F92C3D" w:rsidRPr="00FC74AB">
        <w:rPr>
          <w:lang w:val="ca-ES"/>
        </w:rPr>
        <w:t>litigi</w:t>
      </w:r>
      <w:r w:rsidR="007E16DC" w:rsidRPr="00FC74AB">
        <w:rPr>
          <w:lang w:val="ca-ES"/>
        </w:rPr>
        <w:t xml:space="preserve">s, </w:t>
      </w:r>
      <w:r w:rsidR="00F92C3D" w:rsidRPr="00FC74AB">
        <w:rPr>
          <w:lang w:val="ca-ES"/>
        </w:rPr>
        <w:t xml:space="preserve">sovint </w:t>
      </w:r>
      <w:r w:rsidR="00AE0BAC" w:rsidRPr="00FC74AB">
        <w:rPr>
          <w:lang w:val="ca-ES"/>
        </w:rPr>
        <w:t xml:space="preserve">amb resultats </w:t>
      </w:r>
      <w:r w:rsidR="007E16DC" w:rsidRPr="00FC74AB">
        <w:rPr>
          <w:lang w:val="ca-ES"/>
        </w:rPr>
        <w:t xml:space="preserve">favorables, </w:t>
      </w:r>
      <w:r w:rsidR="00AE0BAC" w:rsidRPr="00FC74AB">
        <w:rPr>
          <w:lang w:val="ca-ES"/>
        </w:rPr>
        <w:t xml:space="preserve">que presentaven les </w:t>
      </w:r>
      <w:r w:rsidR="00F92C3D" w:rsidRPr="00FC74AB">
        <w:rPr>
          <w:lang w:val="ca-ES"/>
        </w:rPr>
        <w:t>empreses multinacionals en arbitratg</w:t>
      </w:r>
      <w:r w:rsidR="007E16DC" w:rsidRPr="00FC74AB">
        <w:rPr>
          <w:lang w:val="ca-ES"/>
        </w:rPr>
        <w:t xml:space="preserve">es </w:t>
      </w:r>
      <w:r w:rsidR="00F92C3D" w:rsidRPr="00FC74AB">
        <w:rPr>
          <w:lang w:val="ca-ES"/>
        </w:rPr>
        <w:t>internacionals</w:t>
      </w:r>
      <w:r w:rsidR="007E16DC" w:rsidRPr="00FC74AB">
        <w:rPr>
          <w:lang w:val="ca-ES"/>
        </w:rPr>
        <w:t>, en</w:t>
      </w:r>
      <w:r w:rsidR="005214BF" w:rsidRPr="00FC74AB">
        <w:rPr>
          <w:lang w:val="ca-ES"/>
        </w:rPr>
        <w:t xml:space="preserve"> els </w:t>
      </w:r>
      <w:r w:rsidR="007E16DC" w:rsidRPr="00FC74AB">
        <w:rPr>
          <w:lang w:val="ca-ES"/>
        </w:rPr>
        <w:t>qu</w:t>
      </w:r>
      <w:r w:rsidR="00E31C4A" w:rsidRPr="00FC74AB">
        <w:rPr>
          <w:lang w:val="ca-ES"/>
        </w:rPr>
        <w:t>als</w:t>
      </w:r>
      <w:r w:rsidR="007E16DC" w:rsidRPr="00FC74AB">
        <w:rPr>
          <w:lang w:val="ca-ES"/>
        </w:rPr>
        <w:t xml:space="preserve"> s</w:t>
      </w:r>
      <w:r w:rsidR="00E31C4A" w:rsidRPr="00FC74AB">
        <w:rPr>
          <w:lang w:val="ca-ES"/>
        </w:rPr>
        <w:t>’</w:t>
      </w:r>
      <w:r w:rsidR="007E16DC" w:rsidRPr="00FC74AB">
        <w:rPr>
          <w:lang w:val="ca-ES"/>
        </w:rPr>
        <w:t>al</w:t>
      </w:r>
      <w:r w:rsidR="00E31C4A" w:rsidRPr="00FC74AB">
        <w:rPr>
          <w:lang w:val="ca-ES"/>
        </w:rPr>
        <w:t>·legav</w:t>
      </w:r>
      <w:r w:rsidR="007E16DC" w:rsidRPr="00FC74AB">
        <w:rPr>
          <w:lang w:val="ca-ES"/>
        </w:rPr>
        <w:t xml:space="preserve">a </w:t>
      </w:r>
      <w:r w:rsidR="00E31C4A" w:rsidRPr="00FC74AB">
        <w:rPr>
          <w:lang w:val="ca-ES"/>
        </w:rPr>
        <w:t>incompliment</w:t>
      </w:r>
      <w:r w:rsidR="007E16DC" w:rsidRPr="00FC74AB">
        <w:rPr>
          <w:lang w:val="ca-ES"/>
        </w:rPr>
        <w:t xml:space="preserve"> de </w:t>
      </w:r>
      <w:r w:rsidR="00E31C4A" w:rsidRPr="00FC74AB">
        <w:rPr>
          <w:lang w:val="ca-ES"/>
        </w:rPr>
        <w:t>contractes</w:t>
      </w:r>
      <w:r w:rsidR="007E16DC" w:rsidRPr="00FC74AB">
        <w:rPr>
          <w:rStyle w:val="FootnoteReference"/>
          <w:lang w:val="ca-ES"/>
        </w:rPr>
        <w:footnoteReference w:id="25"/>
      </w:r>
      <w:r w:rsidR="00E31C4A" w:rsidRPr="00FC74AB">
        <w:rPr>
          <w:lang w:val="ca-ES"/>
        </w:rPr>
        <w:t xml:space="preserve">. Un cas </w:t>
      </w:r>
      <w:r w:rsidR="00AE0BAC" w:rsidRPr="00FC74AB">
        <w:rPr>
          <w:lang w:val="ca-ES"/>
        </w:rPr>
        <w:t xml:space="preserve">notable </w:t>
      </w:r>
      <w:r w:rsidR="007E16DC" w:rsidRPr="00FC74AB">
        <w:rPr>
          <w:lang w:val="ca-ES"/>
        </w:rPr>
        <w:t>de remunicipali</w:t>
      </w:r>
      <w:r w:rsidR="00E31C4A" w:rsidRPr="00FC74AB">
        <w:rPr>
          <w:lang w:val="ca-ES"/>
        </w:rPr>
        <w:t>tzació</w:t>
      </w:r>
      <w:r w:rsidR="007E16DC" w:rsidRPr="00FC74AB">
        <w:rPr>
          <w:lang w:val="ca-ES"/>
        </w:rPr>
        <w:t xml:space="preserve"> </w:t>
      </w:r>
      <w:r w:rsidR="00E31C4A" w:rsidRPr="00FC74AB">
        <w:rPr>
          <w:lang w:val="ca-ES"/>
        </w:rPr>
        <w:t xml:space="preserve">és el de </w:t>
      </w:r>
      <w:r w:rsidR="007E16DC" w:rsidRPr="00FC74AB">
        <w:rPr>
          <w:lang w:val="ca-ES"/>
        </w:rPr>
        <w:t xml:space="preserve">París, </w:t>
      </w:r>
      <w:r w:rsidR="00E31C4A" w:rsidRPr="00FC74AB">
        <w:rPr>
          <w:lang w:val="ca-ES"/>
        </w:rPr>
        <w:t xml:space="preserve">on </w:t>
      </w:r>
      <w:r w:rsidR="00B3113E" w:rsidRPr="00FC74AB">
        <w:rPr>
          <w:lang w:val="ca-ES"/>
        </w:rPr>
        <w:t xml:space="preserve">les </w:t>
      </w:r>
      <w:r w:rsidR="00E31C4A" w:rsidRPr="00FC74AB">
        <w:rPr>
          <w:lang w:val="ca-ES"/>
        </w:rPr>
        <w:t>autoritats</w:t>
      </w:r>
      <w:r w:rsidR="007E16DC" w:rsidRPr="00FC74AB">
        <w:rPr>
          <w:lang w:val="ca-ES"/>
        </w:rPr>
        <w:t xml:space="preserve"> </w:t>
      </w:r>
      <w:r w:rsidR="00093B53" w:rsidRPr="00FC74AB">
        <w:rPr>
          <w:lang w:val="ca-ES"/>
        </w:rPr>
        <w:t xml:space="preserve">locals </w:t>
      </w:r>
      <w:r w:rsidR="00E31C4A" w:rsidRPr="00FC74AB">
        <w:rPr>
          <w:lang w:val="ca-ES"/>
        </w:rPr>
        <w:t>van decidi</w:t>
      </w:r>
      <w:r w:rsidR="007E16DC" w:rsidRPr="00FC74AB">
        <w:rPr>
          <w:lang w:val="ca-ES"/>
        </w:rPr>
        <w:t>r no renovar</w:t>
      </w:r>
      <w:r w:rsidR="005214BF" w:rsidRPr="00FC74AB">
        <w:rPr>
          <w:lang w:val="ca-ES"/>
        </w:rPr>
        <w:t xml:space="preserve"> els </w:t>
      </w:r>
      <w:r w:rsidR="00E31C4A" w:rsidRPr="00FC74AB">
        <w:rPr>
          <w:lang w:val="ca-ES"/>
        </w:rPr>
        <w:t>contractes</w:t>
      </w:r>
      <w:r w:rsidR="007E16DC" w:rsidRPr="00FC74AB">
        <w:rPr>
          <w:lang w:val="ca-ES"/>
        </w:rPr>
        <w:t xml:space="preserve"> </w:t>
      </w:r>
      <w:r w:rsidR="00E31C4A" w:rsidRPr="00FC74AB">
        <w:rPr>
          <w:lang w:val="ca-ES"/>
        </w:rPr>
        <w:t>amb</w:t>
      </w:r>
      <w:r w:rsidR="007E16DC" w:rsidRPr="00FC74AB">
        <w:rPr>
          <w:lang w:val="ca-ES"/>
        </w:rPr>
        <w:t xml:space="preserve"> Veolia</w:t>
      </w:r>
      <w:r w:rsidR="007E4E7F" w:rsidRPr="00FC74AB">
        <w:rPr>
          <w:lang w:val="ca-ES"/>
        </w:rPr>
        <w:t xml:space="preserve"> i </w:t>
      </w:r>
      <w:r w:rsidR="007E16DC" w:rsidRPr="00FC74AB">
        <w:rPr>
          <w:lang w:val="ca-ES"/>
        </w:rPr>
        <w:t xml:space="preserve">Suez </w:t>
      </w:r>
      <w:r w:rsidR="00E31C4A" w:rsidRPr="00FC74AB">
        <w:rPr>
          <w:lang w:val="ca-ES"/>
        </w:rPr>
        <w:t>a causa de</w:t>
      </w:r>
      <w:r w:rsidR="00DE77C6" w:rsidRPr="00FC74AB">
        <w:rPr>
          <w:lang w:val="ca-ES"/>
        </w:rPr>
        <w:t>l malestar</w:t>
      </w:r>
      <w:r w:rsidR="00E31C4A" w:rsidRPr="00FC74AB">
        <w:rPr>
          <w:lang w:val="ca-ES"/>
        </w:rPr>
        <w:t xml:space="preserve"> pe</w:t>
      </w:r>
      <w:r w:rsidR="007E16DC" w:rsidRPr="00FC74AB">
        <w:rPr>
          <w:lang w:val="ca-ES"/>
        </w:rPr>
        <w:t xml:space="preserve">r la </w:t>
      </w:r>
      <w:r w:rsidR="00E31C4A" w:rsidRPr="00FC74AB">
        <w:rPr>
          <w:lang w:val="ca-ES"/>
        </w:rPr>
        <w:t xml:space="preserve">pujada </w:t>
      </w:r>
      <w:r w:rsidR="007E16DC" w:rsidRPr="00FC74AB">
        <w:rPr>
          <w:lang w:val="ca-ES"/>
        </w:rPr>
        <w:t>de</w:t>
      </w:r>
      <w:r w:rsidR="00B3113E" w:rsidRPr="00FC74AB">
        <w:rPr>
          <w:lang w:val="ca-ES"/>
        </w:rPr>
        <w:t xml:space="preserve"> les </w:t>
      </w:r>
      <w:r w:rsidR="00E31C4A" w:rsidRPr="00FC74AB">
        <w:rPr>
          <w:lang w:val="ca-ES"/>
        </w:rPr>
        <w:t>tarife</w:t>
      </w:r>
      <w:r w:rsidR="007E16DC" w:rsidRPr="00FC74AB">
        <w:rPr>
          <w:lang w:val="ca-ES"/>
        </w:rPr>
        <w:t>s</w:t>
      </w:r>
      <w:r w:rsidR="007E4E7F" w:rsidRPr="00FC74AB">
        <w:rPr>
          <w:lang w:val="ca-ES"/>
        </w:rPr>
        <w:t xml:space="preserve"> i </w:t>
      </w:r>
      <w:r w:rsidR="007E16DC" w:rsidRPr="00FC74AB">
        <w:rPr>
          <w:lang w:val="ca-ES"/>
        </w:rPr>
        <w:t xml:space="preserve">la </w:t>
      </w:r>
      <w:r w:rsidR="00C76D57" w:rsidRPr="00FC74AB">
        <w:rPr>
          <w:lang w:val="ca-ES"/>
        </w:rPr>
        <w:t>manca</w:t>
      </w:r>
      <w:r w:rsidR="007E16DC" w:rsidRPr="00FC74AB">
        <w:rPr>
          <w:lang w:val="ca-ES"/>
        </w:rPr>
        <w:t xml:space="preserve"> de </w:t>
      </w:r>
      <w:r w:rsidR="00E31C4A" w:rsidRPr="00FC74AB">
        <w:rPr>
          <w:lang w:val="ca-ES"/>
        </w:rPr>
        <w:t>transparència</w:t>
      </w:r>
      <w:r w:rsidR="007E4E7F" w:rsidRPr="00FC74AB">
        <w:rPr>
          <w:lang w:val="ca-ES"/>
        </w:rPr>
        <w:t xml:space="preserve"> i </w:t>
      </w:r>
      <w:r w:rsidR="00E31C4A" w:rsidRPr="00FC74AB">
        <w:rPr>
          <w:lang w:val="ca-ES"/>
        </w:rPr>
        <w:t>rendició</w:t>
      </w:r>
      <w:r w:rsidR="007E16DC" w:rsidRPr="00FC74AB">
        <w:rPr>
          <w:lang w:val="ca-ES"/>
        </w:rPr>
        <w:t xml:space="preserve"> de </w:t>
      </w:r>
      <w:r w:rsidR="00E31C4A" w:rsidRPr="00FC74AB">
        <w:rPr>
          <w:lang w:val="ca-ES"/>
        </w:rPr>
        <w:t>comptes</w:t>
      </w:r>
      <w:r w:rsidR="007E16DC" w:rsidRPr="00FC74AB">
        <w:rPr>
          <w:lang w:val="ca-ES"/>
        </w:rPr>
        <w:t xml:space="preserve">. </w:t>
      </w:r>
      <w:r w:rsidR="00E31C4A" w:rsidRPr="00FC74AB">
        <w:rPr>
          <w:lang w:val="ca-ES"/>
        </w:rPr>
        <w:t xml:space="preserve">Tot i així, </w:t>
      </w:r>
      <w:r w:rsidR="00093B53" w:rsidRPr="00FC74AB">
        <w:rPr>
          <w:lang w:val="ca-ES"/>
        </w:rPr>
        <w:t xml:space="preserve">s’ha </w:t>
      </w:r>
      <w:r w:rsidR="007E16DC" w:rsidRPr="00FC74AB">
        <w:rPr>
          <w:lang w:val="ca-ES"/>
        </w:rPr>
        <w:t>inform</w:t>
      </w:r>
      <w:r w:rsidR="00E31C4A" w:rsidRPr="00FC74AB">
        <w:rPr>
          <w:lang w:val="ca-ES"/>
        </w:rPr>
        <w:t>a</w:t>
      </w:r>
      <w:r w:rsidR="00093B53" w:rsidRPr="00FC74AB">
        <w:rPr>
          <w:lang w:val="ca-ES"/>
        </w:rPr>
        <w:t>t</w:t>
      </w:r>
      <w:r w:rsidR="007E16DC" w:rsidRPr="00FC74AB">
        <w:rPr>
          <w:lang w:val="ca-ES"/>
        </w:rPr>
        <w:t xml:space="preserve"> que</w:t>
      </w:r>
      <w:r w:rsidR="00B3113E" w:rsidRPr="00FC74AB">
        <w:rPr>
          <w:lang w:val="ca-ES"/>
        </w:rPr>
        <w:t xml:space="preserve"> les </w:t>
      </w:r>
      <w:r w:rsidR="00E31C4A" w:rsidRPr="00FC74AB">
        <w:rPr>
          <w:lang w:val="ca-ES"/>
        </w:rPr>
        <w:t>empreses</w:t>
      </w:r>
      <w:r w:rsidR="007E16DC" w:rsidRPr="00FC74AB">
        <w:rPr>
          <w:lang w:val="ca-ES"/>
        </w:rPr>
        <w:t xml:space="preserve"> </w:t>
      </w:r>
      <w:r w:rsidR="00093B53" w:rsidRPr="00FC74AB">
        <w:rPr>
          <w:lang w:val="ca-ES"/>
        </w:rPr>
        <w:t xml:space="preserve">van posar diferents traves a </w:t>
      </w:r>
      <w:r w:rsidR="007E16DC" w:rsidRPr="00FC74AB">
        <w:rPr>
          <w:lang w:val="ca-ES"/>
        </w:rPr>
        <w:t>l</w:t>
      </w:r>
      <w:r w:rsidR="00E31C4A" w:rsidRPr="00FC74AB">
        <w:rPr>
          <w:lang w:val="ca-ES"/>
        </w:rPr>
        <w:t>’aplicació</w:t>
      </w:r>
      <w:r w:rsidR="007E16DC" w:rsidRPr="00FC74AB">
        <w:rPr>
          <w:lang w:val="ca-ES"/>
        </w:rPr>
        <w:t xml:space="preserve"> d</w:t>
      </w:r>
      <w:r w:rsidR="00E31C4A" w:rsidRPr="00FC74AB">
        <w:rPr>
          <w:lang w:val="ca-ES"/>
        </w:rPr>
        <w:t>’aquesta decisió</w:t>
      </w:r>
      <w:r w:rsidR="007E16DC" w:rsidRPr="00FC74AB">
        <w:rPr>
          <w:rStyle w:val="FootnoteReference"/>
          <w:lang w:val="ca-ES"/>
        </w:rPr>
        <w:footnoteReference w:id="26"/>
      </w:r>
      <w:r w:rsidR="007E16DC" w:rsidRPr="00FC74AB">
        <w:rPr>
          <w:lang w:val="ca-ES"/>
        </w:rPr>
        <w:t>.</w:t>
      </w:r>
    </w:p>
    <w:p w14:paraId="753FE9CF" w14:textId="47EC3B70" w:rsidR="007E16DC" w:rsidRPr="00FC74AB" w:rsidRDefault="007E16DC" w:rsidP="0039142A">
      <w:pPr>
        <w:pStyle w:val="SingleTxt"/>
        <w:numPr>
          <w:ilvl w:val="2"/>
          <w:numId w:val="49"/>
        </w:numPr>
        <w:spacing w:line="240" w:lineRule="atLeast"/>
        <w:ind w:left="1267" w:firstLine="0"/>
        <w:rPr>
          <w:lang w:val="ca-ES"/>
        </w:rPr>
      </w:pPr>
      <w:r w:rsidRPr="00FC74AB">
        <w:rPr>
          <w:lang w:val="ca-ES"/>
        </w:rPr>
        <w:t>En</w:t>
      </w:r>
      <w:r w:rsidR="005214BF" w:rsidRPr="00FC74AB">
        <w:rPr>
          <w:lang w:val="ca-ES"/>
        </w:rPr>
        <w:t xml:space="preserve"> els </w:t>
      </w:r>
      <w:r w:rsidR="00371741" w:rsidRPr="00FC74AB">
        <w:rPr>
          <w:lang w:val="ca-ES"/>
        </w:rPr>
        <w:t xml:space="preserve">darrers </w:t>
      </w:r>
      <w:r w:rsidR="00E31C4A" w:rsidRPr="00FC74AB">
        <w:rPr>
          <w:lang w:val="ca-ES"/>
        </w:rPr>
        <w:t>decennis, ha so</w:t>
      </w:r>
      <w:r w:rsidRPr="00FC74AB">
        <w:rPr>
          <w:lang w:val="ca-ES"/>
        </w:rPr>
        <w:t>rgi</w:t>
      </w:r>
      <w:r w:rsidR="00E31C4A" w:rsidRPr="00FC74AB">
        <w:rPr>
          <w:lang w:val="ca-ES"/>
        </w:rPr>
        <w:t>t una al</w:t>
      </w:r>
      <w:r w:rsidRPr="00FC74AB">
        <w:rPr>
          <w:lang w:val="ca-ES"/>
        </w:rPr>
        <w:t xml:space="preserve">tra </w:t>
      </w:r>
      <w:r w:rsidR="00E31C4A" w:rsidRPr="00FC74AB">
        <w:rPr>
          <w:lang w:val="ca-ES"/>
        </w:rPr>
        <w:t>modalitat</w:t>
      </w:r>
      <w:r w:rsidRPr="00FC74AB">
        <w:rPr>
          <w:lang w:val="ca-ES"/>
        </w:rPr>
        <w:t xml:space="preserve"> de </w:t>
      </w:r>
      <w:r w:rsidR="007E4E7F" w:rsidRPr="00FC74AB">
        <w:rPr>
          <w:lang w:val="ca-ES"/>
        </w:rPr>
        <w:t>privatització</w:t>
      </w:r>
      <w:r w:rsidR="00371741" w:rsidRPr="00FC74AB">
        <w:rPr>
          <w:lang w:val="ca-ES"/>
        </w:rPr>
        <w:t>.</w:t>
      </w:r>
      <w:r w:rsidRPr="00FC74AB">
        <w:rPr>
          <w:lang w:val="ca-ES"/>
        </w:rPr>
        <w:t xml:space="preserve"> </w:t>
      </w:r>
      <w:r w:rsidR="00371741" w:rsidRPr="00FC74AB">
        <w:rPr>
          <w:lang w:val="ca-ES"/>
        </w:rPr>
        <w:t>Hi ha f</w:t>
      </w:r>
      <w:r w:rsidR="00E31C4A" w:rsidRPr="00FC74AB">
        <w:rPr>
          <w:lang w:val="ca-ES"/>
        </w:rPr>
        <w:t>ons d’inversió que compren accions</w:t>
      </w:r>
      <w:r w:rsidR="0039142A" w:rsidRPr="00FC74AB">
        <w:rPr>
          <w:lang w:val="ca-ES"/>
        </w:rPr>
        <w:t xml:space="preserve"> o tots els títols de propietat </w:t>
      </w:r>
      <w:r w:rsidRPr="00FC74AB">
        <w:rPr>
          <w:lang w:val="ca-ES"/>
        </w:rPr>
        <w:t>de</w:t>
      </w:r>
      <w:r w:rsidR="00B3113E" w:rsidRPr="00FC74AB">
        <w:rPr>
          <w:lang w:val="ca-ES"/>
        </w:rPr>
        <w:t xml:space="preserve"> les </w:t>
      </w:r>
      <w:r w:rsidR="00E31C4A" w:rsidRPr="00FC74AB">
        <w:rPr>
          <w:lang w:val="ca-ES"/>
        </w:rPr>
        <w:t>empreses</w:t>
      </w:r>
      <w:r w:rsidRPr="00FC74AB">
        <w:rPr>
          <w:lang w:val="ca-ES"/>
        </w:rPr>
        <w:t xml:space="preserve"> </w:t>
      </w:r>
      <w:r w:rsidR="003A58C9" w:rsidRPr="00FC74AB">
        <w:rPr>
          <w:lang w:val="ca-ES"/>
        </w:rPr>
        <w:t>d’aigua</w:t>
      </w:r>
      <w:r w:rsidR="007E4E7F" w:rsidRPr="00FC74AB">
        <w:rPr>
          <w:lang w:val="ca-ES"/>
        </w:rPr>
        <w:t xml:space="preserve"> i sanejament</w:t>
      </w:r>
      <w:r w:rsidRPr="00FC74AB">
        <w:rPr>
          <w:lang w:val="ca-ES"/>
        </w:rPr>
        <w:t xml:space="preserve">. </w:t>
      </w:r>
      <w:r w:rsidR="00853B74" w:rsidRPr="00FC74AB">
        <w:rPr>
          <w:lang w:val="ca-ES"/>
        </w:rPr>
        <w:t xml:space="preserve">Per als agents financers, </w:t>
      </w:r>
      <w:r w:rsidR="00E31C4A" w:rsidRPr="00FC74AB">
        <w:rPr>
          <w:lang w:val="ca-ES"/>
        </w:rPr>
        <w:t>aquesta</w:t>
      </w:r>
      <w:r w:rsidR="00853B74" w:rsidRPr="00FC74AB">
        <w:rPr>
          <w:lang w:val="ca-ES"/>
        </w:rPr>
        <w:t xml:space="preserve"> modalitat és una estratègia d</w:t>
      </w:r>
      <w:r w:rsidR="00E31C4A" w:rsidRPr="00FC74AB">
        <w:rPr>
          <w:lang w:val="ca-ES"/>
        </w:rPr>
        <w:t xml:space="preserve">’inversió atractiva, ja que pot </w:t>
      </w:r>
      <w:r w:rsidR="00853B74" w:rsidRPr="00FC74AB">
        <w:rPr>
          <w:lang w:val="ca-ES"/>
        </w:rPr>
        <w:t>garantir beneficis a llarg termini, diversificar el risc i generar noves oportunitats d’inversió tot mantenint una combinació d’inversions relativament flexible i equilibrada</w:t>
      </w:r>
      <w:r w:rsidRPr="00FC74AB">
        <w:rPr>
          <w:rStyle w:val="FootnoteReference"/>
          <w:lang w:val="ca-ES"/>
        </w:rPr>
        <w:footnoteReference w:id="27"/>
      </w:r>
      <w:r w:rsidRPr="00FC74AB">
        <w:rPr>
          <w:lang w:val="ca-ES"/>
        </w:rPr>
        <w:t xml:space="preserve">. </w:t>
      </w:r>
      <w:r w:rsidR="001D73F7" w:rsidRPr="00FC74AB">
        <w:rPr>
          <w:lang w:val="ca-ES"/>
        </w:rPr>
        <w:t>Des de la perspectiva dels drets humans, la financerització del sector de l’aigua i el sanejament genera una desconnexió entre els interessos dels propietaris de les empreses i l’objectiu d’acomplir el dret a l’aigua i al sanejament</w:t>
      </w:r>
      <w:r w:rsidRPr="00FC74AB">
        <w:rPr>
          <w:lang w:val="ca-ES"/>
        </w:rPr>
        <w:t>.</w:t>
      </w:r>
    </w:p>
    <w:p w14:paraId="2FF99F04" w14:textId="77777777" w:rsidR="007E16DC" w:rsidRPr="00FC74AB" w:rsidRDefault="007E16DC" w:rsidP="007E16DC">
      <w:pPr>
        <w:pStyle w:val="SingleTxt"/>
        <w:spacing w:after="0" w:line="120" w:lineRule="exact"/>
        <w:rPr>
          <w:sz w:val="10"/>
          <w:lang w:val="ca-ES"/>
        </w:rPr>
      </w:pPr>
    </w:p>
    <w:p w14:paraId="165616D3" w14:textId="77777777" w:rsidR="007E16DC" w:rsidRPr="00FC74AB" w:rsidRDefault="007E16DC" w:rsidP="007E16DC">
      <w:pPr>
        <w:pStyle w:val="SingleTxt"/>
        <w:spacing w:after="0" w:line="120" w:lineRule="exact"/>
        <w:rPr>
          <w:sz w:val="10"/>
          <w:lang w:val="ca-ES"/>
        </w:rPr>
      </w:pPr>
    </w:p>
    <w:p w14:paraId="7FB6633B" w14:textId="2E0F0437" w:rsidR="007E16DC" w:rsidRPr="00FC74AB" w:rsidRDefault="007E16DC" w:rsidP="00DC2D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59" w:hanging="1264"/>
        <w:rPr>
          <w:lang w:val="ca-ES"/>
        </w:rPr>
      </w:pPr>
      <w:r w:rsidRPr="00FC74AB">
        <w:rPr>
          <w:lang w:val="ca-ES"/>
        </w:rPr>
        <w:tab/>
        <w:t>III.</w:t>
      </w:r>
      <w:r w:rsidRPr="00FC74AB">
        <w:rPr>
          <w:lang w:val="ca-ES"/>
        </w:rPr>
        <w:tab/>
      </w:r>
      <w:r w:rsidR="00E037E5" w:rsidRPr="00FC74AB">
        <w:rPr>
          <w:lang w:val="ca-ES"/>
        </w:rPr>
        <w:t>Riscos de la privatització per als drets humans: justificació</w:t>
      </w:r>
    </w:p>
    <w:p w14:paraId="1309D2AF" w14:textId="77777777" w:rsidR="007E16DC" w:rsidRPr="00FC74AB" w:rsidRDefault="007E16DC" w:rsidP="007E16DC">
      <w:pPr>
        <w:pStyle w:val="SingleTxt"/>
        <w:keepNext/>
        <w:keepLines/>
        <w:spacing w:after="0" w:line="120" w:lineRule="exact"/>
        <w:ind w:left="1264"/>
        <w:rPr>
          <w:sz w:val="10"/>
          <w:lang w:val="ca-ES"/>
        </w:rPr>
      </w:pPr>
    </w:p>
    <w:p w14:paraId="7AE44DFA" w14:textId="77777777" w:rsidR="007E16DC" w:rsidRPr="00FC74AB" w:rsidRDefault="007E16DC" w:rsidP="007E16DC">
      <w:pPr>
        <w:pStyle w:val="SingleTxt"/>
        <w:keepNext/>
        <w:keepLines/>
        <w:spacing w:after="0" w:line="120" w:lineRule="exact"/>
        <w:ind w:left="1264"/>
        <w:rPr>
          <w:sz w:val="10"/>
          <w:lang w:val="ca-ES"/>
        </w:rPr>
      </w:pPr>
    </w:p>
    <w:p w14:paraId="239057D3" w14:textId="1AE4633D" w:rsidR="007E16DC" w:rsidRPr="00FC74AB" w:rsidRDefault="003A7E50" w:rsidP="00160DE5">
      <w:pPr>
        <w:pStyle w:val="SingleTxt"/>
        <w:keepNext/>
        <w:keepLines/>
        <w:numPr>
          <w:ilvl w:val="2"/>
          <w:numId w:val="49"/>
        </w:numPr>
        <w:spacing w:line="240" w:lineRule="atLeast"/>
        <w:ind w:left="1264" w:firstLine="0"/>
        <w:rPr>
          <w:lang w:val="ca-ES"/>
        </w:rPr>
      </w:pPr>
      <w:r w:rsidRPr="00FC74AB">
        <w:rPr>
          <w:lang w:val="ca-ES"/>
        </w:rPr>
        <w:t xml:space="preserve">La prestació de serveis d'aigua i sanejament per part d’operadors privats propicia un conjunt concret de riscos per als drets humans, que es basa en una combinació de tres factors: </w:t>
      </w:r>
      <w:r w:rsidR="007E16DC" w:rsidRPr="00FC74AB">
        <w:rPr>
          <w:lang w:val="ca-ES"/>
        </w:rPr>
        <w:t xml:space="preserve">la </w:t>
      </w:r>
      <w:r w:rsidRPr="00FC74AB">
        <w:rPr>
          <w:lang w:val="ca-ES"/>
        </w:rPr>
        <w:t>maximització</w:t>
      </w:r>
      <w:r w:rsidR="007E16DC" w:rsidRPr="00FC74AB">
        <w:rPr>
          <w:lang w:val="ca-ES"/>
        </w:rPr>
        <w:t xml:space="preserve"> </w:t>
      </w:r>
      <w:r w:rsidR="009A31D3" w:rsidRPr="00FC74AB">
        <w:rPr>
          <w:lang w:val="ca-ES"/>
        </w:rPr>
        <w:t>dels</w:t>
      </w:r>
      <w:r w:rsidR="005214BF" w:rsidRPr="00FC74AB">
        <w:rPr>
          <w:lang w:val="ca-ES"/>
        </w:rPr>
        <w:t xml:space="preserve"> </w:t>
      </w:r>
      <w:r w:rsidRPr="00FC74AB">
        <w:rPr>
          <w:lang w:val="ca-ES"/>
        </w:rPr>
        <w:t>beneficis</w:t>
      </w:r>
      <w:r w:rsidR="007E16DC" w:rsidRPr="00FC74AB">
        <w:rPr>
          <w:lang w:val="ca-ES"/>
        </w:rPr>
        <w:t xml:space="preserve">, el </w:t>
      </w:r>
      <w:r w:rsidRPr="00FC74AB">
        <w:rPr>
          <w:lang w:val="ca-ES"/>
        </w:rPr>
        <w:t>monopoli</w:t>
      </w:r>
      <w:r w:rsidR="007E16DC" w:rsidRPr="00FC74AB">
        <w:rPr>
          <w:lang w:val="ca-ES"/>
        </w:rPr>
        <w:t xml:space="preserve"> natural que </w:t>
      </w:r>
      <w:r w:rsidR="00160DE5" w:rsidRPr="00FC74AB">
        <w:rPr>
          <w:lang w:val="ca-ES"/>
        </w:rPr>
        <w:t>caracteritza</w:t>
      </w:r>
      <w:r w:rsidR="007E16DC" w:rsidRPr="00FC74AB">
        <w:rPr>
          <w:lang w:val="ca-ES"/>
        </w:rPr>
        <w:t xml:space="preserve"> el </w:t>
      </w:r>
      <w:r w:rsidR="00E037E5" w:rsidRPr="00FC74AB">
        <w:rPr>
          <w:lang w:val="ca-ES"/>
        </w:rPr>
        <w:t>subministrament</w:t>
      </w:r>
      <w:r w:rsidR="007E16DC" w:rsidRPr="00FC74AB">
        <w:rPr>
          <w:lang w:val="ca-ES"/>
        </w:rPr>
        <w:t xml:space="preserve"> </w:t>
      </w:r>
      <w:r w:rsidR="003A58C9" w:rsidRPr="00FC74AB">
        <w:rPr>
          <w:lang w:val="ca-ES"/>
        </w:rPr>
        <w:t>d’aigua</w:t>
      </w:r>
      <w:r w:rsidR="007E4E7F" w:rsidRPr="00FC74AB">
        <w:rPr>
          <w:lang w:val="ca-ES"/>
        </w:rPr>
        <w:t xml:space="preserve"> i </w:t>
      </w:r>
      <w:r w:rsidR="0018072D" w:rsidRPr="00FC74AB">
        <w:rPr>
          <w:lang w:val="ca-ES"/>
        </w:rPr>
        <w:t xml:space="preserve">el </w:t>
      </w:r>
      <w:r w:rsidR="007E4E7F" w:rsidRPr="00FC74AB">
        <w:rPr>
          <w:lang w:val="ca-ES"/>
        </w:rPr>
        <w:t>sanejament</w:t>
      </w:r>
      <w:r w:rsidR="007E16DC" w:rsidRPr="00FC74AB">
        <w:rPr>
          <w:lang w:val="ca-ES"/>
        </w:rPr>
        <w:t>,</w:t>
      </w:r>
      <w:r w:rsidR="007E4E7F" w:rsidRPr="00FC74AB">
        <w:rPr>
          <w:lang w:val="ca-ES"/>
        </w:rPr>
        <w:t xml:space="preserve"> i</w:t>
      </w:r>
      <w:r w:rsidR="005214BF" w:rsidRPr="00FC74AB">
        <w:rPr>
          <w:lang w:val="ca-ES"/>
        </w:rPr>
        <w:t xml:space="preserve"> els </w:t>
      </w:r>
      <w:r w:rsidR="00160DE5" w:rsidRPr="00FC74AB">
        <w:rPr>
          <w:lang w:val="ca-ES"/>
        </w:rPr>
        <w:t>desequilibris</w:t>
      </w:r>
      <w:r w:rsidR="007E16DC" w:rsidRPr="00FC74AB">
        <w:rPr>
          <w:lang w:val="ca-ES"/>
        </w:rPr>
        <w:t xml:space="preserve"> de poder. </w:t>
      </w:r>
      <w:r w:rsidR="00160DE5" w:rsidRPr="00FC74AB">
        <w:rPr>
          <w:lang w:val="ca-ES"/>
        </w:rPr>
        <w:t>Aquests factors es combinen per crear un marc conceptual que permet avaluar la privatització en relació amb els riscos que suposa per als drets humans.</w:t>
      </w:r>
      <w:r w:rsidR="007E16DC" w:rsidRPr="00FC74AB">
        <w:rPr>
          <w:lang w:val="ca-ES"/>
        </w:rPr>
        <w:t xml:space="preserve"> </w:t>
      </w:r>
      <w:r w:rsidR="00160DE5" w:rsidRPr="00FC74AB">
        <w:rPr>
          <w:lang w:val="ca-ES"/>
        </w:rPr>
        <w:t xml:space="preserve">Establir una relació causal entre els processos de privatització i la repercussió per als drets humans sovint és un repte metodològic, ja que poques vegades és possible construir escenaris hipotètics (és a dir, possibles situacions alternatives </w:t>
      </w:r>
      <w:r w:rsidR="00343601" w:rsidRPr="00FC74AB">
        <w:rPr>
          <w:lang w:val="ca-ES"/>
        </w:rPr>
        <w:t>a</w:t>
      </w:r>
      <w:r w:rsidR="00160DE5" w:rsidRPr="00FC74AB">
        <w:rPr>
          <w:lang w:val="ca-ES"/>
        </w:rPr>
        <w:t xml:space="preserve"> la privatització). L’ús del marc de tres factors en el present informe permet superar aquestes dificultats metodològiques.</w:t>
      </w:r>
    </w:p>
    <w:p w14:paraId="7385F19F" w14:textId="10ABA922" w:rsidR="007E16DC" w:rsidRPr="00FC74AB" w:rsidRDefault="007E16DC" w:rsidP="00775479">
      <w:pPr>
        <w:pStyle w:val="SingleTxt"/>
        <w:numPr>
          <w:ilvl w:val="2"/>
          <w:numId w:val="49"/>
        </w:numPr>
        <w:spacing w:line="240" w:lineRule="atLeast"/>
        <w:ind w:left="1267" w:firstLine="0"/>
        <w:rPr>
          <w:lang w:val="ca-ES"/>
        </w:rPr>
      </w:pPr>
      <w:r w:rsidRPr="00FC74AB">
        <w:rPr>
          <w:lang w:val="ca-ES"/>
        </w:rPr>
        <w:t xml:space="preserve">En primer </w:t>
      </w:r>
      <w:r w:rsidR="00775479" w:rsidRPr="00FC74AB">
        <w:rPr>
          <w:lang w:val="ca-ES"/>
        </w:rPr>
        <w:t>lloc</w:t>
      </w:r>
      <w:r w:rsidRPr="00FC74AB">
        <w:rPr>
          <w:lang w:val="ca-ES"/>
        </w:rPr>
        <w:t>, l</w:t>
      </w:r>
      <w:r w:rsidR="00775479" w:rsidRPr="00FC74AB">
        <w:rPr>
          <w:lang w:val="ca-ES"/>
        </w:rPr>
        <w:t>’objectiu d’aconseguir beneficis, característic del sector privat, s’expressa sovint com a maximització de beneficis: els subministradors intenten obtenir els màxims guanys nets de la prestació de serveis, ja sigui reduint els costos, augmentant els ingressos o les dues coses. Efectivament, els costos es poden reduir augmentant l’eficiència i l’extensió dels serveis es pot traduir en un augment dels ingressos sense que això suposi necessàriament apujar els preus ni excloure les persones que viuen en la pobresa. No obstant això, l'evidència empírica no sempre corrobora la idea que els preus de la prestació privada estiguin associats amb una major eficiència</w:t>
      </w:r>
      <w:r w:rsidRPr="00FC74AB">
        <w:rPr>
          <w:rStyle w:val="FootnoteReference"/>
          <w:lang w:val="ca-ES"/>
        </w:rPr>
        <w:footnoteReference w:id="28"/>
      </w:r>
      <w:r w:rsidR="00775479" w:rsidRPr="00FC74AB">
        <w:rPr>
          <w:lang w:val="ca-ES"/>
        </w:rPr>
        <w:t>, i la maximització dels ingressos pot generar inquietuds sobre l’assequibilitat des de la perspectiva dels titulars de drets</w:t>
      </w:r>
      <w:r w:rsidRPr="00FC74AB">
        <w:rPr>
          <w:lang w:val="ca-ES"/>
        </w:rPr>
        <w:t>. P</w:t>
      </w:r>
      <w:r w:rsidR="00775479" w:rsidRPr="00FC74AB">
        <w:rPr>
          <w:lang w:val="ca-ES"/>
        </w:rPr>
        <w:t>e</w:t>
      </w:r>
      <w:r w:rsidRPr="00FC74AB">
        <w:rPr>
          <w:lang w:val="ca-ES"/>
        </w:rPr>
        <w:t>r au</w:t>
      </w:r>
      <w:r w:rsidR="00775479" w:rsidRPr="00FC74AB">
        <w:rPr>
          <w:lang w:val="ca-ES"/>
        </w:rPr>
        <w:t>g</w:t>
      </w:r>
      <w:r w:rsidRPr="00FC74AB">
        <w:rPr>
          <w:lang w:val="ca-ES"/>
        </w:rPr>
        <w:t>mentar</w:t>
      </w:r>
      <w:r w:rsidR="005214BF" w:rsidRPr="00FC74AB">
        <w:rPr>
          <w:lang w:val="ca-ES"/>
        </w:rPr>
        <w:t xml:space="preserve"> els </w:t>
      </w:r>
      <w:r w:rsidR="003A7E50" w:rsidRPr="00FC74AB">
        <w:rPr>
          <w:lang w:val="ca-ES"/>
        </w:rPr>
        <w:t>ingressos</w:t>
      </w:r>
      <w:r w:rsidRPr="00FC74AB">
        <w:rPr>
          <w:lang w:val="ca-ES"/>
        </w:rPr>
        <w:t>,</w:t>
      </w:r>
      <w:r w:rsidR="005214BF" w:rsidRPr="00FC74AB">
        <w:rPr>
          <w:lang w:val="ca-ES"/>
        </w:rPr>
        <w:t xml:space="preserve"> els </w:t>
      </w:r>
      <w:r w:rsidR="00775479" w:rsidRPr="00FC74AB">
        <w:rPr>
          <w:lang w:val="ca-ES"/>
        </w:rPr>
        <w:t xml:space="preserve">subministradors </w:t>
      </w:r>
      <w:r w:rsidR="004879F7" w:rsidRPr="00FC74AB">
        <w:rPr>
          <w:lang w:val="ca-ES"/>
        </w:rPr>
        <w:t>privat</w:t>
      </w:r>
      <w:r w:rsidR="00775479" w:rsidRPr="00FC74AB">
        <w:rPr>
          <w:lang w:val="ca-ES"/>
        </w:rPr>
        <w:t>s podrie</w:t>
      </w:r>
      <w:r w:rsidRPr="00FC74AB">
        <w:rPr>
          <w:lang w:val="ca-ES"/>
        </w:rPr>
        <w:t>n pres</w:t>
      </w:r>
      <w:r w:rsidR="00775479" w:rsidRPr="00FC74AB">
        <w:rPr>
          <w:lang w:val="ca-ES"/>
        </w:rPr>
        <w:t>sio</w:t>
      </w:r>
      <w:r w:rsidRPr="00FC74AB">
        <w:rPr>
          <w:lang w:val="ca-ES"/>
        </w:rPr>
        <w:t>n</w:t>
      </w:r>
      <w:r w:rsidR="00775479" w:rsidRPr="00FC74AB">
        <w:rPr>
          <w:lang w:val="ca-ES"/>
        </w:rPr>
        <w:t>ar</w:t>
      </w:r>
      <w:r w:rsidR="00B3113E" w:rsidRPr="00FC74AB">
        <w:rPr>
          <w:lang w:val="ca-ES"/>
        </w:rPr>
        <w:t xml:space="preserve"> les </w:t>
      </w:r>
      <w:r w:rsidR="00E31C4A" w:rsidRPr="00FC74AB">
        <w:rPr>
          <w:lang w:val="ca-ES"/>
        </w:rPr>
        <w:t>autoritats</w:t>
      </w:r>
      <w:r w:rsidRPr="00FC74AB">
        <w:rPr>
          <w:lang w:val="ca-ES"/>
        </w:rPr>
        <w:t xml:space="preserve"> </w:t>
      </w:r>
      <w:r w:rsidR="003A7E50" w:rsidRPr="00FC74AB">
        <w:rPr>
          <w:lang w:val="ca-ES"/>
        </w:rPr>
        <w:t>públiques</w:t>
      </w:r>
      <w:r w:rsidR="00775479" w:rsidRPr="00FC74AB">
        <w:rPr>
          <w:lang w:val="ca-ES"/>
        </w:rPr>
        <w:t xml:space="preserve"> pe</w:t>
      </w:r>
      <w:r w:rsidRPr="00FC74AB">
        <w:rPr>
          <w:lang w:val="ca-ES"/>
        </w:rPr>
        <w:t>r</w:t>
      </w:r>
      <w:r w:rsidR="00343601" w:rsidRPr="00FC74AB">
        <w:rPr>
          <w:lang w:val="ca-ES"/>
        </w:rPr>
        <w:t xml:space="preserve"> tal que</w:t>
      </w:r>
      <w:r w:rsidR="00775479" w:rsidRPr="00FC74AB">
        <w:rPr>
          <w:lang w:val="ca-ES"/>
        </w:rPr>
        <w:t xml:space="preserve"> </w:t>
      </w:r>
      <w:r w:rsidRPr="00FC74AB">
        <w:rPr>
          <w:lang w:val="ca-ES"/>
        </w:rPr>
        <w:t>revi</w:t>
      </w:r>
      <w:r w:rsidR="00343601" w:rsidRPr="00FC74AB">
        <w:rPr>
          <w:lang w:val="ca-ES"/>
        </w:rPr>
        <w:t>sin</w:t>
      </w:r>
      <w:r w:rsidR="00775479" w:rsidRPr="00FC74AB">
        <w:rPr>
          <w:lang w:val="ca-ES"/>
        </w:rPr>
        <w:t xml:space="preserve"> le</w:t>
      </w:r>
      <w:r w:rsidR="00B3113E" w:rsidRPr="00FC74AB">
        <w:rPr>
          <w:lang w:val="ca-ES"/>
        </w:rPr>
        <w:t xml:space="preserve">s </w:t>
      </w:r>
      <w:r w:rsidR="00775479" w:rsidRPr="00FC74AB">
        <w:rPr>
          <w:lang w:val="ca-ES"/>
        </w:rPr>
        <w:t>tarife</w:t>
      </w:r>
      <w:r w:rsidRPr="00FC74AB">
        <w:rPr>
          <w:lang w:val="ca-ES"/>
        </w:rPr>
        <w:t>s, au</w:t>
      </w:r>
      <w:r w:rsidR="00775479" w:rsidRPr="00FC74AB">
        <w:rPr>
          <w:lang w:val="ca-ES"/>
        </w:rPr>
        <w:t>g</w:t>
      </w:r>
      <w:r w:rsidRPr="00FC74AB">
        <w:rPr>
          <w:lang w:val="ca-ES"/>
        </w:rPr>
        <w:t>ment</w:t>
      </w:r>
      <w:r w:rsidR="00343601" w:rsidRPr="00FC74AB">
        <w:rPr>
          <w:lang w:val="ca-ES"/>
        </w:rPr>
        <w:t>in</w:t>
      </w:r>
      <w:r w:rsidR="00775479" w:rsidRPr="00FC74AB">
        <w:rPr>
          <w:lang w:val="ca-ES"/>
        </w:rPr>
        <w:t xml:space="preserve"> o </w:t>
      </w:r>
      <w:r w:rsidR="00343601" w:rsidRPr="00FC74AB">
        <w:rPr>
          <w:lang w:val="ca-ES"/>
        </w:rPr>
        <w:t xml:space="preserve">imposin </w:t>
      </w:r>
      <w:r w:rsidR="00775479" w:rsidRPr="00FC74AB">
        <w:rPr>
          <w:lang w:val="ca-ES"/>
        </w:rPr>
        <w:t>costos de connexió</w:t>
      </w:r>
      <w:r w:rsidRPr="00FC74AB">
        <w:rPr>
          <w:lang w:val="ca-ES"/>
        </w:rPr>
        <w:t xml:space="preserve"> o </w:t>
      </w:r>
      <w:r w:rsidR="00343601" w:rsidRPr="00FC74AB">
        <w:rPr>
          <w:lang w:val="ca-ES"/>
        </w:rPr>
        <w:t xml:space="preserve">autoritzin </w:t>
      </w:r>
      <w:r w:rsidR="00775479" w:rsidRPr="00FC74AB">
        <w:rPr>
          <w:lang w:val="ca-ES"/>
        </w:rPr>
        <w:t xml:space="preserve">noves fonts </w:t>
      </w:r>
      <w:r w:rsidRPr="00FC74AB">
        <w:rPr>
          <w:lang w:val="ca-ES"/>
        </w:rPr>
        <w:t xml:space="preserve">de </w:t>
      </w:r>
      <w:r w:rsidR="003A7E50" w:rsidRPr="00FC74AB">
        <w:rPr>
          <w:lang w:val="ca-ES"/>
        </w:rPr>
        <w:t>beneficis</w:t>
      </w:r>
      <w:r w:rsidRPr="00FC74AB">
        <w:rPr>
          <w:lang w:val="ca-ES"/>
        </w:rPr>
        <w:t xml:space="preserve">, </w:t>
      </w:r>
      <w:r w:rsidR="00775479" w:rsidRPr="00FC74AB">
        <w:rPr>
          <w:lang w:val="ca-ES"/>
        </w:rPr>
        <w:t xml:space="preserve">sovint a través de serveis </w:t>
      </w:r>
      <w:r w:rsidRPr="00FC74AB">
        <w:rPr>
          <w:lang w:val="ca-ES"/>
        </w:rPr>
        <w:t>no</w:t>
      </w:r>
      <w:r w:rsidR="00775479" w:rsidRPr="00FC74AB">
        <w:rPr>
          <w:lang w:val="ca-ES"/>
        </w:rPr>
        <w:t xml:space="preserve"> sol·licitats</w:t>
      </w:r>
      <w:r w:rsidRPr="00FC74AB">
        <w:rPr>
          <w:rStyle w:val="FootnoteReference"/>
          <w:lang w:val="ca-ES"/>
        </w:rPr>
        <w:footnoteReference w:id="29"/>
      </w:r>
      <w:r w:rsidRPr="00FC74AB">
        <w:rPr>
          <w:lang w:val="ca-ES"/>
        </w:rPr>
        <w:t>.</w:t>
      </w:r>
    </w:p>
    <w:p w14:paraId="749354E6" w14:textId="24842AFC" w:rsidR="007E16DC" w:rsidRPr="00FC74AB" w:rsidRDefault="007E16DC" w:rsidP="00775479">
      <w:pPr>
        <w:pStyle w:val="SingleTxt"/>
        <w:numPr>
          <w:ilvl w:val="2"/>
          <w:numId w:val="49"/>
        </w:numPr>
        <w:spacing w:line="240" w:lineRule="atLeast"/>
        <w:ind w:left="1267" w:firstLine="0"/>
        <w:rPr>
          <w:lang w:val="ca-ES"/>
        </w:rPr>
      </w:pPr>
      <w:r w:rsidRPr="00FC74AB">
        <w:rPr>
          <w:lang w:val="ca-ES"/>
        </w:rPr>
        <w:t xml:space="preserve">En </w:t>
      </w:r>
      <w:r w:rsidR="00775479" w:rsidRPr="00FC74AB">
        <w:rPr>
          <w:lang w:val="ca-ES"/>
        </w:rPr>
        <w:t>segon lloc</w:t>
      </w:r>
      <w:r w:rsidRPr="00FC74AB">
        <w:rPr>
          <w:lang w:val="ca-ES"/>
        </w:rPr>
        <w:t xml:space="preserve">, </w:t>
      </w:r>
      <w:r w:rsidR="00775479" w:rsidRPr="00FC74AB">
        <w:rPr>
          <w:lang w:val="ca-ES"/>
        </w:rPr>
        <w:t xml:space="preserve">com l’abast de la competència en el sector de l’aigua i el sanejament és limitat a causa dels alts costos inicials, els organismes reguladors estan més exposats al risc de ser captius dels subministradors pel fet </w:t>
      </w:r>
      <w:r w:rsidR="00B156A0" w:rsidRPr="00FC74AB">
        <w:rPr>
          <w:lang w:val="ca-ES"/>
        </w:rPr>
        <w:t xml:space="preserve">de ser </w:t>
      </w:r>
      <w:r w:rsidR="00775479" w:rsidRPr="00FC74AB">
        <w:rPr>
          <w:lang w:val="ca-ES"/>
        </w:rPr>
        <w:t>un monopoli natural, en el qual opera un únic proveïdor</w:t>
      </w:r>
      <w:r w:rsidRPr="00FC74AB">
        <w:rPr>
          <w:rStyle w:val="FootnoteReference"/>
          <w:lang w:val="ca-ES"/>
        </w:rPr>
        <w:footnoteReference w:id="30"/>
      </w:r>
      <w:r w:rsidRPr="00FC74AB">
        <w:rPr>
          <w:lang w:val="ca-ES"/>
        </w:rPr>
        <w:t xml:space="preserve">. </w:t>
      </w:r>
      <w:r w:rsidR="00775479" w:rsidRPr="00FC74AB">
        <w:rPr>
          <w:lang w:val="ca-ES"/>
        </w:rPr>
        <w:t>Quan els subministradors són entitats privades, especialment empreses internacionals, hi ha altres qüestions relacionades amb l’arbitratge internacional que poden influir negativament en la capacitat dels organismes reguladors per protegir eficaçment els interessos dels titulars de drets</w:t>
      </w:r>
      <w:r w:rsidRPr="00FC74AB">
        <w:rPr>
          <w:rStyle w:val="FootnoteReference"/>
          <w:lang w:val="ca-ES"/>
        </w:rPr>
        <w:footnoteReference w:id="31"/>
      </w:r>
      <w:r w:rsidRPr="00FC74AB">
        <w:rPr>
          <w:lang w:val="ca-ES"/>
        </w:rPr>
        <w:t>.</w:t>
      </w:r>
    </w:p>
    <w:p w14:paraId="532CEA5F" w14:textId="144FE9FA" w:rsidR="007E16DC" w:rsidRPr="00FC74AB" w:rsidRDefault="007E16DC" w:rsidP="001822AA">
      <w:pPr>
        <w:pStyle w:val="SingleTxt"/>
        <w:numPr>
          <w:ilvl w:val="2"/>
          <w:numId w:val="49"/>
        </w:numPr>
        <w:spacing w:line="240" w:lineRule="atLeast"/>
        <w:ind w:left="1267" w:firstLine="0"/>
        <w:rPr>
          <w:spacing w:val="2"/>
          <w:w w:val="102"/>
          <w:lang w:val="ca-ES"/>
        </w:rPr>
      </w:pPr>
      <w:r w:rsidRPr="00FC74AB">
        <w:rPr>
          <w:lang w:val="ca-ES"/>
        </w:rPr>
        <w:t xml:space="preserve">En tercer </w:t>
      </w:r>
      <w:r w:rsidR="00775479" w:rsidRPr="00FC74AB">
        <w:rPr>
          <w:lang w:val="ca-ES"/>
        </w:rPr>
        <w:t>lloc</w:t>
      </w:r>
      <w:r w:rsidRPr="00FC74AB">
        <w:rPr>
          <w:lang w:val="ca-ES"/>
        </w:rPr>
        <w:t>,</w:t>
      </w:r>
      <w:r w:rsidR="005214BF" w:rsidRPr="00FC74AB">
        <w:rPr>
          <w:lang w:val="ca-ES"/>
        </w:rPr>
        <w:t xml:space="preserve"> els </w:t>
      </w:r>
      <w:r w:rsidR="00160DE5" w:rsidRPr="00FC74AB">
        <w:rPr>
          <w:lang w:val="ca-ES"/>
        </w:rPr>
        <w:t>desequilibris</w:t>
      </w:r>
      <w:r w:rsidRPr="00FC74AB">
        <w:rPr>
          <w:lang w:val="ca-ES"/>
        </w:rPr>
        <w:t xml:space="preserve"> de poder entre</w:t>
      </w:r>
      <w:r w:rsidR="005214BF" w:rsidRPr="00FC74AB">
        <w:rPr>
          <w:lang w:val="ca-ES"/>
        </w:rPr>
        <w:t xml:space="preserve"> els </w:t>
      </w:r>
      <w:r w:rsidR="00775479" w:rsidRPr="00FC74AB">
        <w:rPr>
          <w:lang w:val="ca-ES"/>
        </w:rPr>
        <w:t xml:space="preserve">subministradors </w:t>
      </w:r>
      <w:r w:rsidR="004879F7" w:rsidRPr="00FC74AB">
        <w:rPr>
          <w:lang w:val="ca-ES"/>
        </w:rPr>
        <w:t>privat</w:t>
      </w:r>
      <w:r w:rsidRPr="00FC74AB">
        <w:rPr>
          <w:lang w:val="ca-ES"/>
        </w:rPr>
        <w:t>s</w:t>
      </w:r>
      <w:r w:rsidR="007E4E7F" w:rsidRPr="00FC74AB">
        <w:rPr>
          <w:lang w:val="ca-ES"/>
        </w:rPr>
        <w:t xml:space="preserve"> i</w:t>
      </w:r>
      <w:r w:rsidR="00B3113E" w:rsidRPr="00FC74AB">
        <w:rPr>
          <w:lang w:val="ca-ES"/>
        </w:rPr>
        <w:t xml:space="preserve"> les </w:t>
      </w:r>
      <w:r w:rsidR="00E31C4A" w:rsidRPr="00FC74AB">
        <w:rPr>
          <w:lang w:val="ca-ES"/>
        </w:rPr>
        <w:t>autoritats</w:t>
      </w:r>
      <w:r w:rsidRPr="00FC74AB">
        <w:rPr>
          <w:lang w:val="ca-ES"/>
        </w:rPr>
        <w:t xml:space="preserve"> </w:t>
      </w:r>
      <w:r w:rsidR="003A7E50" w:rsidRPr="00FC74AB">
        <w:rPr>
          <w:lang w:val="ca-ES"/>
        </w:rPr>
        <w:t>públiques</w:t>
      </w:r>
      <w:r w:rsidR="00775479" w:rsidRPr="00FC74AB">
        <w:rPr>
          <w:lang w:val="ca-ES"/>
        </w:rPr>
        <w:t xml:space="preserve"> són </w:t>
      </w:r>
      <w:r w:rsidR="004E5171" w:rsidRPr="00FC74AB">
        <w:rPr>
          <w:lang w:val="ca-ES"/>
        </w:rPr>
        <w:t xml:space="preserve">habituals i poden generar </w:t>
      </w:r>
      <w:r w:rsidR="00F61182" w:rsidRPr="00FC74AB">
        <w:rPr>
          <w:lang w:val="ca-ES"/>
        </w:rPr>
        <w:t>inquietuds</w:t>
      </w:r>
      <w:r w:rsidR="004E5171" w:rsidRPr="00FC74AB">
        <w:rPr>
          <w:lang w:val="ca-ES"/>
        </w:rPr>
        <w:t xml:space="preserve"> en matèria de drets humans.</w:t>
      </w:r>
      <w:r w:rsidRPr="00FC74AB">
        <w:rPr>
          <w:lang w:val="ca-ES"/>
        </w:rPr>
        <w:t xml:space="preserve"> </w:t>
      </w:r>
      <w:r w:rsidR="00F61182" w:rsidRPr="00FC74AB">
        <w:rPr>
          <w:lang w:val="ca-ES"/>
        </w:rPr>
        <w:t>Aquest factor també</w:t>
      </w:r>
      <w:r w:rsidRPr="00FC74AB">
        <w:rPr>
          <w:lang w:val="ca-ES"/>
        </w:rPr>
        <w:t xml:space="preserve"> p</w:t>
      </w:r>
      <w:r w:rsidR="00F61182" w:rsidRPr="00FC74AB">
        <w:rPr>
          <w:lang w:val="ca-ES"/>
        </w:rPr>
        <w:t xml:space="preserve">ot </w:t>
      </w:r>
      <w:r w:rsidRPr="00FC74AB">
        <w:rPr>
          <w:lang w:val="ca-ES"/>
        </w:rPr>
        <w:t>exacerbar</w:t>
      </w:r>
      <w:r w:rsidR="00B3113E" w:rsidRPr="00FC74AB">
        <w:rPr>
          <w:lang w:val="ca-ES"/>
        </w:rPr>
        <w:t xml:space="preserve"> </w:t>
      </w:r>
      <w:r w:rsidR="001822AA" w:rsidRPr="00FC74AB">
        <w:rPr>
          <w:lang w:val="ca-ES"/>
        </w:rPr>
        <w:t xml:space="preserve">l’impacte </w:t>
      </w:r>
      <w:r w:rsidR="009A31D3" w:rsidRPr="00FC74AB">
        <w:rPr>
          <w:lang w:val="ca-ES"/>
        </w:rPr>
        <w:t>dels</w:t>
      </w:r>
      <w:r w:rsidR="005214BF" w:rsidRPr="00FC74AB">
        <w:rPr>
          <w:lang w:val="ca-ES"/>
        </w:rPr>
        <w:t xml:space="preserve"> </w:t>
      </w:r>
      <w:r w:rsidR="00F61182" w:rsidRPr="00FC74AB">
        <w:rPr>
          <w:lang w:val="ca-ES"/>
        </w:rPr>
        <w:t>altres dos factor</w:t>
      </w:r>
      <w:r w:rsidRPr="00FC74AB">
        <w:rPr>
          <w:lang w:val="ca-ES"/>
        </w:rPr>
        <w:t xml:space="preserve">s </w:t>
      </w:r>
      <w:r w:rsidR="00F61182" w:rsidRPr="00FC74AB">
        <w:rPr>
          <w:lang w:val="ca-ES"/>
        </w:rPr>
        <w:t>anteriors</w:t>
      </w:r>
      <w:r w:rsidRPr="00FC74AB">
        <w:rPr>
          <w:lang w:val="ca-ES"/>
        </w:rPr>
        <w:t xml:space="preserve">. </w:t>
      </w:r>
      <w:r w:rsidR="00F61182" w:rsidRPr="00FC74AB">
        <w:rPr>
          <w:lang w:val="ca-ES"/>
        </w:rPr>
        <w:t xml:space="preserve">Sovint signen les concessions autoritats locals que no tenen coneixements tècnics i informació precisa per redactar clàusules contractuals que estableixin obligacions contundents a llarg termini per als subministradors. </w:t>
      </w:r>
      <w:r w:rsidRPr="00FC74AB">
        <w:rPr>
          <w:lang w:val="ca-ES"/>
        </w:rPr>
        <w:t>A</w:t>
      </w:r>
      <w:r w:rsidR="00F61182" w:rsidRPr="00FC74AB">
        <w:rPr>
          <w:lang w:val="ca-ES"/>
        </w:rPr>
        <w:t xml:space="preserve"> més, é</w:t>
      </w:r>
      <w:r w:rsidRPr="00FC74AB">
        <w:rPr>
          <w:lang w:val="ca-ES"/>
        </w:rPr>
        <w:t>s m</w:t>
      </w:r>
      <w:r w:rsidR="00F61182" w:rsidRPr="00FC74AB">
        <w:rPr>
          <w:lang w:val="ca-ES"/>
        </w:rPr>
        <w:t>olt comú</w:t>
      </w:r>
      <w:r w:rsidRPr="00FC74AB">
        <w:rPr>
          <w:lang w:val="ca-ES"/>
        </w:rPr>
        <w:t xml:space="preserve"> que</w:t>
      </w:r>
      <w:r w:rsidR="005214BF" w:rsidRPr="00FC74AB">
        <w:rPr>
          <w:lang w:val="ca-ES"/>
        </w:rPr>
        <w:t xml:space="preserve"> els </w:t>
      </w:r>
      <w:r w:rsidRPr="00FC74AB">
        <w:rPr>
          <w:lang w:val="ca-ES"/>
        </w:rPr>
        <w:t>organism</w:t>
      </w:r>
      <w:r w:rsidR="00F61182" w:rsidRPr="00FC74AB">
        <w:rPr>
          <w:lang w:val="ca-ES"/>
        </w:rPr>
        <w:t>es públic</w:t>
      </w:r>
      <w:r w:rsidRPr="00FC74AB">
        <w:rPr>
          <w:lang w:val="ca-ES"/>
        </w:rPr>
        <w:t>s, que no dispo</w:t>
      </w:r>
      <w:r w:rsidR="00F61182" w:rsidRPr="00FC74AB">
        <w:rPr>
          <w:lang w:val="ca-ES"/>
        </w:rPr>
        <w:t>se</w:t>
      </w:r>
      <w:r w:rsidRPr="00FC74AB">
        <w:rPr>
          <w:lang w:val="ca-ES"/>
        </w:rPr>
        <w:t xml:space="preserve">n </w:t>
      </w:r>
      <w:r w:rsidR="00B156A0" w:rsidRPr="00FC74AB">
        <w:rPr>
          <w:lang w:val="ca-ES"/>
        </w:rPr>
        <w:t xml:space="preserve">ni </w:t>
      </w:r>
      <w:r w:rsidRPr="00FC74AB">
        <w:rPr>
          <w:lang w:val="ca-ES"/>
        </w:rPr>
        <w:t xml:space="preserve">de recursos ni </w:t>
      </w:r>
      <w:r w:rsidR="00B156A0" w:rsidRPr="00FC74AB">
        <w:rPr>
          <w:lang w:val="ca-ES"/>
        </w:rPr>
        <w:t xml:space="preserve">de </w:t>
      </w:r>
      <w:r w:rsidRPr="00FC74AB">
        <w:rPr>
          <w:lang w:val="ca-ES"/>
        </w:rPr>
        <w:t xml:space="preserve">personal </w:t>
      </w:r>
      <w:r w:rsidR="00F61182" w:rsidRPr="00FC74AB">
        <w:rPr>
          <w:lang w:val="ca-ES"/>
        </w:rPr>
        <w:t>suficient</w:t>
      </w:r>
      <w:r w:rsidRPr="00FC74AB">
        <w:rPr>
          <w:lang w:val="ca-ES"/>
        </w:rPr>
        <w:t>s, as</w:t>
      </w:r>
      <w:r w:rsidR="00F61182" w:rsidRPr="00FC74AB">
        <w:rPr>
          <w:lang w:val="ca-ES"/>
        </w:rPr>
        <w:t>sumeixin la funció</w:t>
      </w:r>
      <w:r w:rsidRPr="00FC74AB">
        <w:rPr>
          <w:lang w:val="ca-ES"/>
        </w:rPr>
        <w:t xml:space="preserve"> de supervisar</w:t>
      </w:r>
      <w:r w:rsidR="007E4E7F" w:rsidRPr="00FC74AB">
        <w:rPr>
          <w:lang w:val="ca-ES"/>
        </w:rPr>
        <w:t xml:space="preserve"> i </w:t>
      </w:r>
      <w:r w:rsidR="001822AA" w:rsidRPr="00FC74AB">
        <w:rPr>
          <w:lang w:val="ca-ES"/>
        </w:rPr>
        <w:t xml:space="preserve">controlar </w:t>
      </w:r>
      <w:r w:rsidR="00F61182" w:rsidRPr="00FC74AB">
        <w:rPr>
          <w:lang w:val="ca-ES"/>
        </w:rPr>
        <w:t xml:space="preserve">el </w:t>
      </w:r>
      <w:r w:rsidR="007F3D09" w:rsidRPr="00FC74AB">
        <w:rPr>
          <w:lang w:val="ca-ES"/>
        </w:rPr>
        <w:t xml:space="preserve">subministrador </w:t>
      </w:r>
      <w:r w:rsidR="004879F7" w:rsidRPr="00FC74AB">
        <w:rPr>
          <w:lang w:val="ca-ES"/>
        </w:rPr>
        <w:t>privat</w:t>
      </w:r>
      <w:r w:rsidRPr="00FC74AB">
        <w:rPr>
          <w:rStyle w:val="FootnoteReference"/>
          <w:spacing w:val="2"/>
          <w:w w:val="102"/>
          <w:lang w:val="ca-ES"/>
        </w:rPr>
        <w:footnoteReference w:id="32"/>
      </w:r>
      <w:r w:rsidRPr="00FC74AB">
        <w:rPr>
          <w:lang w:val="ca-ES"/>
        </w:rPr>
        <w:t xml:space="preserve">. </w:t>
      </w:r>
      <w:r w:rsidR="00F61182" w:rsidRPr="00FC74AB">
        <w:rPr>
          <w:lang w:val="ca-ES"/>
        </w:rPr>
        <w:t xml:space="preserve">També és possible que aquestes autoritats no tinguin la força política i financera necessària per negociar condicions favorables amb </w:t>
      </w:r>
      <w:r w:rsidR="00951712" w:rsidRPr="00FC74AB">
        <w:rPr>
          <w:lang w:val="ca-ES"/>
        </w:rPr>
        <w:t xml:space="preserve">empreses </w:t>
      </w:r>
      <w:r w:rsidR="00F61182" w:rsidRPr="00FC74AB">
        <w:rPr>
          <w:lang w:val="ca-ES"/>
        </w:rPr>
        <w:t>transnacionals o per guanyar litigis complexos i prolongats quan sorgeixen conflictes.</w:t>
      </w:r>
      <w:r w:rsidR="00951712" w:rsidRPr="00FC74AB">
        <w:rPr>
          <w:lang w:val="ca-ES"/>
        </w:rPr>
        <w:t xml:space="preserve"> Les clàusules</w:t>
      </w:r>
      <w:r w:rsidR="0009482C" w:rsidRPr="00FC74AB">
        <w:rPr>
          <w:lang w:val="ca-ES"/>
        </w:rPr>
        <w:t xml:space="preserve"> dels tractats internacionals d’</w:t>
      </w:r>
      <w:r w:rsidR="00951712" w:rsidRPr="00FC74AB">
        <w:rPr>
          <w:lang w:val="ca-ES"/>
        </w:rPr>
        <w:t xml:space="preserve">inversió i la solució de controvèrsies entre inversors i Estats solen estar </w:t>
      </w:r>
      <w:r w:rsidR="001822AA" w:rsidRPr="00FC74AB">
        <w:rPr>
          <w:lang w:val="ca-ES"/>
        </w:rPr>
        <w:t xml:space="preserve">desvinculades </w:t>
      </w:r>
      <w:r w:rsidR="00951712" w:rsidRPr="00FC74AB">
        <w:rPr>
          <w:lang w:val="ca-ES"/>
        </w:rPr>
        <w:t xml:space="preserve">de les normes internacionals de drets humans i ofereixen a les empreses estrangeres instruments per protegir les seves inversions, </w:t>
      </w:r>
      <w:r w:rsidR="0009482C" w:rsidRPr="00FC74AB">
        <w:rPr>
          <w:lang w:val="ca-ES"/>
        </w:rPr>
        <w:t>per tant</w:t>
      </w:r>
      <w:r w:rsidR="00951712" w:rsidRPr="00FC74AB">
        <w:rPr>
          <w:lang w:val="ca-ES"/>
        </w:rPr>
        <w:t xml:space="preserve"> deixen </w:t>
      </w:r>
      <w:r w:rsidR="0009482C" w:rsidRPr="00FC74AB">
        <w:rPr>
          <w:lang w:val="ca-ES"/>
        </w:rPr>
        <w:t>els</w:t>
      </w:r>
      <w:r w:rsidR="00951712" w:rsidRPr="00FC74AB">
        <w:rPr>
          <w:lang w:val="ca-ES"/>
        </w:rPr>
        <w:t xml:space="preserve"> Estats en una posició de </w:t>
      </w:r>
      <w:r w:rsidR="001822AA" w:rsidRPr="00FC74AB">
        <w:rPr>
          <w:lang w:val="ca-ES"/>
        </w:rPr>
        <w:t xml:space="preserve">feblesa </w:t>
      </w:r>
      <w:r w:rsidR="00951712" w:rsidRPr="00FC74AB">
        <w:rPr>
          <w:lang w:val="ca-ES"/>
        </w:rPr>
        <w:t xml:space="preserve">i </w:t>
      </w:r>
      <w:r w:rsidR="0009482C" w:rsidRPr="00FC74AB">
        <w:rPr>
          <w:lang w:val="ca-ES"/>
        </w:rPr>
        <w:t>els</w:t>
      </w:r>
      <w:r w:rsidR="00951712" w:rsidRPr="00FC74AB">
        <w:rPr>
          <w:lang w:val="ca-ES"/>
        </w:rPr>
        <w:t xml:space="preserve"> drets de les comunitats afectades desproveïts de protecció</w:t>
      </w:r>
      <w:r w:rsidRPr="00FC74AB">
        <w:rPr>
          <w:rStyle w:val="FootnoteReference"/>
          <w:spacing w:val="2"/>
          <w:w w:val="102"/>
          <w:lang w:val="ca-ES"/>
        </w:rPr>
        <w:footnoteReference w:id="33"/>
      </w:r>
      <w:r w:rsidRPr="00FC74AB">
        <w:rPr>
          <w:lang w:val="ca-ES"/>
        </w:rPr>
        <w:t>.</w:t>
      </w:r>
    </w:p>
    <w:p w14:paraId="7D283139" w14:textId="1FB29EDE" w:rsidR="007E16DC" w:rsidRPr="00FC74AB" w:rsidRDefault="0009482C" w:rsidP="00E83630">
      <w:pPr>
        <w:pStyle w:val="SingleTxt"/>
        <w:numPr>
          <w:ilvl w:val="2"/>
          <w:numId w:val="49"/>
        </w:numPr>
        <w:spacing w:line="240" w:lineRule="atLeast"/>
        <w:ind w:left="1267" w:firstLine="0"/>
        <w:rPr>
          <w:lang w:val="ca-ES"/>
        </w:rPr>
      </w:pPr>
      <w:r w:rsidRPr="00FC74AB">
        <w:rPr>
          <w:lang w:val="ca-ES"/>
        </w:rPr>
        <w:t xml:space="preserve">Una altra cara de l’asimetria de </w:t>
      </w:r>
      <w:r w:rsidR="00A154CB" w:rsidRPr="00FC74AB">
        <w:rPr>
          <w:lang w:val="ca-ES"/>
        </w:rPr>
        <w:t xml:space="preserve">poder és la posició que ocupen </w:t>
      </w:r>
      <w:r w:rsidRPr="00FC74AB">
        <w:rPr>
          <w:lang w:val="ca-ES"/>
        </w:rPr>
        <w:t>l</w:t>
      </w:r>
      <w:r w:rsidR="00A154CB" w:rsidRPr="00FC74AB">
        <w:rPr>
          <w:lang w:val="ca-ES"/>
        </w:rPr>
        <w:t>e</w:t>
      </w:r>
      <w:r w:rsidRPr="00FC74AB">
        <w:rPr>
          <w:lang w:val="ca-ES"/>
        </w:rPr>
        <w:t xml:space="preserve">s entitats del sector privat als fòrums de decisió, també en </w:t>
      </w:r>
      <w:r w:rsidR="00A154CB" w:rsidRPr="00FC74AB">
        <w:rPr>
          <w:lang w:val="ca-ES"/>
        </w:rPr>
        <w:t xml:space="preserve">l’àmbit </w:t>
      </w:r>
      <w:r w:rsidRPr="00FC74AB">
        <w:rPr>
          <w:lang w:val="ca-ES"/>
        </w:rPr>
        <w:t xml:space="preserve">internacional, </w:t>
      </w:r>
      <w:r w:rsidR="00A154CB" w:rsidRPr="00FC74AB">
        <w:rPr>
          <w:lang w:val="ca-ES"/>
        </w:rPr>
        <w:t xml:space="preserve">que els facilita accedir </w:t>
      </w:r>
      <w:r w:rsidRPr="00FC74AB">
        <w:rPr>
          <w:lang w:val="ca-ES"/>
        </w:rPr>
        <w:t>a les autoritats decisòries pertinents i els brinda oportunitats per exercir</w:t>
      </w:r>
      <w:r w:rsidR="00A154CB" w:rsidRPr="00FC74AB">
        <w:rPr>
          <w:lang w:val="ca-ES"/>
        </w:rPr>
        <w:t>-hi</w:t>
      </w:r>
      <w:r w:rsidRPr="00FC74AB">
        <w:rPr>
          <w:lang w:val="ca-ES"/>
        </w:rPr>
        <w:t xml:space="preserve"> pressió</w:t>
      </w:r>
      <w:r w:rsidR="007E16DC" w:rsidRPr="00FC74AB">
        <w:rPr>
          <w:rStyle w:val="FootnoteReference"/>
          <w:lang w:val="ca-ES"/>
        </w:rPr>
        <w:footnoteReference w:id="34"/>
      </w:r>
      <w:r w:rsidR="007E16DC" w:rsidRPr="00FC74AB">
        <w:rPr>
          <w:lang w:val="ca-ES"/>
        </w:rPr>
        <w:t xml:space="preserve">. </w:t>
      </w:r>
      <w:r w:rsidRPr="00FC74AB">
        <w:rPr>
          <w:lang w:val="ca-ES"/>
        </w:rPr>
        <w:t>Segons va afirmar un</w:t>
      </w:r>
      <w:r w:rsidR="001822AA" w:rsidRPr="00FC74AB">
        <w:rPr>
          <w:lang w:val="ca-ES"/>
        </w:rPr>
        <w:t xml:space="preserve"> informant </w:t>
      </w:r>
      <w:r w:rsidRPr="00FC74AB">
        <w:rPr>
          <w:lang w:val="ca-ES"/>
        </w:rPr>
        <w:t xml:space="preserve">anònim </w:t>
      </w:r>
      <w:r w:rsidR="00A154CB" w:rsidRPr="00FC74AB">
        <w:rPr>
          <w:lang w:val="ca-ES"/>
        </w:rPr>
        <w:t>a</w:t>
      </w:r>
      <w:r w:rsidRPr="00FC74AB">
        <w:rPr>
          <w:lang w:val="ca-ES"/>
        </w:rPr>
        <w:t xml:space="preserve"> una consulta realitzada per </w:t>
      </w:r>
      <w:r w:rsidR="00A154CB" w:rsidRPr="00FC74AB">
        <w:rPr>
          <w:lang w:val="ca-ES"/>
        </w:rPr>
        <w:t xml:space="preserve">a </w:t>
      </w:r>
      <w:r w:rsidRPr="00FC74AB">
        <w:rPr>
          <w:lang w:val="ca-ES"/>
        </w:rPr>
        <w:t xml:space="preserve">aquest informe, </w:t>
      </w:r>
      <w:r w:rsidR="00A154CB" w:rsidRPr="00FC74AB">
        <w:rPr>
          <w:lang w:val="ca-ES"/>
        </w:rPr>
        <w:t xml:space="preserve">a les </w:t>
      </w:r>
      <w:r w:rsidRPr="00FC74AB">
        <w:rPr>
          <w:lang w:val="ca-ES"/>
        </w:rPr>
        <w:t xml:space="preserve">Nacions Unides estem </w:t>
      </w:r>
      <w:r w:rsidR="00A154CB" w:rsidRPr="00FC74AB">
        <w:rPr>
          <w:lang w:val="ca-ES"/>
        </w:rPr>
        <w:t xml:space="preserve">presenciant </w:t>
      </w:r>
      <w:r w:rsidRPr="00FC74AB">
        <w:rPr>
          <w:lang w:val="ca-ES"/>
        </w:rPr>
        <w:t>el que s</w:t>
      </w:r>
      <w:r w:rsidR="00A154CB" w:rsidRPr="00FC74AB">
        <w:rPr>
          <w:lang w:val="ca-ES"/>
        </w:rPr>
        <w:t>’</w:t>
      </w:r>
      <w:r w:rsidRPr="00FC74AB">
        <w:rPr>
          <w:lang w:val="ca-ES"/>
        </w:rPr>
        <w:t xml:space="preserve">anomena </w:t>
      </w:r>
      <w:r w:rsidR="00A154CB" w:rsidRPr="00FC74AB">
        <w:rPr>
          <w:lang w:val="ca-ES"/>
        </w:rPr>
        <w:t>«</w:t>
      </w:r>
      <w:r w:rsidRPr="00FC74AB">
        <w:rPr>
          <w:lang w:val="ca-ES"/>
        </w:rPr>
        <w:t>captura corporativa</w:t>
      </w:r>
      <w:r w:rsidR="00A154CB" w:rsidRPr="00FC74AB">
        <w:rPr>
          <w:lang w:val="ca-ES"/>
        </w:rPr>
        <w:t xml:space="preserve">»; </w:t>
      </w:r>
      <w:r w:rsidRPr="00FC74AB">
        <w:rPr>
          <w:lang w:val="ca-ES"/>
        </w:rPr>
        <w:t>l</w:t>
      </w:r>
      <w:r w:rsidR="00A154CB" w:rsidRPr="00FC74AB">
        <w:rPr>
          <w:lang w:val="ca-ES"/>
        </w:rPr>
        <w:t>e</w:t>
      </w:r>
      <w:r w:rsidRPr="00FC74AB">
        <w:rPr>
          <w:lang w:val="ca-ES"/>
        </w:rPr>
        <w:t xml:space="preserve">s Nacions Unides han permès que </w:t>
      </w:r>
      <w:r w:rsidR="00A154CB" w:rsidRPr="00FC74AB">
        <w:rPr>
          <w:lang w:val="ca-ES"/>
        </w:rPr>
        <w:t xml:space="preserve">les </w:t>
      </w:r>
      <w:r w:rsidRPr="00FC74AB">
        <w:rPr>
          <w:lang w:val="ca-ES"/>
        </w:rPr>
        <w:t>empreses</w:t>
      </w:r>
      <w:r w:rsidR="00A154CB" w:rsidRPr="00FC74AB">
        <w:rPr>
          <w:lang w:val="ca-ES"/>
        </w:rPr>
        <w:t xml:space="preserve"> tinguin una gran influència </w:t>
      </w:r>
      <w:r w:rsidR="00467254" w:rsidRPr="00FC74AB">
        <w:rPr>
          <w:lang w:val="ca-ES"/>
        </w:rPr>
        <w:t xml:space="preserve">en els </w:t>
      </w:r>
      <w:r w:rsidRPr="00FC74AB">
        <w:rPr>
          <w:lang w:val="ca-ES"/>
        </w:rPr>
        <w:t xml:space="preserve">debats i decisions. </w:t>
      </w:r>
      <w:r w:rsidR="00636F7B" w:rsidRPr="00FC74AB">
        <w:rPr>
          <w:lang w:val="ca-ES"/>
        </w:rPr>
        <w:t>E</w:t>
      </w:r>
      <w:r w:rsidRPr="00FC74AB">
        <w:rPr>
          <w:lang w:val="ca-ES"/>
        </w:rPr>
        <w:t>n el sector de l</w:t>
      </w:r>
      <w:r w:rsidR="00A154CB" w:rsidRPr="00FC74AB">
        <w:rPr>
          <w:lang w:val="ca-ES"/>
        </w:rPr>
        <w:t>’</w:t>
      </w:r>
      <w:r w:rsidRPr="00FC74AB">
        <w:rPr>
          <w:lang w:val="ca-ES"/>
        </w:rPr>
        <w:t>aigua i el sanejament</w:t>
      </w:r>
      <w:r w:rsidR="00636F7B" w:rsidRPr="00FC74AB">
        <w:rPr>
          <w:lang w:val="ca-ES"/>
        </w:rPr>
        <w:t xml:space="preserve"> en concret</w:t>
      </w:r>
      <w:r w:rsidRPr="00FC74AB">
        <w:rPr>
          <w:lang w:val="ca-ES"/>
        </w:rPr>
        <w:t xml:space="preserve">, la forta presència dels representants de les empreses als organismes internacionals es </w:t>
      </w:r>
      <w:r w:rsidR="00A154CB" w:rsidRPr="00FC74AB">
        <w:rPr>
          <w:lang w:val="ca-ES"/>
        </w:rPr>
        <w:t xml:space="preserve">tradueix </w:t>
      </w:r>
      <w:r w:rsidRPr="00FC74AB">
        <w:rPr>
          <w:lang w:val="ca-ES"/>
        </w:rPr>
        <w:t xml:space="preserve">en </w:t>
      </w:r>
      <w:r w:rsidR="00A154CB" w:rsidRPr="00FC74AB">
        <w:rPr>
          <w:lang w:val="ca-ES"/>
        </w:rPr>
        <w:t xml:space="preserve">una major </w:t>
      </w:r>
      <w:r w:rsidRPr="00FC74AB">
        <w:rPr>
          <w:lang w:val="ca-ES"/>
        </w:rPr>
        <w:t xml:space="preserve">capacitat per defensar els seus interessos i opinions </w:t>
      </w:r>
      <w:r w:rsidR="00467254" w:rsidRPr="00FC74AB">
        <w:rPr>
          <w:lang w:val="ca-ES"/>
        </w:rPr>
        <w:t>respecte la d’</w:t>
      </w:r>
      <w:r w:rsidRPr="00FC74AB">
        <w:rPr>
          <w:lang w:val="ca-ES"/>
        </w:rPr>
        <w:t>altres representants de la societat civil</w:t>
      </w:r>
      <w:r w:rsidR="007E16DC" w:rsidRPr="00FC74AB">
        <w:rPr>
          <w:rStyle w:val="FootnoteReference"/>
          <w:lang w:val="ca-ES"/>
        </w:rPr>
        <w:footnoteReference w:id="35"/>
      </w:r>
      <w:r w:rsidR="007E16DC" w:rsidRPr="00FC74AB">
        <w:rPr>
          <w:lang w:val="ca-ES"/>
        </w:rPr>
        <w:t xml:space="preserve">. </w:t>
      </w:r>
      <w:r w:rsidRPr="00FC74AB">
        <w:rPr>
          <w:lang w:val="ca-ES"/>
        </w:rPr>
        <w:t xml:space="preserve">Per exemple, </w:t>
      </w:r>
      <w:r w:rsidR="00AD53DE" w:rsidRPr="00FC74AB">
        <w:rPr>
          <w:lang w:val="ca-ES"/>
        </w:rPr>
        <w:t xml:space="preserve">en els debats previs a la redacció de l’observació general núm. 15, </w:t>
      </w:r>
      <w:r w:rsidRPr="00FC74AB">
        <w:rPr>
          <w:lang w:val="ca-ES"/>
        </w:rPr>
        <w:t xml:space="preserve">la participació de Suez, una de les </w:t>
      </w:r>
      <w:r w:rsidR="00A154CB" w:rsidRPr="00FC74AB">
        <w:rPr>
          <w:lang w:val="ca-ES"/>
        </w:rPr>
        <w:t>principals</w:t>
      </w:r>
      <w:r w:rsidRPr="00FC74AB">
        <w:rPr>
          <w:lang w:val="ca-ES"/>
        </w:rPr>
        <w:t xml:space="preserve"> empres</w:t>
      </w:r>
      <w:r w:rsidR="00A154CB" w:rsidRPr="00FC74AB">
        <w:rPr>
          <w:lang w:val="ca-ES"/>
        </w:rPr>
        <w:t>es</w:t>
      </w:r>
      <w:r w:rsidR="00E83630" w:rsidRPr="00FC74AB">
        <w:rPr>
          <w:lang w:val="ca-ES"/>
        </w:rPr>
        <w:t xml:space="preserve"> d’aigua </w:t>
      </w:r>
      <w:r w:rsidR="00A154CB" w:rsidRPr="00FC74AB">
        <w:rPr>
          <w:lang w:val="ca-ES"/>
        </w:rPr>
        <w:t>transnacionals</w:t>
      </w:r>
      <w:r w:rsidR="00AD53DE" w:rsidRPr="00FC74AB">
        <w:rPr>
          <w:lang w:val="ca-ES"/>
        </w:rPr>
        <w:t>, va ser considerada «desconcertant» per part d’un</w:t>
      </w:r>
      <w:r w:rsidR="007E1393" w:rsidRPr="00FC74AB">
        <w:rPr>
          <w:lang w:val="ca-ES"/>
        </w:rPr>
        <w:t xml:space="preserve"> membre de la comunitat acadèmica</w:t>
      </w:r>
      <w:r w:rsidR="007E1393" w:rsidRPr="00FC74AB">
        <w:rPr>
          <w:kern w:val="0"/>
          <w:lang w:val="ca-ES"/>
        </w:rPr>
        <w:t xml:space="preserve"> </w:t>
      </w:r>
      <w:r w:rsidR="00AD53DE" w:rsidRPr="00FC74AB">
        <w:rPr>
          <w:kern w:val="0"/>
          <w:lang w:val="ca-ES"/>
        </w:rPr>
        <w:t>que</w:t>
      </w:r>
      <w:r w:rsidRPr="00FC74AB">
        <w:rPr>
          <w:lang w:val="ca-ES"/>
        </w:rPr>
        <w:t xml:space="preserve"> </w:t>
      </w:r>
      <w:r w:rsidR="00AD53DE" w:rsidRPr="00FC74AB">
        <w:rPr>
          <w:lang w:val="ca-ES"/>
        </w:rPr>
        <w:t xml:space="preserve">es va sentir </w:t>
      </w:r>
      <w:r w:rsidRPr="00FC74AB">
        <w:rPr>
          <w:lang w:val="ca-ES"/>
        </w:rPr>
        <w:t xml:space="preserve">incòmode per </w:t>
      </w:r>
      <w:r w:rsidR="00AD53DE" w:rsidRPr="00FC74AB">
        <w:rPr>
          <w:lang w:val="ca-ES"/>
        </w:rPr>
        <w:t xml:space="preserve">la </w:t>
      </w:r>
      <w:r w:rsidRPr="00FC74AB">
        <w:rPr>
          <w:lang w:val="ca-ES"/>
        </w:rPr>
        <w:t>possible influència en el contingut d</w:t>
      </w:r>
      <w:r w:rsidR="007E1393" w:rsidRPr="00FC74AB">
        <w:rPr>
          <w:lang w:val="ca-ES"/>
        </w:rPr>
        <w:t xml:space="preserve">e l’observació </w:t>
      </w:r>
      <w:r w:rsidRPr="00FC74AB">
        <w:rPr>
          <w:lang w:val="ca-ES"/>
        </w:rPr>
        <w:t xml:space="preserve">que </w:t>
      </w:r>
      <w:r w:rsidR="00AD53DE" w:rsidRPr="00FC74AB">
        <w:rPr>
          <w:lang w:val="ca-ES"/>
        </w:rPr>
        <w:t xml:space="preserve">hauria pogut </w:t>
      </w:r>
      <w:r w:rsidRPr="00FC74AB">
        <w:rPr>
          <w:lang w:val="ca-ES"/>
        </w:rPr>
        <w:t xml:space="preserve">beneficiar </w:t>
      </w:r>
      <w:r w:rsidR="007E1393" w:rsidRPr="00FC74AB">
        <w:rPr>
          <w:lang w:val="ca-ES"/>
        </w:rPr>
        <w:t>l’</w:t>
      </w:r>
      <w:r w:rsidRPr="00FC74AB">
        <w:rPr>
          <w:lang w:val="ca-ES"/>
        </w:rPr>
        <w:t>empresa com a conseqüència de la consolida</w:t>
      </w:r>
      <w:r w:rsidR="007E1393" w:rsidRPr="00FC74AB">
        <w:rPr>
          <w:lang w:val="ca-ES"/>
        </w:rPr>
        <w:t>ció econòmica relacionada amb l’</w:t>
      </w:r>
      <w:r w:rsidRPr="00FC74AB">
        <w:rPr>
          <w:lang w:val="ca-ES"/>
        </w:rPr>
        <w:t>a</w:t>
      </w:r>
      <w:r w:rsidR="007E1393" w:rsidRPr="00FC74AB">
        <w:rPr>
          <w:lang w:val="ca-ES"/>
        </w:rPr>
        <w:t>justament estructural de sector de l’</w:t>
      </w:r>
      <w:r w:rsidRPr="00FC74AB">
        <w:rPr>
          <w:lang w:val="ca-ES"/>
        </w:rPr>
        <w:t>aigua</w:t>
      </w:r>
      <w:r w:rsidR="007E16DC" w:rsidRPr="00FC74AB">
        <w:rPr>
          <w:rStyle w:val="FootnoteReference"/>
          <w:lang w:val="ca-ES"/>
        </w:rPr>
        <w:footnoteReference w:id="36"/>
      </w:r>
      <w:r w:rsidR="007E16DC" w:rsidRPr="00FC74AB">
        <w:rPr>
          <w:lang w:val="ca-ES"/>
        </w:rPr>
        <w:t xml:space="preserve">. </w:t>
      </w:r>
      <w:r w:rsidRPr="00FC74AB">
        <w:rPr>
          <w:lang w:val="ca-ES"/>
        </w:rPr>
        <w:t xml:space="preserve">El fenomen de la </w:t>
      </w:r>
      <w:r w:rsidR="007E1393" w:rsidRPr="00FC74AB">
        <w:rPr>
          <w:lang w:val="ca-ES"/>
        </w:rPr>
        <w:t>«</w:t>
      </w:r>
      <w:r w:rsidRPr="00FC74AB">
        <w:rPr>
          <w:lang w:val="ca-ES"/>
        </w:rPr>
        <w:t>porta giratòria</w:t>
      </w:r>
      <w:r w:rsidR="007E1393" w:rsidRPr="00FC74AB">
        <w:rPr>
          <w:lang w:val="ca-ES"/>
        </w:rPr>
        <w:t>»</w:t>
      </w:r>
      <w:r w:rsidRPr="00FC74AB">
        <w:rPr>
          <w:lang w:val="ca-ES"/>
        </w:rPr>
        <w:t xml:space="preserve"> </w:t>
      </w:r>
      <w:r w:rsidR="007E1393" w:rsidRPr="00FC74AB">
        <w:rPr>
          <w:lang w:val="ca-ES"/>
        </w:rPr>
        <w:t>al sector de l’aigua i el s</w:t>
      </w:r>
      <w:r w:rsidRPr="00FC74AB">
        <w:rPr>
          <w:lang w:val="ca-ES"/>
        </w:rPr>
        <w:t xml:space="preserve">anejament també és ben conegut, ja que els càrrecs executius de grans empreses </w:t>
      </w:r>
      <w:r w:rsidR="007E1393" w:rsidRPr="00FC74AB">
        <w:rPr>
          <w:lang w:val="ca-ES"/>
        </w:rPr>
        <w:t>són les mateixes persones que s’</w:t>
      </w:r>
      <w:r w:rsidRPr="00FC74AB">
        <w:rPr>
          <w:lang w:val="ca-ES"/>
        </w:rPr>
        <w:t>encarreguen de l</w:t>
      </w:r>
      <w:r w:rsidR="00E83630" w:rsidRPr="00FC74AB">
        <w:rPr>
          <w:lang w:val="ca-ES"/>
        </w:rPr>
        <w:t xml:space="preserve">’elaboració </w:t>
      </w:r>
      <w:r w:rsidRPr="00FC74AB">
        <w:rPr>
          <w:lang w:val="ca-ES"/>
        </w:rPr>
        <w:t>de polítiques</w:t>
      </w:r>
      <w:r w:rsidR="00E83630" w:rsidRPr="00FC74AB">
        <w:rPr>
          <w:lang w:val="ca-ES"/>
        </w:rPr>
        <w:t xml:space="preserve"> a </w:t>
      </w:r>
      <w:r w:rsidRPr="00FC74AB">
        <w:rPr>
          <w:lang w:val="ca-ES"/>
        </w:rPr>
        <w:t>alt nivell</w:t>
      </w:r>
      <w:r w:rsidR="007E16DC" w:rsidRPr="00FC74AB">
        <w:rPr>
          <w:rStyle w:val="FootnoteReference"/>
          <w:lang w:val="ca-ES"/>
        </w:rPr>
        <w:footnoteReference w:id="37"/>
      </w:r>
      <w:r w:rsidR="007E16DC" w:rsidRPr="00FC74AB">
        <w:rPr>
          <w:lang w:val="ca-ES"/>
        </w:rPr>
        <w:t>.</w:t>
      </w:r>
    </w:p>
    <w:p w14:paraId="09F55B6F" w14:textId="5959956E" w:rsidR="007E16DC" w:rsidRPr="00FC74AB" w:rsidRDefault="0009482C" w:rsidP="00E83630">
      <w:pPr>
        <w:pStyle w:val="SingleTxt"/>
        <w:numPr>
          <w:ilvl w:val="2"/>
          <w:numId w:val="49"/>
        </w:numPr>
        <w:spacing w:line="240" w:lineRule="atLeast"/>
        <w:ind w:left="1267" w:firstLine="0"/>
        <w:rPr>
          <w:lang w:val="ca-ES"/>
        </w:rPr>
      </w:pPr>
      <w:r w:rsidRPr="00FC74AB">
        <w:rPr>
          <w:lang w:val="ca-ES"/>
        </w:rPr>
        <w:t xml:space="preserve">Tots aquests factors relacionats amb l’asimetria de poder, de manera simultània, </w:t>
      </w:r>
      <w:r w:rsidR="00E83630" w:rsidRPr="00FC74AB">
        <w:rPr>
          <w:lang w:val="ca-ES"/>
        </w:rPr>
        <w:t xml:space="preserve">donen poder </w:t>
      </w:r>
      <w:r w:rsidRPr="00FC74AB">
        <w:rPr>
          <w:lang w:val="ca-ES"/>
        </w:rPr>
        <w:t>a les entitats del sector privat, poden donar lloc a un conflicte d'interessos i permeten la influència excessiva dels grups de pressió empresarials en la regulació del que hauria ser un bé social i cultural enlloc d'un bé econòmic</w:t>
      </w:r>
      <w:r w:rsidR="007E16DC" w:rsidRPr="00FC74AB">
        <w:rPr>
          <w:lang w:val="ca-ES"/>
        </w:rPr>
        <w:t>.</w:t>
      </w:r>
    </w:p>
    <w:p w14:paraId="24C17164" w14:textId="77777777" w:rsidR="007E16DC" w:rsidRPr="00FC74AB" w:rsidRDefault="007E16DC" w:rsidP="007E16DC">
      <w:pPr>
        <w:pStyle w:val="SingleTxt"/>
        <w:spacing w:after="0" w:line="120" w:lineRule="exact"/>
        <w:rPr>
          <w:sz w:val="10"/>
          <w:lang w:val="ca-ES"/>
        </w:rPr>
      </w:pPr>
    </w:p>
    <w:p w14:paraId="2C27C86B" w14:textId="77777777" w:rsidR="007E16DC" w:rsidRPr="00FC74AB" w:rsidRDefault="007E16DC" w:rsidP="007E16DC">
      <w:pPr>
        <w:pStyle w:val="SingleTxt"/>
        <w:spacing w:after="0" w:line="120" w:lineRule="exact"/>
        <w:rPr>
          <w:sz w:val="10"/>
          <w:lang w:val="ca-ES"/>
        </w:rPr>
      </w:pPr>
    </w:p>
    <w:p w14:paraId="0D408877" w14:textId="57F70FD7" w:rsidR="007E16DC" w:rsidRPr="00FC74AB" w:rsidRDefault="007E16DC" w:rsidP="00DC2D3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59" w:hanging="1264"/>
        <w:rPr>
          <w:lang w:val="ca-ES"/>
        </w:rPr>
      </w:pPr>
      <w:r w:rsidRPr="00FC74AB">
        <w:rPr>
          <w:lang w:val="ca-ES"/>
        </w:rPr>
        <w:tab/>
        <w:t>IV.</w:t>
      </w:r>
      <w:r w:rsidRPr="00FC74AB">
        <w:rPr>
          <w:lang w:val="ca-ES"/>
        </w:rPr>
        <w:tab/>
      </w:r>
      <w:r w:rsidR="00E037E5" w:rsidRPr="00FC74AB">
        <w:rPr>
          <w:lang w:val="ca-ES"/>
        </w:rPr>
        <w:t>Riscos de la privatització per als drets humans</w:t>
      </w:r>
    </w:p>
    <w:p w14:paraId="7FBFFDAA" w14:textId="77777777" w:rsidR="007E16DC" w:rsidRPr="00FC74AB" w:rsidRDefault="007E16DC" w:rsidP="007E16DC">
      <w:pPr>
        <w:pStyle w:val="SingleTxt"/>
        <w:keepNext/>
        <w:keepLines/>
        <w:spacing w:after="0" w:line="120" w:lineRule="exact"/>
        <w:ind w:left="1264"/>
        <w:rPr>
          <w:sz w:val="10"/>
          <w:lang w:val="ca-ES"/>
        </w:rPr>
      </w:pPr>
    </w:p>
    <w:p w14:paraId="03736B0E" w14:textId="77777777" w:rsidR="007E16DC" w:rsidRPr="00FC74AB" w:rsidRDefault="007E16DC" w:rsidP="007E16DC">
      <w:pPr>
        <w:pStyle w:val="SingleTxt"/>
        <w:keepNext/>
        <w:keepLines/>
        <w:spacing w:after="0" w:line="120" w:lineRule="exact"/>
        <w:ind w:left="1264"/>
        <w:rPr>
          <w:sz w:val="10"/>
          <w:lang w:val="ca-ES"/>
        </w:rPr>
      </w:pPr>
    </w:p>
    <w:p w14:paraId="7DDEBB25" w14:textId="25A9FAD6" w:rsidR="007E16DC" w:rsidRPr="00FC74AB" w:rsidRDefault="00192568" w:rsidP="00E85790">
      <w:pPr>
        <w:pStyle w:val="SingleTxt"/>
        <w:keepNext/>
        <w:keepLines/>
        <w:numPr>
          <w:ilvl w:val="2"/>
          <w:numId w:val="49"/>
        </w:numPr>
        <w:spacing w:line="240" w:lineRule="atLeast"/>
        <w:ind w:left="1264" w:firstLine="0"/>
        <w:rPr>
          <w:spacing w:val="3"/>
          <w:w w:val="102"/>
          <w:lang w:val="ca-ES"/>
        </w:rPr>
      </w:pPr>
      <w:r w:rsidRPr="00FC74AB">
        <w:rPr>
          <w:lang w:val="ca-ES"/>
        </w:rPr>
        <w:t>El marc</w:t>
      </w:r>
      <w:r w:rsidR="007E16DC" w:rsidRPr="00FC74AB">
        <w:rPr>
          <w:lang w:val="ca-ES"/>
        </w:rPr>
        <w:t xml:space="preserve"> conceptual que s</w:t>
      </w:r>
      <w:r w:rsidRPr="00FC74AB">
        <w:rPr>
          <w:lang w:val="ca-ES"/>
        </w:rPr>
        <w:t xml:space="preserve">’ha </w:t>
      </w:r>
      <w:r w:rsidR="007E16DC" w:rsidRPr="00FC74AB">
        <w:rPr>
          <w:lang w:val="ca-ES"/>
        </w:rPr>
        <w:t>present</w:t>
      </w:r>
      <w:r w:rsidRPr="00FC74AB">
        <w:rPr>
          <w:lang w:val="ca-ES"/>
        </w:rPr>
        <w:t>at a l’</w:t>
      </w:r>
      <w:r w:rsidR="007E16DC" w:rsidRPr="00FC74AB">
        <w:rPr>
          <w:lang w:val="ca-ES"/>
        </w:rPr>
        <w:t>aparta</w:t>
      </w:r>
      <w:r w:rsidRPr="00FC74AB">
        <w:rPr>
          <w:lang w:val="ca-ES"/>
        </w:rPr>
        <w:t>t</w:t>
      </w:r>
      <w:r w:rsidR="007E16DC" w:rsidRPr="00FC74AB">
        <w:rPr>
          <w:lang w:val="ca-ES"/>
        </w:rPr>
        <w:t xml:space="preserve"> anterior </w:t>
      </w:r>
      <w:r w:rsidRPr="00FC74AB">
        <w:rPr>
          <w:lang w:val="ca-ES"/>
        </w:rPr>
        <w:t>ass</w:t>
      </w:r>
      <w:r w:rsidR="007E16DC" w:rsidRPr="00FC74AB">
        <w:rPr>
          <w:lang w:val="ca-ES"/>
        </w:rPr>
        <w:t>enta</w:t>
      </w:r>
      <w:r w:rsidR="00B3113E" w:rsidRPr="00FC74AB">
        <w:rPr>
          <w:lang w:val="ca-ES"/>
        </w:rPr>
        <w:t xml:space="preserve"> les </w:t>
      </w:r>
      <w:r w:rsidRPr="00FC74AB">
        <w:rPr>
          <w:lang w:val="ca-ES"/>
        </w:rPr>
        <w:t>bases per</w:t>
      </w:r>
      <w:r w:rsidR="007E16DC" w:rsidRPr="00FC74AB">
        <w:rPr>
          <w:lang w:val="ca-ES"/>
        </w:rPr>
        <w:t xml:space="preserve"> afirmar que la </w:t>
      </w:r>
      <w:r w:rsidR="007E4E7F" w:rsidRPr="00FC74AB">
        <w:rPr>
          <w:lang w:val="ca-ES"/>
        </w:rPr>
        <w:t>privatització</w:t>
      </w:r>
      <w:r w:rsidR="007E16DC" w:rsidRPr="00FC74AB">
        <w:rPr>
          <w:lang w:val="ca-ES"/>
        </w:rPr>
        <w:t xml:space="preserve"> del sector de</w:t>
      </w:r>
      <w:r w:rsidRPr="00FC74AB">
        <w:rPr>
          <w:lang w:val="ca-ES"/>
        </w:rPr>
        <w:t xml:space="preserve"> </w:t>
      </w:r>
      <w:r w:rsidR="007E16DC" w:rsidRPr="00FC74AB">
        <w:rPr>
          <w:lang w:val="ca-ES"/>
        </w:rPr>
        <w:t>l</w:t>
      </w:r>
      <w:r w:rsidRPr="00FC74AB">
        <w:rPr>
          <w:lang w:val="ca-ES"/>
        </w:rPr>
        <w:t>’</w:t>
      </w:r>
      <w:r w:rsidR="007E16DC" w:rsidRPr="00FC74AB">
        <w:rPr>
          <w:lang w:val="ca-ES"/>
        </w:rPr>
        <w:t>a</w:t>
      </w:r>
      <w:r w:rsidRPr="00FC74AB">
        <w:rPr>
          <w:lang w:val="ca-ES"/>
        </w:rPr>
        <w:t>i</w:t>
      </w:r>
      <w:r w:rsidR="007E16DC" w:rsidRPr="00FC74AB">
        <w:rPr>
          <w:lang w:val="ca-ES"/>
        </w:rPr>
        <w:t>gua</w:t>
      </w:r>
      <w:r w:rsidR="007E4E7F" w:rsidRPr="00FC74AB">
        <w:rPr>
          <w:lang w:val="ca-ES"/>
        </w:rPr>
        <w:t xml:space="preserve"> i </w:t>
      </w:r>
      <w:r w:rsidR="007E16DC" w:rsidRPr="00FC74AB">
        <w:rPr>
          <w:lang w:val="ca-ES"/>
        </w:rPr>
        <w:t xml:space="preserve">el </w:t>
      </w:r>
      <w:r w:rsidR="007E4E7F" w:rsidRPr="00FC74AB">
        <w:rPr>
          <w:lang w:val="ca-ES"/>
        </w:rPr>
        <w:t>sanejament</w:t>
      </w:r>
      <w:r w:rsidR="007E16DC" w:rsidRPr="00FC74AB">
        <w:rPr>
          <w:lang w:val="ca-ES"/>
        </w:rPr>
        <w:t xml:space="preserve"> </w:t>
      </w:r>
      <w:r w:rsidRPr="00FC74AB">
        <w:rPr>
          <w:lang w:val="ca-ES"/>
        </w:rPr>
        <w:t xml:space="preserve">implica un </w:t>
      </w:r>
      <w:r w:rsidR="00CC3B67" w:rsidRPr="00FC74AB">
        <w:rPr>
          <w:lang w:val="ca-ES"/>
        </w:rPr>
        <w:t xml:space="preserve">conjunt determinat </w:t>
      </w:r>
      <w:r w:rsidR="007E16DC" w:rsidRPr="00FC74AB">
        <w:rPr>
          <w:lang w:val="ca-ES"/>
        </w:rPr>
        <w:t>de ri</w:t>
      </w:r>
      <w:r w:rsidRPr="00FC74AB">
        <w:rPr>
          <w:lang w:val="ca-ES"/>
        </w:rPr>
        <w:t>scos per a l’exercici efectiu</w:t>
      </w:r>
      <w:r w:rsidR="007E16DC"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Pr="00FC74AB">
        <w:rPr>
          <w:lang w:val="ca-ES"/>
        </w:rPr>
        <w:t>. Les forme</w:t>
      </w:r>
      <w:r w:rsidR="007E16DC" w:rsidRPr="00FC74AB">
        <w:rPr>
          <w:lang w:val="ca-ES"/>
        </w:rPr>
        <w:t xml:space="preserve">s </w:t>
      </w:r>
      <w:r w:rsidRPr="00FC74AB">
        <w:rPr>
          <w:lang w:val="ca-ES"/>
        </w:rPr>
        <w:t>concretes en què aquests riscos poden</w:t>
      </w:r>
      <w:r w:rsidR="007E16DC" w:rsidRPr="00FC74AB">
        <w:rPr>
          <w:lang w:val="ca-ES"/>
        </w:rPr>
        <w:t xml:space="preserve"> afectar </w:t>
      </w:r>
      <w:r w:rsidR="009A31D3" w:rsidRPr="00FC74AB">
        <w:rPr>
          <w:lang w:val="ca-ES"/>
        </w:rPr>
        <w:t>als</w:t>
      </w:r>
      <w:r w:rsidR="005214BF" w:rsidRPr="00FC74AB">
        <w:rPr>
          <w:lang w:val="ca-ES"/>
        </w:rPr>
        <w:t xml:space="preserve"> </w:t>
      </w:r>
      <w:r w:rsidRPr="00FC74AB">
        <w:rPr>
          <w:lang w:val="ca-ES"/>
        </w:rPr>
        <w:t>titulars de d</w:t>
      </w:r>
      <w:r w:rsidR="007E16DC" w:rsidRPr="00FC74AB">
        <w:rPr>
          <w:lang w:val="ca-ES"/>
        </w:rPr>
        <w:t>re</w:t>
      </w:r>
      <w:r w:rsidRPr="00FC74AB">
        <w:rPr>
          <w:lang w:val="ca-ES"/>
        </w:rPr>
        <w:t>t</w:t>
      </w:r>
      <w:r w:rsidR="007E16DC" w:rsidRPr="00FC74AB">
        <w:rPr>
          <w:lang w:val="ca-ES"/>
        </w:rPr>
        <w:t>s mere</w:t>
      </w:r>
      <w:r w:rsidRPr="00FC74AB">
        <w:rPr>
          <w:lang w:val="ca-ES"/>
        </w:rPr>
        <w:t>ix</w:t>
      </w:r>
      <w:r w:rsidR="007E16DC" w:rsidRPr="00FC74AB">
        <w:rPr>
          <w:lang w:val="ca-ES"/>
        </w:rPr>
        <w:t>en un</w:t>
      </w:r>
      <w:r w:rsidRPr="00FC74AB">
        <w:rPr>
          <w:lang w:val="ca-ES"/>
        </w:rPr>
        <w:t>a anà</w:t>
      </w:r>
      <w:r w:rsidR="007E16DC" w:rsidRPr="00FC74AB">
        <w:rPr>
          <w:lang w:val="ca-ES"/>
        </w:rPr>
        <w:t>lisi exhaustiv</w:t>
      </w:r>
      <w:r w:rsidRPr="00FC74AB">
        <w:rPr>
          <w:lang w:val="ca-ES"/>
        </w:rPr>
        <w:t>a</w:t>
      </w:r>
      <w:r w:rsidR="007E16DC" w:rsidRPr="00FC74AB">
        <w:rPr>
          <w:lang w:val="ca-ES"/>
        </w:rPr>
        <w:t xml:space="preserve"> </w:t>
      </w:r>
      <w:r w:rsidRPr="00FC74AB">
        <w:rPr>
          <w:lang w:val="ca-ES"/>
        </w:rPr>
        <w:t>per tal d’</w:t>
      </w:r>
      <w:r w:rsidR="007E16DC" w:rsidRPr="00FC74AB">
        <w:rPr>
          <w:lang w:val="ca-ES"/>
        </w:rPr>
        <w:t xml:space="preserve">avaluar si </w:t>
      </w:r>
      <w:r w:rsidRPr="00FC74AB">
        <w:rPr>
          <w:lang w:val="ca-ES"/>
        </w:rPr>
        <w:t xml:space="preserve">podrien </w:t>
      </w:r>
      <w:r w:rsidR="00E85790" w:rsidRPr="00FC74AB">
        <w:rPr>
          <w:lang w:val="ca-ES"/>
        </w:rPr>
        <w:t>conduir a un incompliment de</w:t>
      </w:r>
      <w:r w:rsidRPr="00FC74AB">
        <w:rPr>
          <w:lang w:val="ca-ES"/>
        </w:rPr>
        <w:t xml:space="preserve"> les obligacions dels Estats d</w:t>
      </w:r>
      <w:r w:rsidR="00E85790" w:rsidRPr="00FC74AB">
        <w:rPr>
          <w:lang w:val="ca-ES"/>
        </w:rPr>
        <w:t xml:space="preserve">e no prendre </w:t>
      </w:r>
      <w:r w:rsidRPr="00FC74AB">
        <w:rPr>
          <w:lang w:val="ca-ES"/>
        </w:rPr>
        <w:t xml:space="preserve">mesures regressives i d’impedir </w:t>
      </w:r>
      <w:r w:rsidR="00E85790" w:rsidRPr="00FC74AB">
        <w:rPr>
          <w:lang w:val="ca-ES"/>
        </w:rPr>
        <w:t>que</w:t>
      </w:r>
      <w:r w:rsidRPr="00FC74AB">
        <w:rPr>
          <w:lang w:val="ca-ES"/>
        </w:rPr>
        <w:t xml:space="preserve"> tercers interfer</w:t>
      </w:r>
      <w:r w:rsidR="00E85790" w:rsidRPr="00FC74AB">
        <w:rPr>
          <w:lang w:val="ca-ES"/>
        </w:rPr>
        <w:t xml:space="preserve">eixin </w:t>
      </w:r>
      <w:r w:rsidRPr="00FC74AB">
        <w:rPr>
          <w:lang w:val="ca-ES"/>
        </w:rPr>
        <w:t xml:space="preserve">negativament en els drets humans a l’aigua i el sanejament. </w:t>
      </w:r>
      <w:r w:rsidR="00613ACF" w:rsidRPr="00FC74AB">
        <w:rPr>
          <w:lang w:val="ca-ES"/>
        </w:rPr>
        <w:t xml:space="preserve">Tal i com </w:t>
      </w:r>
      <w:r w:rsidRPr="00FC74AB">
        <w:rPr>
          <w:lang w:val="ca-ES"/>
        </w:rPr>
        <w:t xml:space="preserve">es defineix clarament en </w:t>
      </w:r>
      <w:r w:rsidR="00613ACF" w:rsidRPr="00FC74AB">
        <w:rPr>
          <w:lang w:val="ca-ES"/>
        </w:rPr>
        <w:t xml:space="preserve">la legislació </w:t>
      </w:r>
      <w:r w:rsidR="009F0184" w:rsidRPr="00FC74AB">
        <w:rPr>
          <w:lang w:val="ca-ES"/>
        </w:rPr>
        <w:t>sobre</w:t>
      </w:r>
      <w:r w:rsidR="00666085" w:rsidRPr="00FC74AB">
        <w:rPr>
          <w:lang w:val="ca-ES"/>
        </w:rPr>
        <w:t xml:space="preserve"> </w:t>
      </w:r>
      <w:r w:rsidR="009F0184" w:rsidRPr="00FC74AB">
        <w:rPr>
          <w:lang w:val="ca-ES"/>
        </w:rPr>
        <w:t>e</w:t>
      </w:r>
      <w:r w:rsidR="00666085" w:rsidRPr="00FC74AB">
        <w:rPr>
          <w:lang w:val="ca-ES"/>
        </w:rPr>
        <w:t>ls</w:t>
      </w:r>
      <w:r w:rsidR="00613ACF" w:rsidRPr="00FC74AB">
        <w:rPr>
          <w:lang w:val="ca-ES"/>
        </w:rPr>
        <w:t xml:space="preserve"> drets humans,</w:t>
      </w:r>
      <w:r w:rsidRPr="00FC74AB">
        <w:rPr>
          <w:lang w:val="ca-ES"/>
        </w:rPr>
        <w:t xml:space="preserve"> un retrocés injustificat en</w:t>
      </w:r>
      <w:r w:rsidR="00613ACF" w:rsidRPr="00FC74AB">
        <w:rPr>
          <w:lang w:val="ca-ES"/>
        </w:rPr>
        <w:t xml:space="preserve"> el seu </w:t>
      </w:r>
      <w:r w:rsidRPr="00FC74AB">
        <w:rPr>
          <w:lang w:val="ca-ES"/>
        </w:rPr>
        <w:t>exercici efectiu en constitueix una violació.</w:t>
      </w:r>
      <w:r w:rsidR="007E16DC" w:rsidRPr="00FC74AB">
        <w:rPr>
          <w:rStyle w:val="FootnoteReference"/>
          <w:spacing w:val="3"/>
          <w:w w:val="102"/>
          <w:lang w:val="ca-ES"/>
        </w:rPr>
        <w:footnoteReference w:id="38"/>
      </w:r>
      <w:r w:rsidR="007E16DC" w:rsidRPr="00FC74AB">
        <w:rPr>
          <w:lang w:val="ca-ES"/>
        </w:rPr>
        <w:t xml:space="preserve">. </w:t>
      </w:r>
      <w:r w:rsidR="0048735E" w:rsidRPr="00FC74AB">
        <w:rPr>
          <w:lang w:val="ca-ES"/>
        </w:rPr>
        <w:t>Aquesta secció</w:t>
      </w:r>
      <w:r w:rsidR="00424AE4" w:rsidRPr="00FC74AB">
        <w:rPr>
          <w:lang w:val="ca-ES"/>
        </w:rPr>
        <w:t xml:space="preserve"> tracta </w:t>
      </w:r>
      <w:r w:rsidR="00195395" w:rsidRPr="00FC74AB">
        <w:rPr>
          <w:lang w:val="ca-ES"/>
        </w:rPr>
        <w:t>els riscos</w:t>
      </w:r>
      <w:r w:rsidR="007E16DC" w:rsidRPr="00FC74AB">
        <w:rPr>
          <w:lang w:val="ca-ES"/>
        </w:rPr>
        <w:t xml:space="preserve"> </w:t>
      </w:r>
      <w:r w:rsidR="0048735E" w:rsidRPr="00FC74AB">
        <w:rPr>
          <w:lang w:val="ca-ES"/>
        </w:rPr>
        <w:t>més importants, les seves causes i conseqüències</w:t>
      </w:r>
      <w:r w:rsidR="007E16DC" w:rsidRPr="00FC74AB">
        <w:rPr>
          <w:lang w:val="ca-ES"/>
        </w:rPr>
        <w:t>.</w:t>
      </w:r>
    </w:p>
    <w:p w14:paraId="64BE6A15" w14:textId="77777777" w:rsidR="007E16DC" w:rsidRPr="00FC74AB" w:rsidRDefault="007E16DC" w:rsidP="007E16DC">
      <w:pPr>
        <w:pStyle w:val="SingleTxt"/>
        <w:spacing w:after="0" w:line="120" w:lineRule="exact"/>
        <w:rPr>
          <w:sz w:val="10"/>
          <w:lang w:val="ca-ES"/>
        </w:rPr>
      </w:pPr>
    </w:p>
    <w:p w14:paraId="77F89A57" w14:textId="77777777" w:rsidR="007E16DC" w:rsidRPr="00FC74AB" w:rsidRDefault="007E16DC" w:rsidP="007E16DC">
      <w:pPr>
        <w:pStyle w:val="SingleTxt"/>
        <w:spacing w:after="0" w:line="120" w:lineRule="exact"/>
        <w:rPr>
          <w:sz w:val="10"/>
          <w:lang w:val="ca-ES"/>
        </w:rPr>
      </w:pPr>
    </w:p>
    <w:p w14:paraId="1745FF55" w14:textId="0508B904" w:rsidR="007E16DC" w:rsidRPr="00FC74AB" w:rsidRDefault="007E16DC" w:rsidP="003654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sidRPr="00FC74AB">
        <w:rPr>
          <w:lang w:val="ca-ES"/>
        </w:rPr>
        <w:tab/>
        <w:t>A.</w:t>
      </w:r>
      <w:r w:rsidRPr="00FC74AB">
        <w:rPr>
          <w:lang w:val="ca-ES"/>
        </w:rPr>
        <w:tab/>
      </w:r>
      <w:r w:rsidR="00613ACF" w:rsidRPr="00FC74AB">
        <w:rPr>
          <w:lang w:val="ca-ES"/>
        </w:rPr>
        <w:t>Ú</w:t>
      </w:r>
      <w:r w:rsidR="003654F2" w:rsidRPr="00FC74AB">
        <w:rPr>
          <w:lang w:val="ca-ES"/>
        </w:rPr>
        <w:t>s del màxim de</w:t>
      </w:r>
      <w:r w:rsidR="007E4E7F" w:rsidRPr="00FC74AB">
        <w:rPr>
          <w:lang w:val="ca-ES"/>
        </w:rPr>
        <w:t xml:space="preserve"> recursos disponibles</w:t>
      </w:r>
    </w:p>
    <w:p w14:paraId="73611FF1" w14:textId="77777777" w:rsidR="007E16DC" w:rsidRPr="00FC74AB" w:rsidRDefault="007E16DC" w:rsidP="007E16DC">
      <w:pPr>
        <w:pStyle w:val="SingleTxt"/>
        <w:spacing w:after="0" w:line="120" w:lineRule="exact"/>
        <w:rPr>
          <w:sz w:val="10"/>
          <w:lang w:val="ca-ES"/>
        </w:rPr>
      </w:pPr>
    </w:p>
    <w:p w14:paraId="70134600" w14:textId="77777777" w:rsidR="007E16DC" w:rsidRPr="00FC74AB" w:rsidRDefault="007E16DC" w:rsidP="007E16DC">
      <w:pPr>
        <w:pStyle w:val="SingleTxt"/>
        <w:spacing w:after="0" w:line="120" w:lineRule="exact"/>
        <w:rPr>
          <w:sz w:val="10"/>
          <w:lang w:val="ca-ES"/>
        </w:rPr>
      </w:pPr>
    </w:p>
    <w:p w14:paraId="2E716C1B" w14:textId="7585DF6A" w:rsidR="007E16DC" w:rsidRPr="00FC74AB" w:rsidRDefault="0048735E" w:rsidP="003F2D9A">
      <w:pPr>
        <w:pStyle w:val="SingleTxt"/>
        <w:numPr>
          <w:ilvl w:val="2"/>
          <w:numId w:val="49"/>
        </w:numPr>
        <w:spacing w:line="240" w:lineRule="atLeast"/>
        <w:ind w:left="1267" w:firstLine="0"/>
        <w:rPr>
          <w:lang w:val="ca-ES"/>
        </w:rPr>
      </w:pPr>
      <w:r w:rsidRPr="00FC74AB">
        <w:rPr>
          <w:lang w:val="ca-ES"/>
        </w:rPr>
        <w:t xml:space="preserve">En virtut de l’article 2 del Pacte Internacional dels Drets Econòmics, Socials i Culturals, els Estats parts tenen l’obligació de fer </w:t>
      </w:r>
      <w:r w:rsidR="00666085" w:rsidRPr="00FC74AB">
        <w:rPr>
          <w:lang w:val="ca-ES"/>
        </w:rPr>
        <w:t xml:space="preserve">efectius </w:t>
      </w:r>
      <w:r w:rsidRPr="00FC74AB">
        <w:rPr>
          <w:lang w:val="ca-ES"/>
        </w:rPr>
        <w:t xml:space="preserve">els drets que s’hi enuncien </w:t>
      </w:r>
      <w:r w:rsidR="009F0184" w:rsidRPr="00FC74AB">
        <w:rPr>
          <w:lang w:val="ca-ES"/>
        </w:rPr>
        <w:t xml:space="preserve">de manera progressiva i </w:t>
      </w:r>
      <w:r w:rsidRPr="00FC74AB">
        <w:rPr>
          <w:lang w:val="ca-ES"/>
        </w:rPr>
        <w:t xml:space="preserve">utilitzant </w:t>
      </w:r>
      <w:r w:rsidR="003F2D9A" w:rsidRPr="00FC74AB">
        <w:rPr>
          <w:lang w:val="ca-ES"/>
        </w:rPr>
        <w:t xml:space="preserve">tots </w:t>
      </w:r>
      <w:r w:rsidRPr="00FC74AB">
        <w:rPr>
          <w:lang w:val="ca-ES"/>
        </w:rPr>
        <w:t>els recursos al seu abast</w:t>
      </w:r>
      <w:r w:rsidR="007E16DC" w:rsidRPr="00FC74AB">
        <w:rPr>
          <w:rStyle w:val="FootnoteReference"/>
          <w:lang w:val="ca-ES"/>
        </w:rPr>
        <w:footnoteReference w:id="39"/>
      </w:r>
      <w:r w:rsidR="007E16DC" w:rsidRPr="00FC74AB">
        <w:rPr>
          <w:lang w:val="ca-ES"/>
        </w:rPr>
        <w:t xml:space="preserve">. </w:t>
      </w:r>
      <w:r w:rsidRPr="00FC74AB">
        <w:rPr>
          <w:lang w:val="ca-ES"/>
        </w:rPr>
        <w:t>Tenint en compte que les deficiències en l’accés als serveis públics afecten majoritàriament a les persones que viuen en condicions de vulnerabilitat, aquesta obligació s’ha d’interpretar en relació amb el principi d’igualtat i no discriminació, que exigeix als Estats que identifiquin i mobilitzin tots els recursos disponibles i els destinin als més desafavorits. L’incompliment</w:t>
      </w:r>
      <w:r w:rsidR="007E16DC" w:rsidRPr="00FC74AB">
        <w:rPr>
          <w:lang w:val="ca-ES"/>
        </w:rPr>
        <w:t xml:space="preserve"> d</w:t>
      </w:r>
      <w:r w:rsidRPr="00FC74AB">
        <w:rPr>
          <w:lang w:val="ca-ES"/>
        </w:rPr>
        <w:t>’aqu</w:t>
      </w:r>
      <w:r w:rsidR="007E16DC" w:rsidRPr="00FC74AB">
        <w:rPr>
          <w:lang w:val="ca-ES"/>
        </w:rPr>
        <w:t xml:space="preserve">esta </w:t>
      </w:r>
      <w:r w:rsidRPr="00FC74AB">
        <w:rPr>
          <w:lang w:val="ca-ES"/>
        </w:rPr>
        <w:t>obligació</w:t>
      </w:r>
      <w:r w:rsidR="007E16DC" w:rsidRPr="00FC74AB">
        <w:rPr>
          <w:lang w:val="ca-ES"/>
        </w:rPr>
        <w:t xml:space="preserve"> </w:t>
      </w:r>
      <w:r w:rsidR="000F45F5" w:rsidRPr="00FC74AB">
        <w:rPr>
          <w:lang w:val="ca-ES"/>
        </w:rPr>
        <w:t xml:space="preserve">es pot deure </w:t>
      </w:r>
      <w:r w:rsidRPr="00FC74AB">
        <w:rPr>
          <w:lang w:val="ca-ES"/>
        </w:rPr>
        <w:t>tant</w:t>
      </w:r>
      <w:r w:rsidR="007E16DC" w:rsidRPr="00FC74AB">
        <w:rPr>
          <w:lang w:val="ca-ES"/>
        </w:rPr>
        <w:t xml:space="preserve"> </w:t>
      </w:r>
      <w:r w:rsidR="007D5B26" w:rsidRPr="00FC74AB">
        <w:rPr>
          <w:lang w:val="ca-ES"/>
        </w:rPr>
        <w:t>perquè</w:t>
      </w:r>
      <w:r w:rsidR="007E16DC" w:rsidRPr="00FC74AB">
        <w:rPr>
          <w:lang w:val="ca-ES"/>
        </w:rPr>
        <w:t xml:space="preserve"> no </w:t>
      </w:r>
      <w:r w:rsidRPr="00FC74AB">
        <w:rPr>
          <w:lang w:val="ca-ES"/>
        </w:rPr>
        <w:t>e</w:t>
      </w:r>
      <w:r w:rsidR="007E16DC" w:rsidRPr="00FC74AB">
        <w:rPr>
          <w:lang w:val="ca-ES"/>
        </w:rPr>
        <w:t>s</w:t>
      </w:r>
      <w:r w:rsidRPr="00FC74AB">
        <w:rPr>
          <w:lang w:val="ca-ES"/>
        </w:rPr>
        <w:t xml:space="preserve"> compleix </w:t>
      </w:r>
      <w:r w:rsidR="007E16DC" w:rsidRPr="00FC74AB">
        <w:rPr>
          <w:lang w:val="ca-ES"/>
        </w:rPr>
        <w:t>el principi d</w:t>
      </w:r>
      <w:r w:rsidRPr="00FC74AB">
        <w:rPr>
          <w:lang w:val="ca-ES"/>
        </w:rPr>
        <w:t>’</w:t>
      </w:r>
      <w:r w:rsidR="007E16DC" w:rsidRPr="00FC74AB">
        <w:rPr>
          <w:lang w:val="ca-ES"/>
        </w:rPr>
        <w:t>as</w:t>
      </w:r>
      <w:r w:rsidRPr="00FC74AB">
        <w:rPr>
          <w:lang w:val="ca-ES"/>
        </w:rPr>
        <w:t>signació</w:t>
      </w:r>
      <w:r w:rsidR="007E16DC" w:rsidRPr="00FC74AB">
        <w:rPr>
          <w:lang w:val="ca-ES"/>
        </w:rPr>
        <w:t xml:space="preserve"> de recursos, </w:t>
      </w:r>
      <w:r w:rsidRPr="00FC74AB">
        <w:rPr>
          <w:lang w:val="ca-ES"/>
        </w:rPr>
        <w:t>per exemple</w:t>
      </w:r>
      <w:r w:rsidR="007E16DC" w:rsidRPr="00FC74AB">
        <w:rPr>
          <w:lang w:val="ca-ES"/>
        </w:rPr>
        <w:t xml:space="preserve"> a causa d</w:t>
      </w:r>
      <w:r w:rsidRPr="00FC74AB">
        <w:rPr>
          <w:lang w:val="ca-ES"/>
        </w:rPr>
        <w:t>’</w:t>
      </w:r>
      <w:r w:rsidR="007E16DC" w:rsidRPr="00FC74AB">
        <w:rPr>
          <w:lang w:val="ca-ES"/>
        </w:rPr>
        <w:t>un pre</w:t>
      </w:r>
      <w:r w:rsidRPr="00FC74AB">
        <w:rPr>
          <w:lang w:val="ca-ES"/>
        </w:rPr>
        <w:t>ssupost insuficient</w:t>
      </w:r>
      <w:r w:rsidR="007E16DC" w:rsidRPr="00FC74AB">
        <w:rPr>
          <w:lang w:val="ca-ES"/>
        </w:rPr>
        <w:t xml:space="preserve">, com </w:t>
      </w:r>
      <w:r w:rsidR="000F45F5" w:rsidRPr="00FC74AB">
        <w:rPr>
          <w:lang w:val="ca-ES"/>
        </w:rPr>
        <w:t>perquè aquests recursos no s’utilitzen</w:t>
      </w:r>
      <w:r w:rsidR="007E16DC" w:rsidRPr="00FC74AB">
        <w:rPr>
          <w:lang w:val="ca-ES"/>
        </w:rPr>
        <w:t xml:space="preserve">. </w:t>
      </w:r>
      <w:r w:rsidRPr="00FC74AB">
        <w:rPr>
          <w:lang w:val="ca-ES"/>
        </w:rPr>
        <w:t>No aconseguir utilitzar el màxim dels recursos disponibles, en un context de privatització, pot ser resultat, entre altres coses, de quatre factors:</w:t>
      </w:r>
      <w:r w:rsidR="007E16DC" w:rsidRPr="00FC74AB">
        <w:rPr>
          <w:lang w:val="ca-ES"/>
        </w:rPr>
        <w:t xml:space="preserve"> la </w:t>
      </w:r>
      <w:r w:rsidRPr="00FC74AB">
        <w:rPr>
          <w:lang w:val="ca-ES"/>
        </w:rPr>
        <w:t>transferència</w:t>
      </w:r>
      <w:r w:rsidR="007E16DC" w:rsidRPr="00FC74AB">
        <w:rPr>
          <w:lang w:val="ca-ES"/>
        </w:rPr>
        <w:t xml:space="preserve"> </w:t>
      </w:r>
      <w:r w:rsidR="009A31D3" w:rsidRPr="00FC74AB">
        <w:rPr>
          <w:lang w:val="ca-ES"/>
        </w:rPr>
        <w:t>dels</w:t>
      </w:r>
      <w:r w:rsidR="005214BF" w:rsidRPr="00FC74AB">
        <w:rPr>
          <w:lang w:val="ca-ES"/>
        </w:rPr>
        <w:t xml:space="preserve"> </w:t>
      </w:r>
      <w:r w:rsidR="003A7E50" w:rsidRPr="00FC74AB">
        <w:rPr>
          <w:lang w:val="ca-ES"/>
        </w:rPr>
        <w:t>beneficis</w:t>
      </w:r>
      <w:r w:rsidR="007E16DC" w:rsidRPr="00FC74AB">
        <w:rPr>
          <w:lang w:val="ca-ES"/>
        </w:rPr>
        <w:t xml:space="preserve"> del sector </w:t>
      </w:r>
      <w:r w:rsidRPr="00FC74AB">
        <w:rPr>
          <w:lang w:val="ca-ES"/>
        </w:rPr>
        <w:t xml:space="preserve">de </w:t>
      </w:r>
      <w:r w:rsidR="000F7D76" w:rsidRPr="00FC74AB">
        <w:rPr>
          <w:lang w:val="ca-ES"/>
        </w:rPr>
        <w:t>l’aigua sense la corresponent millora de l’eficiència i l’accés</w:t>
      </w:r>
      <w:r w:rsidR="007E16DC" w:rsidRPr="00FC74AB">
        <w:rPr>
          <w:lang w:val="ca-ES"/>
        </w:rPr>
        <w:t xml:space="preserve">; la inversió limitada </w:t>
      </w:r>
      <w:r w:rsidR="000F7D76" w:rsidRPr="00FC74AB">
        <w:rPr>
          <w:lang w:val="ca-ES"/>
        </w:rPr>
        <w:t xml:space="preserve">dels recursos propis </w:t>
      </w:r>
      <w:r w:rsidR="007E16DC" w:rsidRPr="00FC74AB">
        <w:rPr>
          <w:lang w:val="ca-ES"/>
        </w:rPr>
        <w:t>de</w:t>
      </w:r>
      <w:r w:rsidR="00B3113E" w:rsidRPr="00FC74AB">
        <w:rPr>
          <w:lang w:val="ca-ES"/>
        </w:rPr>
        <w:t xml:space="preserve"> les </w:t>
      </w:r>
      <w:r w:rsidR="00E31C4A" w:rsidRPr="00FC74AB">
        <w:rPr>
          <w:lang w:val="ca-ES"/>
        </w:rPr>
        <w:t>empreses</w:t>
      </w:r>
      <w:r w:rsidR="007E16DC" w:rsidRPr="00FC74AB">
        <w:rPr>
          <w:lang w:val="ca-ES"/>
        </w:rPr>
        <w:t xml:space="preserve">, en </w:t>
      </w:r>
      <w:r w:rsidR="000F7D76" w:rsidRPr="00FC74AB">
        <w:rPr>
          <w:lang w:val="ca-ES"/>
        </w:rPr>
        <w:t xml:space="preserve">concret a </w:t>
      </w:r>
      <w:r w:rsidR="00B3113E" w:rsidRPr="00FC74AB">
        <w:rPr>
          <w:lang w:val="ca-ES"/>
        </w:rPr>
        <w:t xml:space="preserve">les </w:t>
      </w:r>
      <w:r w:rsidR="000F7D76" w:rsidRPr="00FC74AB">
        <w:rPr>
          <w:lang w:val="ca-ES"/>
        </w:rPr>
        <w:t>zone</w:t>
      </w:r>
      <w:r w:rsidR="007E16DC" w:rsidRPr="00FC74AB">
        <w:rPr>
          <w:lang w:val="ca-ES"/>
        </w:rPr>
        <w:t xml:space="preserve">s </w:t>
      </w:r>
      <w:r w:rsidR="000F7D76" w:rsidRPr="00FC74AB">
        <w:rPr>
          <w:lang w:val="ca-ES"/>
        </w:rPr>
        <w:t>on hi ha persones que viuen en situacion</w:t>
      </w:r>
      <w:r w:rsidR="007E16DC" w:rsidRPr="00FC74AB">
        <w:rPr>
          <w:lang w:val="ca-ES"/>
        </w:rPr>
        <w:t>s de vulnerabili</w:t>
      </w:r>
      <w:r w:rsidR="000F7D76" w:rsidRPr="00FC74AB">
        <w:rPr>
          <w:lang w:val="ca-ES"/>
        </w:rPr>
        <w:t>tat</w:t>
      </w:r>
      <w:r w:rsidR="007E16DC" w:rsidRPr="00FC74AB">
        <w:rPr>
          <w:lang w:val="ca-ES"/>
        </w:rPr>
        <w:t xml:space="preserve">; </w:t>
      </w:r>
      <w:r w:rsidR="000F7D76" w:rsidRPr="00FC74AB">
        <w:rPr>
          <w:lang w:val="ca-ES"/>
        </w:rPr>
        <w:t>pràctiques corruptes</w:t>
      </w:r>
      <w:r w:rsidR="007E16DC" w:rsidRPr="00FC74AB">
        <w:rPr>
          <w:lang w:val="ca-ES"/>
        </w:rPr>
        <w:t>,</w:t>
      </w:r>
      <w:r w:rsidR="007E4E7F" w:rsidRPr="00FC74AB">
        <w:rPr>
          <w:lang w:val="ca-ES"/>
        </w:rPr>
        <w:t xml:space="preserve"> i </w:t>
      </w:r>
      <w:r w:rsidR="007E16DC" w:rsidRPr="00FC74AB">
        <w:rPr>
          <w:lang w:val="ca-ES"/>
        </w:rPr>
        <w:t>l</w:t>
      </w:r>
      <w:r w:rsidR="000F7D76" w:rsidRPr="00FC74AB">
        <w:rPr>
          <w:lang w:val="ca-ES"/>
        </w:rPr>
        <w:t>’atorgament</w:t>
      </w:r>
      <w:r w:rsidR="007E16DC" w:rsidRPr="00FC74AB">
        <w:rPr>
          <w:lang w:val="ca-ES"/>
        </w:rPr>
        <w:t xml:space="preserve"> de conce</w:t>
      </w:r>
      <w:r w:rsidR="000F7D76" w:rsidRPr="00FC74AB">
        <w:rPr>
          <w:lang w:val="ca-ES"/>
        </w:rPr>
        <w:t>s</w:t>
      </w:r>
      <w:r w:rsidR="007E16DC" w:rsidRPr="00FC74AB">
        <w:rPr>
          <w:lang w:val="ca-ES"/>
        </w:rPr>
        <w:t>sio</w:t>
      </w:r>
      <w:r w:rsidR="000F7D76" w:rsidRPr="00FC74AB">
        <w:rPr>
          <w:lang w:val="ca-ES"/>
        </w:rPr>
        <w:t>n</w:t>
      </w:r>
      <w:r w:rsidR="007E16DC" w:rsidRPr="00FC74AB">
        <w:rPr>
          <w:lang w:val="ca-ES"/>
        </w:rPr>
        <w:t xml:space="preserve">s </w:t>
      </w:r>
      <w:r w:rsidR="000F7D76" w:rsidRPr="00FC74AB">
        <w:rPr>
          <w:lang w:val="ca-ES"/>
        </w:rPr>
        <w:t xml:space="preserve">sense que el pagament per l’arrendament s’utilitzi </w:t>
      </w:r>
      <w:r w:rsidR="007E16DC" w:rsidRPr="00FC74AB">
        <w:rPr>
          <w:lang w:val="ca-ES"/>
        </w:rPr>
        <w:t xml:space="preserve">en el sector </w:t>
      </w:r>
      <w:r w:rsidRPr="00FC74AB">
        <w:rPr>
          <w:lang w:val="ca-ES"/>
        </w:rPr>
        <w:t>de l’aigua</w:t>
      </w:r>
      <w:r w:rsidR="007E4E7F" w:rsidRPr="00FC74AB">
        <w:rPr>
          <w:lang w:val="ca-ES"/>
        </w:rPr>
        <w:t xml:space="preserve"> i </w:t>
      </w:r>
      <w:r w:rsidR="007E16DC" w:rsidRPr="00FC74AB">
        <w:rPr>
          <w:lang w:val="ca-ES"/>
        </w:rPr>
        <w:t xml:space="preserve">el </w:t>
      </w:r>
      <w:r w:rsidR="007E4E7F" w:rsidRPr="00FC74AB">
        <w:rPr>
          <w:lang w:val="ca-ES"/>
        </w:rPr>
        <w:t>sanejament</w:t>
      </w:r>
      <w:r w:rsidR="007E16DC" w:rsidRPr="00FC74AB">
        <w:rPr>
          <w:lang w:val="ca-ES"/>
        </w:rPr>
        <w:t>.</w:t>
      </w:r>
    </w:p>
    <w:p w14:paraId="64438268" w14:textId="74E8AC11" w:rsidR="00526DB4" w:rsidRPr="00FC74AB" w:rsidRDefault="000F7D76" w:rsidP="00A07BA4">
      <w:pPr>
        <w:pStyle w:val="SingleTxt"/>
        <w:numPr>
          <w:ilvl w:val="2"/>
          <w:numId w:val="49"/>
        </w:numPr>
        <w:spacing w:line="240" w:lineRule="atLeast"/>
        <w:ind w:left="1267" w:firstLine="0"/>
        <w:rPr>
          <w:lang w:val="ca-ES"/>
        </w:rPr>
      </w:pPr>
      <w:r w:rsidRPr="00FC74AB">
        <w:rPr>
          <w:lang w:val="ca-ES"/>
        </w:rPr>
        <w:t>Sovint, els ingressos excedentaris de la prestació de serveis es distribueixen gairebé íntegrament entre els propietaris o accionistes d’empreses privades en forma de beneficis i dividends. Aquesta pràctica té un impacte negatiu en les inversions en manteniment i en l’extensió dels serveis a les poblacions desateses o infra-ateses</w:t>
      </w:r>
      <w:r w:rsidR="007E16DC" w:rsidRPr="00FC74AB">
        <w:rPr>
          <w:lang w:val="ca-ES"/>
        </w:rPr>
        <w:t xml:space="preserve">, </w:t>
      </w:r>
      <w:r w:rsidRPr="00FC74AB">
        <w:rPr>
          <w:lang w:val="ca-ES"/>
        </w:rPr>
        <w:t xml:space="preserve">cosa que pot </w:t>
      </w:r>
      <w:r w:rsidR="007E16DC" w:rsidRPr="00FC74AB">
        <w:rPr>
          <w:lang w:val="ca-ES"/>
        </w:rPr>
        <w:t xml:space="preserve">generar una </w:t>
      </w:r>
      <w:r w:rsidR="004879F7" w:rsidRPr="00FC74AB">
        <w:rPr>
          <w:lang w:val="ca-ES"/>
        </w:rPr>
        <w:t>necessitat</w:t>
      </w:r>
      <w:r w:rsidRPr="00FC74AB">
        <w:rPr>
          <w:lang w:val="ca-ES"/>
        </w:rPr>
        <w:t xml:space="preserve"> </w:t>
      </w:r>
      <w:r w:rsidR="000F45F5" w:rsidRPr="00FC74AB">
        <w:rPr>
          <w:lang w:val="ca-ES"/>
        </w:rPr>
        <w:t xml:space="preserve">continuada </w:t>
      </w:r>
      <w:r w:rsidR="007E16DC" w:rsidRPr="00FC74AB">
        <w:rPr>
          <w:lang w:val="ca-ES"/>
        </w:rPr>
        <w:t>d</w:t>
      </w:r>
      <w:r w:rsidRPr="00FC74AB">
        <w:rPr>
          <w:lang w:val="ca-ES"/>
        </w:rPr>
        <w:t>’</w:t>
      </w:r>
      <w:r w:rsidR="007E16DC" w:rsidRPr="00FC74AB">
        <w:rPr>
          <w:lang w:val="ca-ES"/>
        </w:rPr>
        <w:t>inve</w:t>
      </w:r>
      <w:r w:rsidRPr="00FC74AB">
        <w:rPr>
          <w:lang w:val="ca-ES"/>
        </w:rPr>
        <w:t>rsió</w:t>
      </w:r>
      <w:r w:rsidR="007E16DC" w:rsidRPr="00FC74AB">
        <w:rPr>
          <w:lang w:val="ca-ES"/>
        </w:rPr>
        <w:t xml:space="preserve"> pública</w:t>
      </w:r>
      <w:r w:rsidR="007E16DC" w:rsidRPr="00FC74AB">
        <w:rPr>
          <w:rStyle w:val="FootnoteReference"/>
          <w:lang w:val="ca-ES"/>
        </w:rPr>
        <w:footnoteReference w:id="40"/>
      </w:r>
      <w:r w:rsidR="007E16DC" w:rsidRPr="00FC74AB">
        <w:rPr>
          <w:lang w:val="ca-ES"/>
        </w:rPr>
        <w:t>. P</w:t>
      </w:r>
      <w:r w:rsidRPr="00FC74AB">
        <w:rPr>
          <w:lang w:val="ca-ES"/>
        </w:rPr>
        <w:t>er això s’ha</w:t>
      </w:r>
      <w:r w:rsidR="007E16DC" w:rsidRPr="00FC74AB">
        <w:rPr>
          <w:lang w:val="ca-ES"/>
        </w:rPr>
        <w:t xml:space="preserve"> fomenta</w:t>
      </w:r>
      <w:r w:rsidRPr="00FC74AB">
        <w:rPr>
          <w:lang w:val="ca-ES"/>
        </w:rPr>
        <w:t>t l’opinió</w:t>
      </w:r>
      <w:r w:rsidR="007E16DC" w:rsidRPr="00FC74AB">
        <w:rPr>
          <w:lang w:val="ca-ES"/>
        </w:rPr>
        <w:t xml:space="preserve"> que </w:t>
      </w:r>
      <w:r w:rsidRPr="00FC74AB">
        <w:rPr>
          <w:lang w:val="ca-ES"/>
        </w:rPr>
        <w:t>la legislació en matèria de</w:t>
      </w:r>
      <w:r w:rsidR="005214BF" w:rsidRPr="00FC74AB">
        <w:rPr>
          <w:lang w:val="ca-ES"/>
        </w:rPr>
        <w:t xml:space="preserve"> </w:t>
      </w:r>
      <w:r w:rsidR="007E4E7F" w:rsidRPr="00FC74AB">
        <w:rPr>
          <w:lang w:val="ca-ES"/>
        </w:rPr>
        <w:t>drets humans</w:t>
      </w:r>
      <w:r w:rsidR="007E16DC" w:rsidRPr="00FC74AB">
        <w:rPr>
          <w:lang w:val="ca-ES"/>
        </w:rPr>
        <w:t xml:space="preserve"> no </w:t>
      </w:r>
      <w:r w:rsidRPr="00FC74AB">
        <w:rPr>
          <w:lang w:val="ca-ES"/>
        </w:rPr>
        <w:t>ha de</w:t>
      </w:r>
      <w:r w:rsidR="007E16DC" w:rsidRPr="00FC74AB">
        <w:rPr>
          <w:lang w:val="ca-ES"/>
        </w:rPr>
        <w:t xml:space="preserve"> ser </w:t>
      </w:r>
      <w:r w:rsidRPr="00FC74AB">
        <w:rPr>
          <w:lang w:val="ca-ES"/>
        </w:rPr>
        <w:t>«</w:t>
      </w:r>
      <w:r w:rsidR="007E16DC" w:rsidRPr="00FC74AB">
        <w:rPr>
          <w:lang w:val="ca-ES"/>
        </w:rPr>
        <w:t>neutral</w:t>
      </w:r>
      <w:r w:rsidRPr="00FC74AB">
        <w:rPr>
          <w:lang w:val="ca-ES"/>
        </w:rPr>
        <w:t>»</w:t>
      </w:r>
      <w:r w:rsidR="007E16DC" w:rsidRPr="00FC74AB">
        <w:rPr>
          <w:lang w:val="ca-ES"/>
        </w:rPr>
        <w:t xml:space="preserve"> </w:t>
      </w:r>
      <w:r w:rsidR="007D5B26" w:rsidRPr="00FC74AB">
        <w:rPr>
          <w:lang w:val="ca-ES"/>
        </w:rPr>
        <w:t xml:space="preserve">respecte de </w:t>
      </w:r>
      <w:r w:rsidR="007E16DC" w:rsidRPr="00FC74AB">
        <w:rPr>
          <w:lang w:val="ca-ES"/>
        </w:rPr>
        <w:t xml:space="preserve">la </w:t>
      </w:r>
      <w:r w:rsidR="007E4E7F" w:rsidRPr="00FC74AB">
        <w:rPr>
          <w:lang w:val="ca-ES"/>
        </w:rPr>
        <w:t>privatització</w:t>
      </w:r>
      <w:r w:rsidR="007E16DC" w:rsidRPr="00FC74AB">
        <w:rPr>
          <w:lang w:val="ca-ES"/>
        </w:rPr>
        <w:t xml:space="preserve">: </w:t>
      </w:r>
      <w:r w:rsidR="00A07BA4" w:rsidRPr="00FC74AB">
        <w:rPr>
          <w:lang w:val="ca-ES"/>
        </w:rPr>
        <w:t>«</w:t>
      </w:r>
      <w:r w:rsidR="007E16DC" w:rsidRPr="00FC74AB">
        <w:rPr>
          <w:lang w:val="ca-ES"/>
        </w:rPr>
        <w:t>si</w:t>
      </w:r>
      <w:r w:rsidR="00B3113E" w:rsidRPr="00FC74AB">
        <w:rPr>
          <w:lang w:val="ca-ES"/>
        </w:rPr>
        <w:t xml:space="preserve"> les </w:t>
      </w:r>
      <w:r w:rsidR="00E31C4A" w:rsidRPr="00FC74AB">
        <w:rPr>
          <w:lang w:val="ca-ES"/>
        </w:rPr>
        <w:t>empreses</w:t>
      </w:r>
      <w:r w:rsidRPr="00FC74AB">
        <w:rPr>
          <w:lang w:val="ca-ES"/>
        </w:rPr>
        <w:t xml:space="preserve"> privades obt</w:t>
      </w:r>
      <w:r w:rsidR="007E16DC" w:rsidRPr="00FC74AB">
        <w:rPr>
          <w:lang w:val="ca-ES"/>
        </w:rPr>
        <w:t xml:space="preserve">enen enormes </w:t>
      </w:r>
      <w:r w:rsidR="003A7E50" w:rsidRPr="00FC74AB">
        <w:rPr>
          <w:lang w:val="ca-ES"/>
        </w:rPr>
        <w:t>beneficis</w:t>
      </w:r>
      <w:r w:rsidR="00A07BA4" w:rsidRPr="00FC74AB">
        <w:rPr>
          <w:lang w:val="ca-ES"/>
        </w:rPr>
        <w:t xml:space="preserve"> (...) </w:t>
      </w:r>
      <w:r w:rsidR="00B3113E" w:rsidRPr="00FC74AB">
        <w:rPr>
          <w:lang w:val="ca-ES"/>
        </w:rPr>
        <w:t xml:space="preserve">les </w:t>
      </w:r>
      <w:r w:rsidR="00E31C4A" w:rsidRPr="00FC74AB">
        <w:rPr>
          <w:lang w:val="ca-ES"/>
        </w:rPr>
        <w:t>autoritats</w:t>
      </w:r>
      <w:r w:rsidR="007E16DC" w:rsidRPr="00FC74AB">
        <w:rPr>
          <w:lang w:val="ca-ES"/>
        </w:rPr>
        <w:t xml:space="preserve"> </w:t>
      </w:r>
      <w:r w:rsidR="003A7E50" w:rsidRPr="00FC74AB">
        <w:rPr>
          <w:lang w:val="ca-ES"/>
        </w:rPr>
        <w:t>públiques</w:t>
      </w:r>
      <w:r w:rsidRPr="00FC74AB">
        <w:rPr>
          <w:lang w:val="ca-ES"/>
        </w:rPr>
        <w:t xml:space="preserve"> competent</w:t>
      </w:r>
      <w:r w:rsidR="007E16DC" w:rsidRPr="00FC74AB">
        <w:rPr>
          <w:lang w:val="ca-ES"/>
        </w:rPr>
        <w:t xml:space="preserve">s no han </w:t>
      </w:r>
      <w:r w:rsidR="00D3425C" w:rsidRPr="00FC74AB">
        <w:rPr>
          <w:lang w:val="ca-ES"/>
        </w:rPr>
        <w:t xml:space="preserve">pres </w:t>
      </w:r>
      <w:r w:rsidR="00B3113E" w:rsidRPr="00FC74AB">
        <w:rPr>
          <w:lang w:val="ca-ES"/>
        </w:rPr>
        <w:t xml:space="preserve">les </w:t>
      </w:r>
      <w:r w:rsidR="007E16DC" w:rsidRPr="00FC74AB">
        <w:rPr>
          <w:lang w:val="ca-ES"/>
        </w:rPr>
        <w:t>me</w:t>
      </w:r>
      <w:r w:rsidRPr="00FC74AB">
        <w:rPr>
          <w:lang w:val="ca-ES"/>
        </w:rPr>
        <w:t>sures necessàries</w:t>
      </w:r>
      <w:r w:rsidR="007E16DC" w:rsidRPr="00FC74AB">
        <w:rPr>
          <w:lang w:val="ca-ES"/>
        </w:rPr>
        <w:t xml:space="preserve">, </w:t>
      </w:r>
      <w:r w:rsidR="00A07BA4" w:rsidRPr="00FC74AB">
        <w:rPr>
          <w:lang w:val="ca-ES"/>
        </w:rPr>
        <w:t xml:space="preserve">amb </w:t>
      </w:r>
      <w:r w:rsidR="00D45DC3" w:rsidRPr="00FC74AB">
        <w:rPr>
          <w:lang w:val="ca-ES"/>
        </w:rPr>
        <w:t>el màxim de recursos</w:t>
      </w:r>
      <w:r w:rsidR="007E16DC" w:rsidRPr="00FC74AB">
        <w:rPr>
          <w:lang w:val="ca-ES"/>
        </w:rPr>
        <w:t xml:space="preserve"> </w:t>
      </w:r>
      <w:r w:rsidRPr="00FC74AB">
        <w:rPr>
          <w:lang w:val="ca-ES"/>
        </w:rPr>
        <w:t xml:space="preserve">al seu abast, com exigeix </w:t>
      </w:r>
      <w:r w:rsidR="007E16DC" w:rsidRPr="00FC74AB">
        <w:rPr>
          <w:lang w:val="ca-ES"/>
        </w:rPr>
        <w:t>el p</w:t>
      </w:r>
      <w:r w:rsidRPr="00FC74AB">
        <w:rPr>
          <w:lang w:val="ca-ES"/>
        </w:rPr>
        <w:t>a</w:t>
      </w:r>
      <w:r w:rsidR="007E16DC" w:rsidRPr="00FC74AB">
        <w:rPr>
          <w:lang w:val="ca-ES"/>
        </w:rPr>
        <w:t>r</w:t>
      </w:r>
      <w:r w:rsidRPr="00FC74AB">
        <w:rPr>
          <w:lang w:val="ca-ES"/>
        </w:rPr>
        <w:t>àgr</w:t>
      </w:r>
      <w:r w:rsidR="007E16DC" w:rsidRPr="00FC74AB">
        <w:rPr>
          <w:lang w:val="ca-ES"/>
        </w:rPr>
        <w:t>af 1 de</w:t>
      </w:r>
      <w:r w:rsidRPr="00FC74AB">
        <w:rPr>
          <w:lang w:val="ca-ES"/>
        </w:rPr>
        <w:t xml:space="preserve"> </w:t>
      </w:r>
      <w:r w:rsidR="007E16DC" w:rsidRPr="00FC74AB">
        <w:rPr>
          <w:lang w:val="ca-ES"/>
        </w:rPr>
        <w:t>l</w:t>
      </w:r>
      <w:r w:rsidRPr="00FC74AB">
        <w:rPr>
          <w:lang w:val="ca-ES"/>
        </w:rPr>
        <w:t>’article 2 [del Pacte</w:t>
      </w:r>
      <w:r w:rsidR="00104587" w:rsidRPr="00FC74AB">
        <w:rPr>
          <w:lang w:val="ca-ES"/>
        </w:rPr>
        <w:t>], per</w:t>
      </w:r>
      <w:r w:rsidR="007E16DC" w:rsidRPr="00FC74AB">
        <w:rPr>
          <w:lang w:val="ca-ES"/>
        </w:rPr>
        <w:t xml:space="preserve"> po</w:t>
      </w:r>
      <w:r w:rsidR="00104587" w:rsidRPr="00FC74AB">
        <w:rPr>
          <w:lang w:val="ca-ES"/>
        </w:rPr>
        <w:t>sa</w:t>
      </w:r>
      <w:r w:rsidR="007E16DC" w:rsidRPr="00FC74AB">
        <w:rPr>
          <w:lang w:val="ca-ES"/>
        </w:rPr>
        <w:t xml:space="preserve">r </w:t>
      </w:r>
      <w:r w:rsidR="00104587" w:rsidRPr="00FC74AB">
        <w:rPr>
          <w:lang w:val="ca-ES"/>
        </w:rPr>
        <w:t>aqu</w:t>
      </w:r>
      <w:r w:rsidR="007E16DC" w:rsidRPr="00FC74AB">
        <w:rPr>
          <w:lang w:val="ca-ES"/>
        </w:rPr>
        <w:t>est b</w:t>
      </w:r>
      <w:r w:rsidR="00104587" w:rsidRPr="00FC74AB">
        <w:rPr>
          <w:lang w:val="ca-ES"/>
        </w:rPr>
        <w:t>é públic a disposició</w:t>
      </w:r>
      <w:r w:rsidR="007E16DC" w:rsidRPr="00FC74AB">
        <w:rPr>
          <w:lang w:val="ca-ES"/>
        </w:rPr>
        <w:t xml:space="preserve"> de </w:t>
      </w:r>
      <w:r w:rsidR="00104587" w:rsidRPr="00FC74AB">
        <w:rPr>
          <w:lang w:val="ca-ES"/>
        </w:rPr>
        <w:t xml:space="preserve">la </w:t>
      </w:r>
      <w:r w:rsidR="007E16DC" w:rsidRPr="00FC74AB">
        <w:rPr>
          <w:lang w:val="ca-ES"/>
        </w:rPr>
        <w:t>s</w:t>
      </w:r>
      <w:r w:rsidR="00104587" w:rsidRPr="00FC74AB">
        <w:rPr>
          <w:lang w:val="ca-ES"/>
        </w:rPr>
        <w:t>eva població</w:t>
      </w:r>
      <w:r w:rsidR="00A07BA4" w:rsidRPr="00FC74AB">
        <w:rPr>
          <w:lang w:val="ca-ES"/>
        </w:rPr>
        <w:t>»</w:t>
      </w:r>
      <w:r w:rsidR="007E16DC" w:rsidRPr="00FC74AB">
        <w:rPr>
          <w:rStyle w:val="FootnoteReference"/>
          <w:lang w:val="ca-ES"/>
        </w:rPr>
        <w:footnoteReference w:id="41"/>
      </w:r>
      <w:r w:rsidR="007E16DC" w:rsidRPr="00FC74AB">
        <w:rPr>
          <w:lang w:val="ca-ES"/>
        </w:rPr>
        <w:t>.</w:t>
      </w:r>
    </w:p>
    <w:p w14:paraId="385BC2A3" w14:textId="36B5998C" w:rsidR="007E16DC" w:rsidRPr="00FC74AB" w:rsidRDefault="009F581B" w:rsidP="002F4DDC">
      <w:pPr>
        <w:pStyle w:val="SingleTxt"/>
        <w:keepNext/>
        <w:keepLines/>
        <w:numPr>
          <w:ilvl w:val="2"/>
          <w:numId w:val="49"/>
        </w:numPr>
        <w:spacing w:line="240" w:lineRule="atLeast"/>
        <w:ind w:left="1264" w:firstLine="0"/>
        <w:rPr>
          <w:lang w:val="ca-ES"/>
        </w:rPr>
      </w:pPr>
      <w:r w:rsidRPr="00FC74AB">
        <w:rPr>
          <w:lang w:val="ca-ES"/>
        </w:rPr>
        <w:t xml:space="preserve">El segon factor es refereix a la </w:t>
      </w:r>
      <w:r w:rsidR="00B41CCB" w:rsidRPr="00FC74AB">
        <w:rPr>
          <w:lang w:val="ca-ES"/>
        </w:rPr>
        <w:t>quantitat</w:t>
      </w:r>
      <w:r w:rsidRPr="00FC74AB">
        <w:rPr>
          <w:lang w:val="ca-ES"/>
        </w:rPr>
        <w:t xml:space="preserve"> </w:t>
      </w:r>
      <w:r w:rsidR="00B41CCB" w:rsidRPr="00FC74AB">
        <w:rPr>
          <w:lang w:val="ca-ES"/>
        </w:rPr>
        <w:t xml:space="preserve">de recursos financers externs als serveis que aporten </w:t>
      </w:r>
      <w:r w:rsidRPr="00FC74AB">
        <w:rPr>
          <w:lang w:val="ca-ES"/>
        </w:rPr>
        <w:t xml:space="preserve">els subministradors privats i </w:t>
      </w:r>
      <w:r w:rsidR="002F4DDC" w:rsidRPr="00FC74AB">
        <w:rPr>
          <w:lang w:val="ca-ES"/>
        </w:rPr>
        <w:t xml:space="preserve">fins a quin punt </w:t>
      </w:r>
      <w:r w:rsidRPr="00FC74AB">
        <w:rPr>
          <w:lang w:val="ca-ES"/>
        </w:rPr>
        <w:t>esmenen les deficiències d’inversió</w:t>
      </w:r>
      <w:r w:rsidR="007E16DC" w:rsidRPr="00FC74AB">
        <w:rPr>
          <w:lang w:val="ca-ES"/>
        </w:rPr>
        <w:t xml:space="preserve">. </w:t>
      </w:r>
      <w:r w:rsidRPr="00FC74AB">
        <w:rPr>
          <w:lang w:val="ca-ES"/>
        </w:rPr>
        <w:t xml:space="preserve">Tot t i </w:t>
      </w:r>
      <w:r w:rsidR="007E16DC" w:rsidRPr="00FC74AB">
        <w:rPr>
          <w:lang w:val="ca-ES"/>
        </w:rPr>
        <w:t>que la inversió de fon</w:t>
      </w:r>
      <w:r w:rsidRPr="00FC74AB">
        <w:rPr>
          <w:lang w:val="ca-ES"/>
        </w:rPr>
        <w:t>s externs é</w:t>
      </w:r>
      <w:r w:rsidR="007E16DC" w:rsidRPr="00FC74AB">
        <w:rPr>
          <w:lang w:val="ca-ES"/>
        </w:rPr>
        <w:t>s una de</w:t>
      </w:r>
      <w:r w:rsidR="00B3113E" w:rsidRPr="00FC74AB">
        <w:rPr>
          <w:lang w:val="ca-ES"/>
        </w:rPr>
        <w:t xml:space="preserve"> les </w:t>
      </w:r>
      <w:r w:rsidR="007E16DC" w:rsidRPr="00FC74AB">
        <w:rPr>
          <w:lang w:val="ca-ES"/>
        </w:rPr>
        <w:t>principals raons que s</w:t>
      </w:r>
      <w:r w:rsidRPr="00FC74AB">
        <w:rPr>
          <w:lang w:val="ca-ES"/>
        </w:rPr>
        <w:t>’</w:t>
      </w:r>
      <w:r w:rsidR="007E16DC" w:rsidRPr="00FC74AB">
        <w:rPr>
          <w:lang w:val="ca-ES"/>
        </w:rPr>
        <w:t>esgrime</w:t>
      </w:r>
      <w:r w:rsidRPr="00FC74AB">
        <w:rPr>
          <w:lang w:val="ca-ES"/>
        </w:rPr>
        <w:t>ixe</w:t>
      </w:r>
      <w:r w:rsidR="007E16DC" w:rsidRPr="00FC74AB">
        <w:rPr>
          <w:lang w:val="ca-ES"/>
        </w:rPr>
        <w:t>n p</w:t>
      </w:r>
      <w:r w:rsidRPr="00FC74AB">
        <w:rPr>
          <w:lang w:val="ca-ES"/>
        </w:rPr>
        <w:t>er</w:t>
      </w:r>
      <w:r w:rsidR="007E16DC" w:rsidRPr="00FC74AB">
        <w:rPr>
          <w:lang w:val="ca-ES"/>
        </w:rPr>
        <w:t xml:space="preserve"> justificar la </w:t>
      </w:r>
      <w:r w:rsidR="007E4E7F" w:rsidRPr="00FC74AB">
        <w:rPr>
          <w:lang w:val="ca-ES"/>
        </w:rPr>
        <w:t>privatització</w:t>
      </w:r>
      <w:r w:rsidR="007E16DC" w:rsidRPr="00FC74AB">
        <w:rPr>
          <w:rStyle w:val="FootnoteReference"/>
          <w:lang w:val="ca-ES"/>
        </w:rPr>
        <w:footnoteReference w:id="42"/>
      </w:r>
      <w:r w:rsidR="007E16DC" w:rsidRPr="00FC74AB">
        <w:rPr>
          <w:lang w:val="ca-ES"/>
        </w:rPr>
        <w:t>, la reali</w:t>
      </w:r>
      <w:r w:rsidRPr="00FC74AB">
        <w:rPr>
          <w:lang w:val="ca-ES"/>
        </w:rPr>
        <w:t>tat mo</w:t>
      </w:r>
      <w:r w:rsidR="007E16DC" w:rsidRPr="00FC74AB">
        <w:rPr>
          <w:lang w:val="ca-ES"/>
        </w:rPr>
        <w:t>stra un panorama diferent. Durant</w:t>
      </w:r>
      <w:r w:rsidRPr="00FC74AB">
        <w:rPr>
          <w:lang w:val="ca-ES"/>
        </w:rPr>
        <w:t xml:space="preserve"> la dè</w:t>
      </w:r>
      <w:r w:rsidR="007E16DC" w:rsidRPr="00FC74AB">
        <w:rPr>
          <w:lang w:val="ca-ES"/>
        </w:rPr>
        <w:t>cada de</w:t>
      </w:r>
      <w:r w:rsidRPr="00FC74AB">
        <w:rPr>
          <w:lang w:val="ca-ES"/>
        </w:rPr>
        <w:t>ls</w:t>
      </w:r>
      <w:r w:rsidR="007E16DC" w:rsidRPr="00FC74AB">
        <w:rPr>
          <w:lang w:val="ca-ES"/>
        </w:rPr>
        <w:t xml:space="preserve"> 90,</w:t>
      </w:r>
      <w:r w:rsidR="00B3113E" w:rsidRPr="00FC74AB">
        <w:rPr>
          <w:lang w:val="ca-ES"/>
        </w:rPr>
        <w:t xml:space="preserve"> les </w:t>
      </w:r>
      <w:r w:rsidR="00DB041B" w:rsidRPr="00FC74AB">
        <w:rPr>
          <w:lang w:val="ca-ES"/>
        </w:rPr>
        <w:t>inversion</w:t>
      </w:r>
      <w:r w:rsidR="007E16DC" w:rsidRPr="00FC74AB">
        <w:rPr>
          <w:lang w:val="ca-ES"/>
        </w:rPr>
        <w:t xml:space="preserve">s </w:t>
      </w:r>
      <w:r w:rsidRPr="00FC74AB">
        <w:rPr>
          <w:lang w:val="ca-ES"/>
        </w:rPr>
        <w:t>mundials</w:t>
      </w:r>
      <w:r w:rsidR="007E16DC" w:rsidRPr="00FC74AB">
        <w:rPr>
          <w:lang w:val="ca-ES"/>
        </w:rPr>
        <w:t xml:space="preserve"> en</w:t>
      </w:r>
      <w:r w:rsidRPr="00FC74AB">
        <w:rPr>
          <w:lang w:val="ca-ES"/>
        </w:rPr>
        <w:t xml:space="preserve"> aigua </w:t>
      </w:r>
      <w:r w:rsidR="007E4E7F" w:rsidRPr="00FC74AB">
        <w:rPr>
          <w:lang w:val="ca-ES"/>
        </w:rPr>
        <w:t>i sanejament</w:t>
      </w:r>
      <w:r w:rsidR="007E16DC" w:rsidRPr="00FC74AB">
        <w:rPr>
          <w:lang w:val="ca-ES"/>
        </w:rPr>
        <w:t xml:space="preserve"> </w:t>
      </w:r>
      <w:r w:rsidR="00DB041B" w:rsidRPr="00FC74AB">
        <w:rPr>
          <w:lang w:val="ca-ES"/>
        </w:rPr>
        <w:t xml:space="preserve">van </w:t>
      </w:r>
      <w:r w:rsidR="007E16DC" w:rsidRPr="00FC74AB">
        <w:rPr>
          <w:lang w:val="ca-ES"/>
        </w:rPr>
        <w:t>representar el 5,4 % del total inverti</w:t>
      </w:r>
      <w:r w:rsidR="00DB041B" w:rsidRPr="00FC74AB">
        <w:rPr>
          <w:lang w:val="ca-ES"/>
        </w:rPr>
        <w:t>t</w:t>
      </w:r>
      <w:r w:rsidR="007E16DC" w:rsidRPr="00FC74AB">
        <w:rPr>
          <w:lang w:val="ca-ES"/>
        </w:rPr>
        <w:t xml:space="preserve"> en infraestructura privada</w:t>
      </w:r>
      <w:r w:rsidR="007E16DC" w:rsidRPr="00FC74AB">
        <w:rPr>
          <w:rStyle w:val="FootnoteReference"/>
          <w:lang w:val="ca-ES"/>
        </w:rPr>
        <w:footnoteReference w:id="43"/>
      </w:r>
      <w:r w:rsidR="00DB041B" w:rsidRPr="00FC74AB">
        <w:rPr>
          <w:lang w:val="ca-ES"/>
        </w:rPr>
        <w:t xml:space="preserve">, però </w:t>
      </w:r>
      <w:r w:rsidR="00B3113E" w:rsidRPr="00FC74AB">
        <w:rPr>
          <w:lang w:val="ca-ES"/>
        </w:rPr>
        <w:t xml:space="preserve">les </w:t>
      </w:r>
      <w:r w:rsidRPr="00FC74AB">
        <w:rPr>
          <w:lang w:val="ca-ES"/>
        </w:rPr>
        <w:t>inversions</w:t>
      </w:r>
      <w:r w:rsidR="007E16DC" w:rsidRPr="00FC74AB">
        <w:rPr>
          <w:lang w:val="ca-ES"/>
        </w:rPr>
        <w:t xml:space="preserve"> no </w:t>
      </w:r>
      <w:r w:rsidR="00DB041B" w:rsidRPr="00FC74AB">
        <w:rPr>
          <w:lang w:val="ca-ES"/>
        </w:rPr>
        <w:t>e</w:t>
      </w:r>
      <w:r w:rsidR="007E16DC" w:rsidRPr="00FC74AB">
        <w:rPr>
          <w:lang w:val="ca-ES"/>
        </w:rPr>
        <w:t>s</w:t>
      </w:r>
      <w:r w:rsidR="00DB041B" w:rsidRPr="00FC74AB">
        <w:rPr>
          <w:lang w:val="ca-ES"/>
        </w:rPr>
        <w:t xml:space="preserve"> van</w:t>
      </w:r>
      <w:r w:rsidR="007E16DC" w:rsidRPr="00FC74AB">
        <w:rPr>
          <w:lang w:val="ca-ES"/>
        </w:rPr>
        <w:t xml:space="preserve"> destinar a</w:t>
      </w:r>
      <w:r w:rsidR="00B3113E" w:rsidRPr="00FC74AB">
        <w:rPr>
          <w:lang w:val="ca-ES"/>
        </w:rPr>
        <w:t xml:space="preserve"> les </w:t>
      </w:r>
      <w:r w:rsidR="00DB041B" w:rsidRPr="00FC74AB">
        <w:rPr>
          <w:lang w:val="ca-ES"/>
        </w:rPr>
        <w:t>region</w:t>
      </w:r>
      <w:r w:rsidR="007E16DC" w:rsidRPr="00FC74AB">
        <w:rPr>
          <w:lang w:val="ca-ES"/>
        </w:rPr>
        <w:t>s on</w:t>
      </w:r>
      <w:r w:rsidR="00DB041B" w:rsidRPr="00FC74AB">
        <w:rPr>
          <w:lang w:val="ca-ES"/>
        </w:rPr>
        <w:t xml:space="preserve"> més </w:t>
      </w:r>
      <w:r w:rsidR="007E16DC" w:rsidRPr="00FC74AB">
        <w:rPr>
          <w:lang w:val="ca-ES"/>
        </w:rPr>
        <w:t>e</w:t>
      </w:r>
      <w:r w:rsidR="00DB041B" w:rsidRPr="00FC74AB">
        <w:rPr>
          <w:lang w:val="ca-ES"/>
        </w:rPr>
        <w:t>s</w:t>
      </w:r>
      <w:r w:rsidR="007E16DC" w:rsidRPr="00FC74AB">
        <w:rPr>
          <w:lang w:val="ca-ES"/>
        </w:rPr>
        <w:t xml:space="preserve"> nece</w:t>
      </w:r>
      <w:r w:rsidR="00DB041B" w:rsidRPr="00FC74AB">
        <w:rPr>
          <w:lang w:val="ca-ES"/>
        </w:rPr>
        <w:t>s</w:t>
      </w:r>
      <w:r w:rsidR="007E16DC" w:rsidRPr="00FC74AB">
        <w:rPr>
          <w:lang w:val="ca-ES"/>
        </w:rPr>
        <w:t>sita</w:t>
      </w:r>
      <w:r w:rsidR="00DB041B" w:rsidRPr="00FC74AB">
        <w:rPr>
          <w:lang w:val="ca-ES"/>
        </w:rPr>
        <w:t>ven, sinó</w:t>
      </w:r>
      <w:r w:rsidR="007E16DC" w:rsidRPr="00FC74AB">
        <w:rPr>
          <w:lang w:val="ca-ES"/>
        </w:rPr>
        <w:t xml:space="preserve"> a pa</w:t>
      </w:r>
      <w:r w:rsidR="00DB041B" w:rsidRPr="00FC74AB">
        <w:rPr>
          <w:lang w:val="ca-ES"/>
        </w:rPr>
        <w:t>ïsos</w:t>
      </w:r>
      <w:r w:rsidR="007E16DC" w:rsidRPr="00FC74AB">
        <w:rPr>
          <w:lang w:val="ca-ES"/>
        </w:rPr>
        <w:t xml:space="preserve"> d</w:t>
      </w:r>
      <w:r w:rsidR="00DB041B" w:rsidRPr="00FC74AB">
        <w:rPr>
          <w:lang w:val="ca-ES"/>
        </w:rPr>
        <w:t>’</w:t>
      </w:r>
      <w:r w:rsidR="003A7E50" w:rsidRPr="00FC74AB">
        <w:rPr>
          <w:lang w:val="ca-ES"/>
        </w:rPr>
        <w:t>ingressos</w:t>
      </w:r>
      <w:r w:rsidR="007E16DC" w:rsidRPr="00FC74AB">
        <w:rPr>
          <w:lang w:val="ca-ES"/>
        </w:rPr>
        <w:t xml:space="preserve"> m</w:t>
      </w:r>
      <w:r w:rsidR="00DB041B" w:rsidRPr="00FC74AB">
        <w:rPr>
          <w:lang w:val="ca-ES"/>
        </w:rPr>
        <w:t xml:space="preserve">itjans més </w:t>
      </w:r>
      <w:r w:rsidR="007E16DC" w:rsidRPr="00FC74AB">
        <w:rPr>
          <w:lang w:val="ca-ES"/>
        </w:rPr>
        <w:t>estables</w:t>
      </w:r>
      <w:r w:rsidR="007E16DC" w:rsidRPr="00FC74AB">
        <w:rPr>
          <w:rStyle w:val="FootnoteReference"/>
          <w:lang w:val="ca-ES"/>
        </w:rPr>
        <w:footnoteReference w:id="44"/>
      </w:r>
      <w:r w:rsidR="00DB041B" w:rsidRPr="00FC74AB">
        <w:rPr>
          <w:lang w:val="ca-ES"/>
        </w:rPr>
        <w:t>. A mé</w:t>
      </w:r>
      <w:r w:rsidR="007E16DC" w:rsidRPr="00FC74AB">
        <w:rPr>
          <w:lang w:val="ca-ES"/>
        </w:rPr>
        <w:t>s,</w:t>
      </w:r>
      <w:r w:rsidR="005214BF" w:rsidRPr="00FC74AB">
        <w:rPr>
          <w:lang w:val="ca-ES"/>
        </w:rPr>
        <w:t xml:space="preserve"> els </w:t>
      </w:r>
      <w:r w:rsidR="004C6C88" w:rsidRPr="00FC74AB">
        <w:rPr>
          <w:lang w:val="ca-ES"/>
        </w:rPr>
        <w:t xml:space="preserve">operadors privats solen dependre dels fons públics, sovint en forma de préstecs amb tipus d’interès baixos, per ampliar l’accés o </w:t>
      </w:r>
      <w:r w:rsidR="00DB041B" w:rsidRPr="00FC74AB">
        <w:rPr>
          <w:lang w:val="ca-ES"/>
        </w:rPr>
        <w:t xml:space="preserve">millorar la infraestructura. En </w:t>
      </w:r>
      <w:r w:rsidR="004C6C88" w:rsidRPr="00FC74AB">
        <w:rPr>
          <w:lang w:val="ca-ES"/>
        </w:rPr>
        <w:t>lloc d’aportar recursos nous, les empreses competeixen amb els operadors públics pels escassos fons estatals</w:t>
      </w:r>
      <w:r w:rsidR="007E16DC" w:rsidRPr="00FC74AB">
        <w:rPr>
          <w:rStyle w:val="FootnoteReference"/>
          <w:lang w:val="ca-ES"/>
        </w:rPr>
        <w:footnoteReference w:id="45"/>
      </w:r>
      <w:r w:rsidR="007E16DC" w:rsidRPr="00FC74AB">
        <w:rPr>
          <w:lang w:val="ca-ES"/>
        </w:rPr>
        <w:t>.</w:t>
      </w:r>
      <w:r w:rsidR="00FE3EDE" w:rsidRPr="00FC74AB">
        <w:rPr>
          <w:lang w:val="ca-ES"/>
        </w:rPr>
        <w:t xml:space="preserve"> Quan els Estats destinen fons dels contribuents a </w:t>
      </w:r>
      <w:r w:rsidR="000D4AAA" w:rsidRPr="00FC74AB">
        <w:rPr>
          <w:lang w:val="ca-ES"/>
        </w:rPr>
        <w:t xml:space="preserve">corregir </w:t>
      </w:r>
      <w:r w:rsidR="00FE3EDE" w:rsidRPr="00FC74AB">
        <w:rPr>
          <w:lang w:val="ca-ES"/>
        </w:rPr>
        <w:t>les deficiències que resulten de no recórrer a les inversions privades previstes, mentre que els excedents econòmics es transfereixen a les empreses, els béns i recursos públics s’utilitzen en benefici de les empreses privades, és a dir</w:t>
      </w:r>
      <w:r w:rsidR="000D4AAA" w:rsidRPr="00FC74AB">
        <w:rPr>
          <w:lang w:val="ca-ES"/>
        </w:rPr>
        <w:t>,</w:t>
      </w:r>
      <w:r w:rsidR="00FE3EDE" w:rsidRPr="00FC74AB">
        <w:rPr>
          <w:lang w:val="ca-ES"/>
        </w:rPr>
        <w:t xml:space="preserve"> no s’utilitzen al màxim per complir les obligacions en matèria de drets humans. Això no només afecta als drets humans a l’aigua i al sanejament, sinó també a altres drets econòmics i socials.</w:t>
      </w:r>
    </w:p>
    <w:p w14:paraId="3346A6D4" w14:textId="24F9704B" w:rsidR="007E16DC" w:rsidRPr="00FC74AB" w:rsidRDefault="007E16DC" w:rsidP="002F4DDC">
      <w:pPr>
        <w:pStyle w:val="SingleTxt"/>
        <w:keepNext/>
        <w:keepLines/>
        <w:numPr>
          <w:ilvl w:val="2"/>
          <w:numId w:val="49"/>
        </w:numPr>
        <w:spacing w:line="240" w:lineRule="atLeast"/>
        <w:ind w:left="1264" w:firstLine="0"/>
        <w:rPr>
          <w:lang w:val="ca-ES"/>
        </w:rPr>
      </w:pPr>
      <w:r w:rsidRPr="00FC74AB">
        <w:rPr>
          <w:lang w:val="ca-ES"/>
        </w:rPr>
        <w:t>En tercer l</w:t>
      </w:r>
      <w:r w:rsidR="00FE3EDE" w:rsidRPr="00FC74AB">
        <w:rPr>
          <w:lang w:val="ca-ES"/>
        </w:rPr>
        <w:t>loc, la corrupció</w:t>
      </w:r>
      <w:r w:rsidRPr="00FC74AB">
        <w:rPr>
          <w:lang w:val="ca-ES"/>
        </w:rPr>
        <w:t xml:space="preserve"> obstaculi</w:t>
      </w:r>
      <w:r w:rsidR="00FE3EDE" w:rsidRPr="00FC74AB">
        <w:rPr>
          <w:lang w:val="ca-ES"/>
        </w:rPr>
        <w:t>t</w:t>
      </w:r>
      <w:r w:rsidRPr="00FC74AB">
        <w:rPr>
          <w:lang w:val="ca-ES"/>
        </w:rPr>
        <w:t>za</w:t>
      </w:r>
      <w:r w:rsidR="00B46D53" w:rsidRPr="00FC74AB">
        <w:rPr>
          <w:lang w:val="ca-ES"/>
        </w:rPr>
        <w:t xml:space="preserve"> </w:t>
      </w:r>
      <w:r w:rsidRPr="00FC74AB">
        <w:rPr>
          <w:lang w:val="ca-ES"/>
        </w:rPr>
        <w:t xml:space="preserve">la </w:t>
      </w:r>
      <w:r w:rsidR="00B02930" w:rsidRPr="00FC74AB">
        <w:rPr>
          <w:lang w:val="ca-ES"/>
        </w:rPr>
        <w:t>capacitat</w:t>
      </w:r>
      <w:r w:rsidRPr="00FC74AB">
        <w:rPr>
          <w:lang w:val="ca-ES"/>
        </w:rPr>
        <w:t xml:space="preserve"> de</w:t>
      </w:r>
      <w:r w:rsidR="00B02930" w:rsidRPr="00FC74AB">
        <w:rPr>
          <w:lang w:val="ca-ES"/>
        </w:rPr>
        <w:t xml:space="preserve"> </w:t>
      </w:r>
      <w:r w:rsidRPr="00FC74AB">
        <w:rPr>
          <w:lang w:val="ca-ES"/>
        </w:rPr>
        <w:t>l</w:t>
      </w:r>
      <w:r w:rsidR="00B02930" w:rsidRPr="00FC74AB">
        <w:rPr>
          <w:lang w:val="ca-ES"/>
        </w:rPr>
        <w:t>’E</w:t>
      </w:r>
      <w:r w:rsidRPr="00FC74AB">
        <w:rPr>
          <w:lang w:val="ca-ES"/>
        </w:rPr>
        <w:t>sta</w:t>
      </w:r>
      <w:r w:rsidR="00B02930" w:rsidRPr="00FC74AB">
        <w:rPr>
          <w:lang w:val="ca-ES"/>
        </w:rPr>
        <w:t>t pe</w:t>
      </w:r>
      <w:r w:rsidRPr="00FC74AB">
        <w:rPr>
          <w:lang w:val="ca-ES"/>
        </w:rPr>
        <w:t>r utili</w:t>
      </w:r>
      <w:r w:rsidR="00B02930" w:rsidRPr="00FC74AB">
        <w:rPr>
          <w:lang w:val="ca-ES"/>
        </w:rPr>
        <w:t>t</w:t>
      </w:r>
      <w:r w:rsidRPr="00FC74AB">
        <w:rPr>
          <w:lang w:val="ca-ES"/>
        </w:rPr>
        <w:t xml:space="preserve">zar </w:t>
      </w:r>
      <w:r w:rsidR="002F4DDC" w:rsidRPr="00FC74AB">
        <w:rPr>
          <w:lang w:val="ca-ES"/>
        </w:rPr>
        <w:t xml:space="preserve">tots </w:t>
      </w:r>
      <w:r w:rsidRPr="00FC74AB">
        <w:rPr>
          <w:lang w:val="ca-ES"/>
        </w:rPr>
        <w:t>e</w:t>
      </w:r>
      <w:r w:rsidR="00B02930" w:rsidRPr="00FC74AB">
        <w:rPr>
          <w:lang w:val="ca-ES"/>
        </w:rPr>
        <w:t xml:space="preserve">ls </w:t>
      </w:r>
      <w:r w:rsidRPr="00FC74AB">
        <w:rPr>
          <w:lang w:val="ca-ES"/>
        </w:rPr>
        <w:t>recursos disponibles</w:t>
      </w:r>
      <w:r w:rsidRPr="00FC74AB">
        <w:rPr>
          <w:rStyle w:val="FootnoteReference"/>
          <w:lang w:val="ca-ES"/>
        </w:rPr>
        <w:footnoteReference w:id="46"/>
      </w:r>
      <w:r w:rsidRPr="00FC74AB">
        <w:rPr>
          <w:lang w:val="ca-ES"/>
        </w:rPr>
        <w:t xml:space="preserve">. </w:t>
      </w:r>
      <w:r w:rsidR="004C6C88" w:rsidRPr="00FC74AB">
        <w:rPr>
          <w:lang w:val="ca-ES"/>
        </w:rPr>
        <w:t xml:space="preserve">Quan </w:t>
      </w:r>
      <w:r w:rsidR="00B02930" w:rsidRPr="00FC74AB">
        <w:rPr>
          <w:lang w:val="ca-ES"/>
        </w:rPr>
        <w:t xml:space="preserve">els actors </w:t>
      </w:r>
      <w:r w:rsidR="004C6C88" w:rsidRPr="00FC74AB">
        <w:rPr>
          <w:lang w:val="ca-ES"/>
        </w:rPr>
        <w:t>del sector privat participen en pràctiques corrup</w:t>
      </w:r>
      <w:r w:rsidR="00B02930" w:rsidRPr="00FC74AB">
        <w:rPr>
          <w:lang w:val="ca-ES"/>
        </w:rPr>
        <w:t>tes, es crea una altra cadena d’</w:t>
      </w:r>
      <w:r w:rsidR="004C6C88" w:rsidRPr="00FC74AB">
        <w:rPr>
          <w:lang w:val="ca-ES"/>
        </w:rPr>
        <w:t>entitats i una capa més de possibles actes de corrupció, que inclouen el suborn de càrrecs públics o fi</w:t>
      </w:r>
      <w:r w:rsidR="00B02930" w:rsidRPr="00FC74AB">
        <w:rPr>
          <w:lang w:val="ca-ES"/>
        </w:rPr>
        <w:t>ns i tot la recepció de suborns</w:t>
      </w:r>
      <w:r w:rsidRPr="00FC74AB">
        <w:rPr>
          <w:rStyle w:val="FootnoteReference"/>
          <w:lang w:val="ca-ES"/>
        </w:rPr>
        <w:footnoteReference w:id="47"/>
      </w:r>
      <w:r w:rsidRPr="00FC74AB">
        <w:rPr>
          <w:lang w:val="ca-ES"/>
        </w:rPr>
        <w:t xml:space="preserve">. De </w:t>
      </w:r>
      <w:r w:rsidR="00B02930" w:rsidRPr="00FC74AB">
        <w:rPr>
          <w:lang w:val="ca-ES"/>
        </w:rPr>
        <w:t>fet</w:t>
      </w:r>
      <w:r w:rsidRPr="00FC74AB">
        <w:rPr>
          <w:lang w:val="ca-ES"/>
        </w:rPr>
        <w:t>, s</w:t>
      </w:r>
      <w:r w:rsidR="00B02930" w:rsidRPr="00FC74AB">
        <w:rPr>
          <w:lang w:val="ca-ES"/>
        </w:rPr>
        <w:t>’</w:t>
      </w:r>
      <w:r w:rsidRPr="00FC74AB">
        <w:rPr>
          <w:lang w:val="ca-ES"/>
        </w:rPr>
        <w:t>han documenta</w:t>
      </w:r>
      <w:r w:rsidR="00B02930" w:rsidRPr="00FC74AB">
        <w:rPr>
          <w:lang w:val="ca-ES"/>
        </w:rPr>
        <w:t>t casos de corrupció</w:t>
      </w:r>
      <w:r w:rsidRPr="00FC74AB">
        <w:rPr>
          <w:lang w:val="ca-ES"/>
        </w:rPr>
        <w:t xml:space="preserve"> </w:t>
      </w:r>
      <w:r w:rsidR="00B02930" w:rsidRPr="00FC74AB">
        <w:rPr>
          <w:lang w:val="ca-ES"/>
        </w:rPr>
        <w:t xml:space="preserve">amb subministradors </w:t>
      </w:r>
      <w:r w:rsidR="004879F7" w:rsidRPr="00FC74AB">
        <w:rPr>
          <w:lang w:val="ca-ES"/>
        </w:rPr>
        <w:t>privat</w:t>
      </w:r>
      <w:r w:rsidRPr="00FC74AB">
        <w:rPr>
          <w:lang w:val="ca-ES"/>
        </w:rPr>
        <w:t xml:space="preserve">s </w:t>
      </w:r>
      <w:r w:rsidR="00B02930" w:rsidRPr="00FC74AB">
        <w:rPr>
          <w:lang w:val="ca-ES"/>
        </w:rPr>
        <w:t xml:space="preserve">implicats </w:t>
      </w:r>
      <w:r w:rsidRPr="00FC74AB">
        <w:rPr>
          <w:lang w:val="ca-ES"/>
        </w:rPr>
        <w:t xml:space="preserve">en </w:t>
      </w:r>
      <w:r w:rsidR="00B02930" w:rsidRPr="00FC74AB">
        <w:rPr>
          <w:lang w:val="ca-ES"/>
        </w:rPr>
        <w:t>diferents llocs, com</w:t>
      </w:r>
      <w:r w:rsidRPr="00FC74AB">
        <w:rPr>
          <w:lang w:val="ca-ES"/>
        </w:rPr>
        <w:t xml:space="preserve"> Atlanta (</w:t>
      </w:r>
      <w:r w:rsidR="00195395" w:rsidRPr="00FC74AB">
        <w:rPr>
          <w:lang w:val="ca-ES"/>
        </w:rPr>
        <w:t>Estats</w:t>
      </w:r>
      <w:r w:rsidRPr="00FC74AB">
        <w:rPr>
          <w:lang w:val="ca-ES"/>
        </w:rPr>
        <w:t xml:space="preserve"> Uni</w:t>
      </w:r>
      <w:r w:rsidR="00B02930" w:rsidRPr="00FC74AB">
        <w:rPr>
          <w:lang w:val="ca-ES"/>
        </w:rPr>
        <w:t>t</w:t>
      </w:r>
      <w:r w:rsidRPr="00FC74AB">
        <w:rPr>
          <w:lang w:val="ca-ES"/>
        </w:rPr>
        <w:t>s d</w:t>
      </w:r>
      <w:r w:rsidR="00B02930" w:rsidRPr="00FC74AB">
        <w:rPr>
          <w:lang w:val="ca-ES"/>
        </w:rPr>
        <w:t>’Amèrica), Sofi</w:t>
      </w:r>
      <w:r w:rsidRPr="00FC74AB">
        <w:rPr>
          <w:lang w:val="ca-ES"/>
        </w:rPr>
        <w:t>a</w:t>
      </w:r>
      <w:r w:rsidR="003C3066" w:rsidRPr="00FC74AB">
        <w:rPr>
          <w:lang w:val="ca-ES"/>
        </w:rPr>
        <w:t xml:space="preserve"> (Bulgària)</w:t>
      </w:r>
      <w:r w:rsidR="007E4E7F" w:rsidRPr="00FC74AB">
        <w:rPr>
          <w:lang w:val="ca-ES"/>
        </w:rPr>
        <w:t xml:space="preserve"> i </w:t>
      </w:r>
      <w:r w:rsidR="00B02930" w:rsidRPr="00FC74AB">
        <w:rPr>
          <w:lang w:val="ca-ES"/>
        </w:rPr>
        <w:t>Tarragona (Espany</w:t>
      </w:r>
      <w:r w:rsidRPr="00FC74AB">
        <w:rPr>
          <w:lang w:val="ca-ES"/>
        </w:rPr>
        <w:t>a)</w:t>
      </w:r>
      <w:r w:rsidRPr="00FC74AB">
        <w:rPr>
          <w:rStyle w:val="FootnoteReference"/>
          <w:lang w:val="ca-ES"/>
        </w:rPr>
        <w:footnoteReference w:id="48"/>
      </w:r>
      <w:r w:rsidRPr="00FC74AB">
        <w:rPr>
          <w:lang w:val="ca-ES"/>
        </w:rPr>
        <w:t xml:space="preserve">. </w:t>
      </w:r>
      <w:r w:rsidR="00B02930" w:rsidRPr="00FC74AB">
        <w:rPr>
          <w:lang w:val="ca-ES"/>
        </w:rPr>
        <w:t>A Grenoble (Franç</w:t>
      </w:r>
      <w:r w:rsidRPr="00FC74AB">
        <w:rPr>
          <w:lang w:val="ca-ES"/>
        </w:rPr>
        <w:t xml:space="preserve">a), </w:t>
      </w:r>
      <w:r w:rsidR="0048735E" w:rsidRPr="00FC74AB">
        <w:rPr>
          <w:lang w:val="ca-ES"/>
        </w:rPr>
        <w:t>per exemple</w:t>
      </w:r>
      <w:r w:rsidRPr="00FC74AB">
        <w:rPr>
          <w:lang w:val="ca-ES"/>
        </w:rPr>
        <w:t xml:space="preserve">, un tribunal </w:t>
      </w:r>
      <w:r w:rsidR="00B02930" w:rsidRPr="00FC74AB">
        <w:rPr>
          <w:lang w:val="ca-ES"/>
        </w:rPr>
        <w:t xml:space="preserve">va </w:t>
      </w:r>
      <w:r w:rsidRPr="00FC74AB">
        <w:rPr>
          <w:lang w:val="ca-ES"/>
        </w:rPr>
        <w:t>determin</w:t>
      </w:r>
      <w:r w:rsidR="00B02930" w:rsidRPr="00FC74AB">
        <w:rPr>
          <w:lang w:val="ca-ES"/>
        </w:rPr>
        <w:t>ar</w:t>
      </w:r>
      <w:r w:rsidRPr="00FC74AB">
        <w:rPr>
          <w:lang w:val="ca-ES"/>
        </w:rPr>
        <w:t xml:space="preserve"> que una empresa privada ha</w:t>
      </w:r>
      <w:r w:rsidR="00B02930" w:rsidRPr="00FC74AB">
        <w:rPr>
          <w:lang w:val="ca-ES"/>
        </w:rPr>
        <w:t>via guanyat una licitació pública perquè</w:t>
      </w:r>
      <w:r w:rsidRPr="00FC74AB">
        <w:rPr>
          <w:lang w:val="ca-ES"/>
        </w:rPr>
        <w:t xml:space="preserve"> ha</w:t>
      </w:r>
      <w:r w:rsidR="00B02930" w:rsidRPr="00FC74AB">
        <w:rPr>
          <w:lang w:val="ca-ES"/>
        </w:rPr>
        <w:t>via su</w:t>
      </w:r>
      <w:r w:rsidRPr="00FC74AB">
        <w:rPr>
          <w:lang w:val="ca-ES"/>
        </w:rPr>
        <w:t>borna</w:t>
      </w:r>
      <w:r w:rsidR="00B02930" w:rsidRPr="00FC74AB">
        <w:rPr>
          <w:lang w:val="ca-ES"/>
        </w:rPr>
        <w:t>t</w:t>
      </w:r>
      <w:r w:rsidRPr="00FC74AB">
        <w:rPr>
          <w:lang w:val="ca-ES"/>
        </w:rPr>
        <w:t xml:space="preserve"> </w:t>
      </w:r>
      <w:r w:rsidR="00B3113E" w:rsidRPr="00FC74AB">
        <w:rPr>
          <w:lang w:val="ca-ES"/>
        </w:rPr>
        <w:t xml:space="preserve">les </w:t>
      </w:r>
      <w:r w:rsidR="00E31C4A" w:rsidRPr="00FC74AB">
        <w:rPr>
          <w:lang w:val="ca-ES"/>
        </w:rPr>
        <w:t>autoritats</w:t>
      </w:r>
      <w:r w:rsidRPr="00FC74AB">
        <w:rPr>
          <w:lang w:val="ca-ES"/>
        </w:rPr>
        <w:t xml:space="preserve"> </w:t>
      </w:r>
      <w:r w:rsidR="003A7E50" w:rsidRPr="00FC74AB">
        <w:rPr>
          <w:lang w:val="ca-ES"/>
        </w:rPr>
        <w:t>públiques</w:t>
      </w:r>
      <w:r w:rsidRPr="00FC74AB">
        <w:rPr>
          <w:lang w:val="ca-ES"/>
        </w:rPr>
        <w:t xml:space="preserve"> que, a ca</w:t>
      </w:r>
      <w:r w:rsidR="00B02930" w:rsidRPr="00FC74AB">
        <w:rPr>
          <w:lang w:val="ca-ES"/>
        </w:rPr>
        <w:t>nvi</w:t>
      </w:r>
      <w:r w:rsidRPr="00FC74AB">
        <w:rPr>
          <w:lang w:val="ca-ES"/>
        </w:rPr>
        <w:t xml:space="preserve">, </w:t>
      </w:r>
      <w:r w:rsidR="00B02930" w:rsidRPr="00FC74AB">
        <w:rPr>
          <w:lang w:val="ca-ES"/>
        </w:rPr>
        <w:t xml:space="preserve">van </w:t>
      </w:r>
      <w:r w:rsidRPr="00FC74AB">
        <w:rPr>
          <w:lang w:val="ca-ES"/>
        </w:rPr>
        <w:t>ac</w:t>
      </w:r>
      <w:r w:rsidR="00B02930" w:rsidRPr="00FC74AB">
        <w:rPr>
          <w:lang w:val="ca-ES"/>
        </w:rPr>
        <w:t>c</w:t>
      </w:r>
      <w:r w:rsidRPr="00FC74AB">
        <w:rPr>
          <w:lang w:val="ca-ES"/>
        </w:rPr>
        <w:t>eptar proporcionar a l</w:t>
      </w:r>
      <w:r w:rsidR="00B02930" w:rsidRPr="00FC74AB">
        <w:rPr>
          <w:lang w:val="ca-ES"/>
        </w:rPr>
        <w:t>’</w:t>
      </w:r>
      <w:r w:rsidRPr="00FC74AB">
        <w:rPr>
          <w:lang w:val="ca-ES"/>
        </w:rPr>
        <w:t>empresa</w:t>
      </w:r>
      <w:r w:rsidR="00DB041B" w:rsidRPr="00FC74AB">
        <w:rPr>
          <w:lang w:val="ca-ES"/>
        </w:rPr>
        <w:t xml:space="preserve"> més </w:t>
      </w:r>
      <w:r w:rsidR="003A7E50" w:rsidRPr="00FC74AB">
        <w:rPr>
          <w:lang w:val="ca-ES"/>
        </w:rPr>
        <w:t>ingressos</w:t>
      </w:r>
      <w:r w:rsidRPr="00FC74AB">
        <w:rPr>
          <w:lang w:val="ca-ES"/>
        </w:rPr>
        <w:t xml:space="preserve"> </w:t>
      </w:r>
      <w:r w:rsidR="009A31D3" w:rsidRPr="00FC74AB">
        <w:rPr>
          <w:lang w:val="ca-ES"/>
        </w:rPr>
        <w:t>dels</w:t>
      </w:r>
      <w:r w:rsidR="005214BF" w:rsidRPr="00FC74AB">
        <w:rPr>
          <w:lang w:val="ca-ES"/>
        </w:rPr>
        <w:t xml:space="preserve"> </w:t>
      </w:r>
      <w:r w:rsidRPr="00FC74AB">
        <w:rPr>
          <w:lang w:val="ca-ES"/>
        </w:rPr>
        <w:t xml:space="preserve">que </w:t>
      </w:r>
      <w:r w:rsidR="00B02930" w:rsidRPr="00FC74AB">
        <w:rPr>
          <w:lang w:val="ca-ES"/>
        </w:rPr>
        <w:t>rebia l’operador públic</w:t>
      </w:r>
      <w:r w:rsidRPr="00FC74AB">
        <w:rPr>
          <w:rStyle w:val="FootnoteReference"/>
          <w:lang w:val="ca-ES"/>
        </w:rPr>
        <w:footnoteReference w:id="49"/>
      </w:r>
      <w:r w:rsidRPr="00FC74AB">
        <w:rPr>
          <w:lang w:val="ca-ES"/>
        </w:rPr>
        <w:t>.</w:t>
      </w:r>
    </w:p>
    <w:p w14:paraId="387AF506" w14:textId="4E1D7170" w:rsidR="007E16DC" w:rsidRPr="00FC74AB" w:rsidRDefault="00B02930" w:rsidP="008E705E">
      <w:pPr>
        <w:pStyle w:val="SingleTxt"/>
        <w:numPr>
          <w:ilvl w:val="2"/>
          <w:numId w:val="49"/>
        </w:numPr>
        <w:spacing w:line="240" w:lineRule="atLeast"/>
        <w:ind w:left="1267" w:firstLine="0"/>
        <w:rPr>
          <w:lang w:val="ca-ES"/>
        </w:rPr>
      </w:pPr>
      <w:r w:rsidRPr="00FC74AB">
        <w:rPr>
          <w:lang w:val="ca-ES"/>
        </w:rPr>
        <w:t>Finalment</w:t>
      </w:r>
      <w:r w:rsidR="007E16DC" w:rsidRPr="00FC74AB">
        <w:rPr>
          <w:lang w:val="ca-ES"/>
        </w:rPr>
        <w:t xml:space="preserve">, </w:t>
      </w:r>
      <w:r w:rsidRPr="00FC74AB">
        <w:rPr>
          <w:lang w:val="ca-ES"/>
        </w:rPr>
        <w:t>t</w:t>
      </w:r>
      <w:r w:rsidR="004C6C88" w:rsidRPr="00FC74AB">
        <w:rPr>
          <w:lang w:val="ca-ES"/>
        </w:rPr>
        <w:t>ambé hi ha el risc q</w:t>
      </w:r>
      <w:r w:rsidRPr="00FC74AB">
        <w:rPr>
          <w:lang w:val="ca-ES"/>
        </w:rPr>
        <w:t>ue els recursos del sector de l’</w:t>
      </w:r>
      <w:r w:rsidR="004C6C88" w:rsidRPr="00FC74AB">
        <w:rPr>
          <w:lang w:val="ca-ES"/>
        </w:rPr>
        <w:t>aigua i el sanejament es drenin cap a altres s</w:t>
      </w:r>
      <w:r w:rsidRPr="00FC74AB">
        <w:rPr>
          <w:lang w:val="ca-ES"/>
        </w:rPr>
        <w:t>ectors, a través de pagaments d’</w:t>
      </w:r>
      <w:r w:rsidR="004C6C88" w:rsidRPr="00FC74AB">
        <w:rPr>
          <w:lang w:val="ca-ES"/>
        </w:rPr>
        <w:t xml:space="preserve">arrendaments la destinació dels quals no es </w:t>
      </w:r>
      <w:r w:rsidR="003C3066" w:rsidRPr="00FC74AB">
        <w:rPr>
          <w:lang w:val="ca-ES"/>
        </w:rPr>
        <w:t xml:space="preserve">pot </w:t>
      </w:r>
      <w:r w:rsidR="004C6C88" w:rsidRPr="00FC74AB">
        <w:rPr>
          <w:lang w:val="ca-ES"/>
        </w:rPr>
        <w:t>rastrejar fàcilment</w:t>
      </w:r>
      <w:r w:rsidR="007E16DC" w:rsidRPr="00FC74AB">
        <w:rPr>
          <w:lang w:val="ca-ES"/>
        </w:rPr>
        <w:t xml:space="preserve">. </w:t>
      </w:r>
      <w:r w:rsidRPr="00FC74AB">
        <w:rPr>
          <w:lang w:val="ca-ES"/>
        </w:rPr>
        <w:t>A</w:t>
      </w:r>
      <w:r w:rsidR="007E16DC" w:rsidRPr="00FC74AB">
        <w:rPr>
          <w:lang w:val="ca-ES"/>
        </w:rPr>
        <w:t xml:space="preserve"> Rialto (</w:t>
      </w:r>
      <w:r w:rsidR="00195395" w:rsidRPr="00FC74AB">
        <w:rPr>
          <w:lang w:val="ca-ES"/>
        </w:rPr>
        <w:t>Estats</w:t>
      </w:r>
      <w:r w:rsidR="007E16DC" w:rsidRPr="00FC74AB">
        <w:rPr>
          <w:lang w:val="ca-ES"/>
        </w:rPr>
        <w:t xml:space="preserve"> Uni</w:t>
      </w:r>
      <w:r w:rsidRPr="00FC74AB">
        <w:rPr>
          <w:lang w:val="ca-ES"/>
        </w:rPr>
        <w:t>t</w:t>
      </w:r>
      <w:r w:rsidR="007E16DC" w:rsidRPr="00FC74AB">
        <w:rPr>
          <w:lang w:val="ca-ES"/>
        </w:rPr>
        <w:t xml:space="preserve">s), </w:t>
      </w:r>
      <w:r w:rsidR="0048735E" w:rsidRPr="00FC74AB">
        <w:rPr>
          <w:lang w:val="ca-ES"/>
        </w:rPr>
        <w:t>per exemple</w:t>
      </w:r>
      <w:r w:rsidR="007E16DC" w:rsidRPr="00FC74AB">
        <w:rPr>
          <w:lang w:val="ca-ES"/>
        </w:rPr>
        <w:t>, al</w:t>
      </w:r>
      <w:r w:rsidR="00C47322" w:rsidRPr="00FC74AB">
        <w:rPr>
          <w:lang w:val="ca-ES"/>
        </w:rPr>
        <w:t xml:space="preserve"> voltant d’</w:t>
      </w:r>
      <w:r w:rsidR="007E16DC" w:rsidRPr="00FC74AB">
        <w:rPr>
          <w:lang w:val="ca-ES"/>
        </w:rPr>
        <w:t>u</w:t>
      </w:r>
      <w:r w:rsidR="00C47322" w:rsidRPr="00FC74AB">
        <w:rPr>
          <w:lang w:val="ca-ES"/>
        </w:rPr>
        <w:t>n 20 % del total de la inversió</w:t>
      </w:r>
      <w:r w:rsidR="007E16DC" w:rsidRPr="00FC74AB">
        <w:rPr>
          <w:lang w:val="ca-ES"/>
        </w:rPr>
        <w:t xml:space="preserve"> anticipada del </w:t>
      </w:r>
      <w:r w:rsidR="00C47322" w:rsidRPr="00FC74AB">
        <w:rPr>
          <w:lang w:val="ca-ES"/>
        </w:rPr>
        <w:t xml:space="preserve">subministrador </w:t>
      </w:r>
      <w:r w:rsidR="007E16DC" w:rsidRPr="00FC74AB">
        <w:rPr>
          <w:lang w:val="ca-ES"/>
        </w:rPr>
        <w:t>privati</w:t>
      </w:r>
      <w:r w:rsidR="00C47322" w:rsidRPr="00FC74AB">
        <w:rPr>
          <w:lang w:val="ca-ES"/>
        </w:rPr>
        <w:t>t</w:t>
      </w:r>
      <w:r w:rsidR="007E16DC" w:rsidRPr="00FC74AB">
        <w:rPr>
          <w:lang w:val="ca-ES"/>
        </w:rPr>
        <w:t>za</w:t>
      </w:r>
      <w:r w:rsidR="00C47322" w:rsidRPr="00FC74AB">
        <w:rPr>
          <w:lang w:val="ca-ES"/>
        </w:rPr>
        <w:t>t</w:t>
      </w:r>
      <w:r w:rsidR="007E16DC" w:rsidRPr="00FC74AB">
        <w:rPr>
          <w:lang w:val="ca-ES"/>
        </w:rPr>
        <w:t xml:space="preserve"> </w:t>
      </w:r>
      <w:r w:rsidR="00E62A23" w:rsidRPr="00FC74AB">
        <w:rPr>
          <w:lang w:val="ca-ES"/>
        </w:rPr>
        <w:t xml:space="preserve">recentment </w:t>
      </w:r>
      <w:r w:rsidR="007E16DC" w:rsidRPr="00FC74AB">
        <w:rPr>
          <w:lang w:val="ca-ES"/>
        </w:rPr>
        <w:t>e</w:t>
      </w:r>
      <w:r w:rsidR="00C47322" w:rsidRPr="00FC74AB">
        <w:rPr>
          <w:lang w:val="ca-ES"/>
        </w:rPr>
        <w:t>s va</w:t>
      </w:r>
      <w:r w:rsidR="007E16DC" w:rsidRPr="00FC74AB">
        <w:rPr>
          <w:lang w:val="ca-ES"/>
        </w:rPr>
        <w:t xml:space="preserve"> destin</w:t>
      </w:r>
      <w:r w:rsidR="00C47322" w:rsidRPr="00FC74AB">
        <w:rPr>
          <w:lang w:val="ca-ES"/>
        </w:rPr>
        <w:t>ar</w:t>
      </w:r>
      <w:r w:rsidR="007E16DC" w:rsidRPr="00FC74AB">
        <w:rPr>
          <w:lang w:val="ca-ES"/>
        </w:rPr>
        <w:t xml:space="preserve"> a pag</w:t>
      </w:r>
      <w:r w:rsidR="00F41128" w:rsidRPr="00FC74AB">
        <w:rPr>
          <w:lang w:val="ca-ES"/>
        </w:rPr>
        <w:t>aments d’arrendaments al municipi</w:t>
      </w:r>
      <w:r w:rsidR="007E16DC" w:rsidRPr="00FC74AB">
        <w:rPr>
          <w:lang w:val="ca-ES"/>
        </w:rPr>
        <w:t xml:space="preserve">, que </w:t>
      </w:r>
      <w:r w:rsidR="00F41128" w:rsidRPr="00FC74AB">
        <w:rPr>
          <w:lang w:val="ca-ES"/>
        </w:rPr>
        <w:t>es van</w:t>
      </w:r>
      <w:r w:rsidR="007E16DC" w:rsidRPr="00FC74AB">
        <w:rPr>
          <w:lang w:val="ca-ES"/>
        </w:rPr>
        <w:t xml:space="preserve"> utili</w:t>
      </w:r>
      <w:r w:rsidR="00F41128" w:rsidRPr="00FC74AB">
        <w:rPr>
          <w:lang w:val="ca-ES"/>
        </w:rPr>
        <w:t>t</w:t>
      </w:r>
      <w:r w:rsidR="007E16DC" w:rsidRPr="00FC74AB">
        <w:rPr>
          <w:lang w:val="ca-ES"/>
        </w:rPr>
        <w:t xml:space="preserve">zar en </w:t>
      </w:r>
      <w:r w:rsidR="00F41128" w:rsidRPr="00FC74AB">
        <w:rPr>
          <w:lang w:val="ca-ES"/>
        </w:rPr>
        <w:t>altres projecte</w:t>
      </w:r>
      <w:r w:rsidR="007E16DC" w:rsidRPr="00FC74AB">
        <w:rPr>
          <w:lang w:val="ca-ES"/>
        </w:rPr>
        <w:t>s</w:t>
      </w:r>
      <w:r w:rsidR="007E16DC" w:rsidRPr="00FC74AB">
        <w:rPr>
          <w:rStyle w:val="FootnoteReference"/>
          <w:spacing w:val="2"/>
          <w:w w:val="101"/>
          <w:lang w:val="ca-ES"/>
        </w:rPr>
        <w:footnoteReference w:id="50"/>
      </w:r>
      <w:r w:rsidR="007E16DC" w:rsidRPr="00FC74AB">
        <w:rPr>
          <w:lang w:val="ca-ES"/>
        </w:rPr>
        <w:t xml:space="preserve">. </w:t>
      </w:r>
      <w:r w:rsidR="00F41128" w:rsidRPr="00FC74AB">
        <w:rPr>
          <w:lang w:val="ca-ES"/>
        </w:rPr>
        <w:t xml:space="preserve">Encara que les despeses són pertinents per a l’exercici efectiu d’altres drets econòmics, socials i culturals, es pot considerar que la situació </w:t>
      </w:r>
      <w:r w:rsidR="008E705E" w:rsidRPr="00FC74AB">
        <w:rPr>
          <w:lang w:val="ca-ES"/>
        </w:rPr>
        <w:t xml:space="preserve">soscava </w:t>
      </w:r>
      <w:r w:rsidR="00F41128" w:rsidRPr="00FC74AB">
        <w:rPr>
          <w:lang w:val="ca-ES"/>
        </w:rPr>
        <w:t>les obligacions estatals en virtut del Pacte Internacional dels Drets Econòmics, Socials i Culturals, ja que l’Estat no utilitza</w:t>
      </w:r>
      <w:r w:rsidR="008E705E" w:rsidRPr="00FC74AB">
        <w:rPr>
          <w:lang w:val="ca-ES"/>
        </w:rPr>
        <w:t xml:space="preserve"> tots els </w:t>
      </w:r>
      <w:r w:rsidR="00F41128" w:rsidRPr="00FC74AB">
        <w:rPr>
          <w:lang w:val="ca-ES"/>
        </w:rPr>
        <w:t xml:space="preserve">recursos disponibles per acomplir progressivament els drets humans </w:t>
      </w:r>
      <w:r w:rsidR="00D85349" w:rsidRPr="00FC74AB">
        <w:rPr>
          <w:lang w:val="ca-ES"/>
        </w:rPr>
        <w:t>a l’aigua</w:t>
      </w:r>
      <w:r w:rsidR="007E4E7F" w:rsidRPr="00FC74AB">
        <w:rPr>
          <w:lang w:val="ca-ES"/>
        </w:rPr>
        <w:t xml:space="preserve"> i </w:t>
      </w:r>
      <w:r w:rsidR="007E16DC" w:rsidRPr="00FC74AB">
        <w:rPr>
          <w:lang w:val="ca-ES"/>
        </w:rPr>
        <w:t xml:space="preserve">el </w:t>
      </w:r>
      <w:r w:rsidR="007E4E7F" w:rsidRPr="00FC74AB">
        <w:rPr>
          <w:lang w:val="ca-ES"/>
        </w:rPr>
        <w:t>sanejament</w:t>
      </w:r>
      <w:r w:rsidR="007E16DC" w:rsidRPr="00FC74AB">
        <w:rPr>
          <w:lang w:val="ca-ES"/>
        </w:rPr>
        <w:t>.</w:t>
      </w:r>
    </w:p>
    <w:p w14:paraId="6016B122" w14:textId="72EFEE4B" w:rsidR="007E16DC" w:rsidRPr="00FC74AB" w:rsidRDefault="007E16DC" w:rsidP="00195B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B.</w:t>
      </w:r>
      <w:r w:rsidRPr="00FC74AB">
        <w:rPr>
          <w:lang w:val="ca-ES"/>
        </w:rPr>
        <w:tab/>
      </w:r>
      <w:r w:rsidR="007E4E7F" w:rsidRPr="00FC74AB">
        <w:rPr>
          <w:lang w:val="ca-ES"/>
        </w:rPr>
        <w:t>Assequibilitat</w:t>
      </w:r>
    </w:p>
    <w:p w14:paraId="619649E7" w14:textId="77777777" w:rsidR="007E16DC" w:rsidRPr="00FC74AB" w:rsidRDefault="007E16DC" w:rsidP="007E16DC">
      <w:pPr>
        <w:pStyle w:val="SingleTxt"/>
        <w:spacing w:after="0" w:line="120" w:lineRule="exact"/>
        <w:rPr>
          <w:sz w:val="10"/>
          <w:lang w:val="ca-ES"/>
        </w:rPr>
      </w:pPr>
    </w:p>
    <w:p w14:paraId="5D9E19FA" w14:textId="77777777" w:rsidR="007E16DC" w:rsidRPr="00FC74AB" w:rsidRDefault="007E16DC" w:rsidP="007E16DC">
      <w:pPr>
        <w:pStyle w:val="SingleTxt"/>
        <w:spacing w:after="0" w:line="120" w:lineRule="exact"/>
        <w:rPr>
          <w:sz w:val="10"/>
          <w:lang w:val="ca-ES"/>
        </w:rPr>
      </w:pPr>
    </w:p>
    <w:p w14:paraId="15577DB7" w14:textId="78855AEB" w:rsidR="007E16DC" w:rsidRPr="00FC74AB" w:rsidRDefault="007B1BA2" w:rsidP="00DC2D34">
      <w:pPr>
        <w:pStyle w:val="SingleTxt"/>
        <w:numPr>
          <w:ilvl w:val="2"/>
          <w:numId w:val="49"/>
        </w:numPr>
        <w:spacing w:line="240" w:lineRule="auto"/>
        <w:ind w:left="1264" w:right="1264" w:firstLine="0"/>
        <w:rPr>
          <w:w w:val="102"/>
          <w:lang w:val="ca-ES"/>
        </w:rPr>
      </w:pPr>
      <w:r w:rsidRPr="00FC74AB">
        <w:rPr>
          <w:lang w:val="ca-ES"/>
        </w:rPr>
        <w:t xml:space="preserve">Quan </w:t>
      </w:r>
      <w:r w:rsidR="004C6C88" w:rsidRPr="00FC74AB">
        <w:rPr>
          <w:lang w:val="ca-ES"/>
        </w:rPr>
        <w:t>s</w:t>
      </w:r>
      <w:r w:rsidRPr="00FC74AB">
        <w:rPr>
          <w:lang w:val="ca-ES"/>
        </w:rPr>
        <w:t>’</w:t>
      </w:r>
      <w:r w:rsidR="004C6C88" w:rsidRPr="00FC74AB">
        <w:rPr>
          <w:lang w:val="ca-ES"/>
        </w:rPr>
        <w:t>espera que la privatització millori el nivell dels serveis</w:t>
      </w:r>
      <w:r w:rsidRPr="00FC74AB">
        <w:rPr>
          <w:lang w:val="ca-ES"/>
        </w:rPr>
        <w:t xml:space="preserve"> que s‘ofereixen</w:t>
      </w:r>
      <w:r w:rsidR="004C6C88" w:rsidRPr="00FC74AB">
        <w:rPr>
          <w:lang w:val="ca-ES"/>
        </w:rPr>
        <w:t>, se suposa que els preus que es cobren als usuaris pugen per fer front a l</w:t>
      </w:r>
      <w:r w:rsidRPr="00FC74AB">
        <w:rPr>
          <w:lang w:val="ca-ES"/>
        </w:rPr>
        <w:t>’</w:t>
      </w:r>
      <w:r w:rsidR="004C6C88" w:rsidRPr="00FC74AB">
        <w:rPr>
          <w:lang w:val="ca-ES"/>
        </w:rPr>
        <w:t>augment dels costos.</w:t>
      </w:r>
      <w:r w:rsidR="007E16DC" w:rsidRPr="00FC74AB">
        <w:rPr>
          <w:lang w:val="ca-ES"/>
        </w:rPr>
        <w:t xml:space="preserve"> A</w:t>
      </w:r>
      <w:r w:rsidRPr="00FC74AB">
        <w:rPr>
          <w:lang w:val="ca-ES"/>
        </w:rPr>
        <w:t xml:space="preserve"> més</w:t>
      </w:r>
      <w:r w:rsidR="007E16DC" w:rsidRPr="00FC74AB">
        <w:rPr>
          <w:lang w:val="ca-ES"/>
        </w:rPr>
        <w:t xml:space="preserve">, </w:t>
      </w:r>
      <w:r w:rsidR="00BD4CC6" w:rsidRPr="00FC74AB">
        <w:rPr>
          <w:lang w:val="ca-ES"/>
        </w:rPr>
        <w:t>part</w:t>
      </w:r>
      <w:r w:rsidR="007E16DC" w:rsidRPr="00FC74AB">
        <w:rPr>
          <w:lang w:val="ca-ES"/>
        </w:rPr>
        <w:t xml:space="preserve"> </w:t>
      </w:r>
      <w:r w:rsidR="00BD4CC6" w:rsidRPr="00FC74AB">
        <w:rPr>
          <w:lang w:val="ca-ES"/>
        </w:rPr>
        <w:t>de la tendència a l’alça dels preus després de la privatització pot atribuir-se</w:t>
      </w:r>
      <w:r w:rsidR="00E94729" w:rsidRPr="00FC74AB">
        <w:rPr>
          <w:lang w:val="ca-ES"/>
        </w:rPr>
        <w:t xml:space="preserve"> </w:t>
      </w:r>
      <w:r w:rsidR="003C3066" w:rsidRPr="00FC74AB">
        <w:rPr>
          <w:lang w:val="ca-ES"/>
        </w:rPr>
        <w:t xml:space="preserve">al fet que en el context anterior </w:t>
      </w:r>
      <w:r w:rsidR="00BD4CC6" w:rsidRPr="00FC74AB">
        <w:rPr>
          <w:lang w:val="ca-ES"/>
        </w:rPr>
        <w:t>els valors que es cobraven pe</w:t>
      </w:r>
      <w:r w:rsidR="00E94729" w:rsidRPr="00FC74AB">
        <w:rPr>
          <w:lang w:val="ca-ES"/>
        </w:rPr>
        <w:t>ls serveis eren baixos</w:t>
      </w:r>
      <w:r w:rsidR="007E16DC" w:rsidRPr="00FC74AB">
        <w:rPr>
          <w:rStyle w:val="FootnoteReference"/>
          <w:w w:val="102"/>
          <w:lang w:val="ca-ES"/>
        </w:rPr>
        <w:footnoteReference w:id="51"/>
      </w:r>
      <w:r w:rsidR="007E16DC" w:rsidRPr="00FC74AB">
        <w:rPr>
          <w:lang w:val="ca-ES"/>
        </w:rPr>
        <w:t xml:space="preserve">. </w:t>
      </w:r>
      <w:r w:rsidR="00E94729" w:rsidRPr="00FC74AB">
        <w:rPr>
          <w:lang w:val="ca-ES"/>
        </w:rPr>
        <w:t xml:space="preserve">No obstant això, el marc dels drets humans planteja importants qüestions al respecte. En primer lloc, cal determinar </w:t>
      </w:r>
      <w:r w:rsidR="007E16DC" w:rsidRPr="00FC74AB">
        <w:rPr>
          <w:lang w:val="ca-ES"/>
        </w:rPr>
        <w:t>si</w:t>
      </w:r>
      <w:r w:rsidR="005214BF" w:rsidRPr="00FC74AB">
        <w:rPr>
          <w:lang w:val="ca-ES"/>
        </w:rPr>
        <w:t xml:space="preserve"> </w:t>
      </w:r>
      <w:r w:rsidR="004C6C88" w:rsidRPr="00FC74AB">
        <w:rPr>
          <w:lang w:val="ca-ES"/>
        </w:rPr>
        <w:t>els nous preus són compatibles tant amb els costos incorreguts com amb l’obligació de l’Estat d’utilitzar el màxim dels seus recursos disponibles.</w:t>
      </w:r>
      <w:r w:rsidR="007E16DC" w:rsidRPr="00FC74AB">
        <w:rPr>
          <w:lang w:val="ca-ES"/>
        </w:rPr>
        <w:t xml:space="preserve"> Una seg</w:t>
      </w:r>
      <w:r w:rsidR="00E94729" w:rsidRPr="00FC74AB">
        <w:rPr>
          <w:lang w:val="ca-ES"/>
        </w:rPr>
        <w:t xml:space="preserve">ona </w:t>
      </w:r>
      <w:r w:rsidR="004879F7" w:rsidRPr="00FC74AB">
        <w:rPr>
          <w:lang w:val="ca-ES"/>
        </w:rPr>
        <w:t>qüestió</w:t>
      </w:r>
      <w:r w:rsidR="007E16DC" w:rsidRPr="00FC74AB">
        <w:rPr>
          <w:lang w:val="ca-ES"/>
        </w:rPr>
        <w:t xml:space="preserve"> </w:t>
      </w:r>
      <w:r w:rsidR="00E94729" w:rsidRPr="00FC74AB">
        <w:rPr>
          <w:lang w:val="ca-ES"/>
        </w:rPr>
        <w:t>és f</w:t>
      </w:r>
      <w:r w:rsidR="004C6C88" w:rsidRPr="00FC74AB">
        <w:rPr>
          <w:lang w:val="ca-ES"/>
        </w:rPr>
        <w:t>ins a quin punt es veuen afectades econòmicament les poblacions més desafavorides i es respecten i protegeixen els seus drets humans</w:t>
      </w:r>
      <w:r w:rsidR="007E16DC" w:rsidRPr="00FC74AB">
        <w:rPr>
          <w:lang w:val="ca-ES"/>
        </w:rPr>
        <w:t xml:space="preserve">. En tercer </w:t>
      </w:r>
      <w:r w:rsidR="00E94729" w:rsidRPr="00FC74AB">
        <w:rPr>
          <w:lang w:val="ca-ES"/>
        </w:rPr>
        <w:t>lloc</w:t>
      </w:r>
      <w:r w:rsidR="007E16DC" w:rsidRPr="00FC74AB">
        <w:rPr>
          <w:lang w:val="ca-ES"/>
        </w:rPr>
        <w:t xml:space="preserve">, </w:t>
      </w:r>
      <w:r w:rsidR="00E94729" w:rsidRPr="00FC74AB">
        <w:rPr>
          <w:lang w:val="ca-ES"/>
        </w:rPr>
        <w:t xml:space="preserve">es planteja de quina manera </w:t>
      </w:r>
      <w:r w:rsidR="004C6C88" w:rsidRPr="00FC74AB">
        <w:rPr>
          <w:lang w:val="ca-ES"/>
        </w:rPr>
        <w:t>l’administració</w:t>
      </w:r>
      <w:r w:rsidR="00E94729" w:rsidRPr="00FC74AB">
        <w:rPr>
          <w:kern w:val="0"/>
          <w:lang w:val="ca-ES"/>
        </w:rPr>
        <w:t xml:space="preserve"> </w:t>
      </w:r>
      <w:r w:rsidR="00E94729" w:rsidRPr="00FC74AB">
        <w:rPr>
          <w:lang w:val="ca-ES"/>
        </w:rPr>
        <w:t>pública</w:t>
      </w:r>
      <w:r w:rsidR="004C6C88" w:rsidRPr="00FC74AB">
        <w:rPr>
          <w:lang w:val="ca-ES"/>
        </w:rPr>
        <w:t xml:space="preserve">, com a garant de drets, actua amb independència respecte de la influència que exerceixen </w:t>
      </w:r>
      <w:r w:rsidR="00E94729" w:rsidRPr="00FC74AB">
        <w:rPr>
          <w:lang w:val="ca-ES"/>
        </w:rPr>
        <w:t>les entitats del sector privat</w:t>
      </w:r>
      <w:r w:rsidR="004C6C88" w:rsidRPr="00FC74AB">
        <w:rPr>
          <w:lang w:val="ca-ES"/>
        </w:rPr>
        <w:t xml:space="preserve"> en la presa de decisions relativa a l’establiment de tarifes</w:t>
      </w:r>
      <w:r w:rsidR="007E16DC" w:rsidRPr="00FC74AB">
        <w:rPr>
          <w:lang w:val="ca-ES"/>
        </w:rPr>
        <w:t>.</w:t>
      </w:r>
    </w:p>
    <w:p w14:paraId="587E8C8D" w14:textId="6FD055FD" w:rsidR="007E16DC" w:rsidRPr="00FC74AB" w:rsidRDefault="007B1BA2" w:rsidP="0032331D">
      <w:pPr>
        <w:pStyle w:val="SingleTxt"/>
        <w:numPr>
          <w:ilvl w:val="2"/>
          <w:numId w:val="49"/>
        </w:numPr>
        <w:spacing w:line="240" w:lineRule="atLeast"/>
        <w:ind w:left="1267" w:firstLine="0"/>
        <w:rPr>
          <w:lang w:val="ca-ES"/>
        </w:rPr>
      </w:pPr>
      <w:r w:rsidRPr="00FC74AB">
        <w:rPr>
          <w:lang w:val="ca-ES"/>
        </w:rPr>
        <w:t>Especialment quan es treballa</w:t>
      </w:r>
      <w:r w:rsidR="007F3D09" w:rsidRPr="00FC74AB">
        <w:rPr>
          <w:lang w:val="ca-ES"/>
        </w:rPr>
        <w:t xml:space="preserve"> </w:t>
      </w:r>
      <w:r w:rsidRPr="00FC74AB">
        <w:rPr>
          <w:lang w:val="ca-ES"/>
        </w:rPr>
        <w:t>sota la premissa de la recuperació total de costos a través de les tarifes, el tipus de proveïdor</w:t>
      </w:r>
      <w:r w:rsidR="007F3D09" w:rsidRPr="00FC74AB">
        <w:rPr>
          <w:lang w:val="ca-ES"/>
        </w:rPr>
        <w:t xml:space="preserve"> </w:t>
      </w:r>
      <w:r w:rsidRPr="00FC74AB">
        <w:rPr>
          <w:lang w:val="ca-ES"/>
        </w:rPr>
        <w:t xml:space="preserve">(públic o privat) pot no ser neutral pel que fa a la repercussió sobre l'assequibilitat, i el servei prestat pels </w:t>
      </w:r>
      <w:r w:rsidR="007F3D09" w:rsidRPr="00FC74AB">
        <w:rPr>
          <w:lang w:val="ca-ES"/>
        </w:rPr>
        <w:t>subministradors privats</w:t>
      </w:r>
      <w:r w:rsidRPr="00FC74AB">
        <w:rPr>
          <w:lang w:val="ca-ES"/>
        </w:rPr>
        <w:t>, en concret els impulsats per la lògica de la maximització dels beneficis, genera dubtes.</w:t>
      </w:r>
      <w:r w:rsidR="007E16DC" w:rsidRPr="00FC74AB">
        <w:rPr>
          <w:lang w:val="ca-ES"/>
        </w:rPr>
        <w:t xml:space="preserve"> </w:t>
      </w:r>
      <w:r w:rsidR="00E94729" w:rsidRPr="00FC74AB">
        <w:rPr>
          <w:lang w:val="ca-ES"/>
        </w:rPr>
        <w:t>A Guayaquil (Equador), el preu</w:t>
      </w:r>
      <w:r w:rsidR="007E16DC" w:rsidRPr="00FC74AB">
        <w:rPr>
          <w:lang w:val="ca-ES"/>
        </w:rPr>
        <w:t xml:space="preserve"> </w:t>
      </w:r>
      <w:r w:rsidR="0048735E" w:rsidRPr="00FC74AB">
        <w:rPr>
          <w:lang w:val="ca-ES"/>
        </w:rPr>
        <w:t>de l’aigua</w:t>
      </w:r>
      <w:r w:rsidR="007E16DC" w:rsidRPr="00FC74AB">
        <w:rPr>
          <w:lang w:val="ca-ES"/>
        </w:rPr>
        <w:t xml:space="preserve"> </w:t>
      </w:r>
      <w:r w:rsidR="00E94729" w:rsidRPr="00FC74AB">
        <w:rPr>
          <w:lang w:val="ca-ES"/>
        </w:rPr>
        <w:t xml:space="preserve">va </w:t>
      </w:r>
      <w:r w:rsidR="007E16DC" w:rsidRPr="00FC74AB">
        <w:rPr>
          <w:lang w:val="ca-ES"/>
        </w:rPr>
        <w:t>au</w:t>
      </w:r>
      <w:r w:rsidR="00E94729" w:rsidRPr="00FC74AB">
        <w:rPr>
          <w:lang w:val="ca-ES"/>
        </w:rPr>
        <w:t>g</w:t>
      </w:r>
      <w:r w:rsidR="007E16DC" w:rsidRPr="00FC74AB">
        <w:rPr>
          <w:lang w:val="ca-ES"/>
        </w:rPr>
        <w:t>ment</w:t>
      </w:r>
      <w:r w:rsidR="00E94729" w:rsidRPr="00FC74AB">
        <w:rPr>
          <w:lang w:val="ca-ES"/>
        </w:rPr>
        <w:t>ar un 180 % despr</w:t>
      </w:r>
      <w:r w:rsidR="007E16DC" w:rsidRPr="00FC74AB">
        <w:rPr>
          <w:lang w:val="ca-ES"/>
        </w:rPr>
        <w:t xml:space="preserve">és de la </w:t>
      </w:r>
      <w:r w:rsidR="007E4E7F" w:rsidRPr="00FC74AB">
        <w:rPr>
          <w:lang w:val="ca-ES"/>
        </w:rPr>
        <w:t>privatització</w:t>
      </w:r>
      <w:r w:rsidR="007E16DC" w:rsidRPr="00FC74AB">
        <w:rPr>
          <w:rStyle w:val="FootnoteReference"/>
          <w:lang w:val="ca-ES"/>
        </w:rPr>
        <w:footnoteReference w:id="52"/>
      </w:r>
      <w:r w:rsidR="00E94729" w:rsidRPr="00FC74AB">
        <w:rPr>
          <w:lang w:val="ca-ES"/>
        </w:rPr>
        <w:t>; a</w:t>
      </w:r>
      <w:r w:rsidR="007E16DC" w:rsidRPr="00FC74AB">
        <w:rPr>
          <w:lang w:val="ca-ES"/>
        </w:rPr>
        <w:t xml:space="preserve"> </w:t>
      </w:r>
      <w:r w:rsidR="00E94729" w:rsidRPr="00FC74AB">
        <w:rPr>
          <w:lang w:val="ca-ES"/>
        </w:rPr>
        <w:t>Jakarta</w:t>
      </w:r>
      <w:r w:rsidR="004A70F3" w:rsidRPr="00FC74AB">
        <w:rPr>
          <w:lang w:val="ca-ES"/>
        </w:rPr>
        <w:t xml:space="preserve"> (Indonèsia)</w:t>
      </w:r>
      <w:r w:rsidR="007E16DC" w:rsidRPr="00FC74AB">
        <w:rPr>
          <w:lang w:val="ca-ES"/>
        </w:rPr>
        <w:t>,</w:t>
      </w:r>
      <w:r w:rsidR="005214BF" w:rsidRPr="00FC74AB">
        <w:rPr>
          <w:lang w:val="ca-ES"/>
        </w:rPr>
        <w:t xml:space="preserve"> els </w:t>
      </w:r>
      <w:r w:rsidR="00E94729" w:rsidRPr="00FC74AB">
        <w:rPr>
          <w:lang w:val="ca-ES"/>
        </w:rPr>
        <w:t>preus</w:t>
      </w:r>
      <w:r w:rsidR="007E16DC" w:rsidRPr="00FC74AB">
        <w:rPr>
          <w:lang w:val="ca-ES"/>
        </w:rPr>
        <w:t xml:space="preserve"> </w:t>
      </w:r>
      <w:r w:rsidR="00E94729" w:rsidRPr="00FC74AB">
        <w:rPr>
          <w:lang w:val="ca-ES"/>
        </w:rPr>
        <w:t xml:space="preserve">van augmentar </w:t>
      </w:r>
      <w:r w:rsidR="007E16DC" w:rsidRPr="00FC74AB">
        <w:rPr>
          <w:lang w:val="ca-ES"/>
        </w:rPr>
        <w:t>un 135 % e</w:t>
      </w:r>
      <w:r w:rsidR="005214BF" w:rsidRPr="00FC74AB">
        <w:rPr>
          <w:lang w:val="ca-ES"/>
        </w:rPr>
        <w:t xml:space="preserve">ls </w:t>
      </w:r>
      <w:r w:rsidR="00E94729" w:rsidRPr="00FC74AB">
        <w:rPr>
          <w:lang w:val="ca-ES"/>
        </w:rPr>
        <w:t>primer</w:t>
      </w:r>
      <w:r w:rsidR="007E16DC" w:rsidRPr="00FC74AB">
        <w:rPr>
          <w:lang w:val="ca-ES"/>
        </w:rPr>
        <w:t>s 10 a</w:t>
      </w:r>
      <w:r w:rsidR="00E94729" w:rsidRPr="00FC74AB">
        <w:rPr>
          <w:lang w:val="ca-ES"/>
        </w:rPr>
        <w:t>ny</w:t>
      </w:r>
      <w:r w:rsidR="007E16DC" w:rsidRPr="00FC74AB">
        <w:rPr>
          <w:lang w:val="ca-ES"/>
        </w:rPr>
        <w:t>s del contra</w:t>
      </w:r>
      <w:r w:rsidR="00E94729" w:rsidRPr="00FC74AB">
        <w:rPr>
          <w:lang w:val="ca-ES"/>
        </w:rPr>
        <w:t>cte de concessió</w:t>
      </w:r>
      <w:r w:rsidR="007E16DC" w:rsidRPr="00FC74AB">
        <w:rPr>
          <w:rStyle w:val="FootnoteReference"/>
          <w:lang w:val="ca-ES"/>
        </w:rPr>
        <w:footnoteReference w:id="53"/>
      </w:r>
      <w:r w:rsidR="007E16DC" w:rsidRPr="00FC74AB">
        <w:rPr>
          <w:lang w:val="ca-ES"/>
        </w:rPr>
        <w:t>;</w:t>
      </w:r>
      <w:r w:rsidR="007E4E7F" w:rsidRPr="00FC74AB">
        <w:rPr>
          <w:lang w:val="ca-ES"/>
        </w:rPr>
        <w:t xml:space="preserve"> i </w:t>
      </w:r>
      <w:r w:rsidR="00E94729" w:rsidRPr="00FC74AB">
        <w:rPr>
          <w:lang w:val="ca-ES"/>
        </w:rPr>
        <w:t>a Cochabamba (Estat</w:t>
      </w:r>
      <w:r w:rsidR="007E16DC" w:rsidRPr="00FC74AB">
        <w:rPr>
          <w:lang w:val="ca-ES"/>
        </w:rPr>
        <w:t xml:space="preserve"> Plurinacional de </w:t>
      </w:r>
      <w:r w:rsidR="00E94729" w:rsidRPr="00FC74AB">
        <w:rPr>
          <w:lang w:val="ca-ES"/>
        </w:rPr>
        <w:t>Bolívia), poc despr</w:t>
      </w:r>
      <w:r w:rsidR="007E16DC" w:rsidRPr="00FC74AB">
        <w:rPr>
          <w:lang w:val="ca-ES"/>
        </w:rPr>
        <w:t xml:space="preserve">és de la </w:t>
      </w:r>
      <w:r w:rsidR="007E4E7F" w:rsidRPr="00FC74AB">
        <w:rPr>
          <w:lang w:val="ca-ES"/>
        </w:rPr>
        <w:t>privatització</w:t>
      </w:r>
      <w:r w:rsidR="005214BF" w:rsidRPr="00FC74AB">
        <w:rPr>
          <w:lang w:val="ca-ES"/>
        </w:rPr>
        <w:t xml:space="preserve"> els </w:t>
      </w:r>
      <w:r w:rsidR="00E94729" w:rsidRPr="00FC74AB">
        <w:rPr>
          <w:lang w:val="ca-ES"/>
        </w:rPr>
        <w:t>preus</w:t>
      </w:r>
      <w:r w:rsidR="007E16DC" w:rsidRPr="00FC74AB">
        <w:rPr>
          <w:lang w:val="ca-ES"/>
        </w:rPr>
        <w:t xml:space="preserve"> </w:t>
      </w:r>
      <w:r w:rsidR="00E94729" w:rsidRPr="00FC74AB">
        <w:rPr>
          <w:lang w:val="ca-ES"/>
        </w:rPr>
        <w:t xml:space="preserve">van augmentar de mitjana </w:t>
      </w:r>
      <w:r w:rsidR="007E16DC" w:rsidRPr="00FC74AB">
        <w:rPr>
          <w:lang w:val="ca-ES"/>
        </w:rPr>
        <w:t xml:space="preserve">un 43% </w:t>
      </w:r>
      <w:r w:rsidR="007E16DC" w:rsidRPr="00FC74AB">
        <w:rPr>
          <w:rStyle w:val="FootnoteReference"/>
          <w:lang w:val="ca-ES"/>
        </w:rPr>
        <w:footnoteReference w:id="54"/>
      </w:r>
      <w:r w:rsidR="00E94729" w:rsidRPr="00FC74AB">
        <w:rPr>
          <w:lang w:val="ca-ES"/>
        </w:rPr>
        <w:t>. A mé</w:t>
      </w:r>
      <w:r w:rsidR="007E16DC" w:rsidRPr="00FC74AB">
        <w:rPr>
          <w:lang w:val="ca-ES"/>
        </w:rPr>
        <w:t>s,</w:t>
      </w:r>
      <w:r w:rsidR="00B3113E" w:rsidRPr="00FC74AB">
        <w:rPr>
          <w:lang w:val="ca-ES"/>
        </w:rPr>
        <w:t xml:space="preserve"> les </w:t>
      </w:r>
      <w:r w:rsidR="00E94729" w:rsidRPr="00FC74AB">
        <w:rPr>
          <w:lang w:val="ca-ES"/>
        </w:rPr>
        <w:t>conclusion</w:t>
      </w:r>
      <w:r w:rsidR="007E16DC" w:rsidRPr="00FC74AB">
        <w:rPr>
          <w:lang w:val="ca-ES"/>
        </w:rPr>
        <w:t xml:space="preserve">s que </w:t>
      </w:r>
      <w:r w:rsidR="0032331D" w:rsidRPr="00FC74AB">
        <w:rPr>
          <w:lang w:val="ca-ES"/>
        </w:rPr>
        <w:t xml:space="preserve">assenyalen </w:t>
      </w:r>
      <w:r w:rsidR="007E16DC" w:rsidRPr="00FC74AB">
        <w:rPr>
          <w:lang w:val="ca-ES"/>
        </w:rPr>
        <w:t>que</w:t>
      </w:r>
      <w:r w:rsidR="00E94729" w:rsidRPr="00FC74AB">
        <w:rPr>
          <w:lang w:val="ca-ES"/>
        </w:rPr>
        <w:t xml:space="preserve"> a</w:t>
      </w:r>
      <w:r w:rsidR="005214BF" w:rsidRPr="00FC74AB">
        <w:rPr>
          <w:lang w:val="ca-ES"/>
        </w:rPr>
        <w:t xml:space="preserve">ls </w:t>
      </w:r>
      <w:r w:rsidR="00E94729" w:rsidRPr="00FC74AB">
        <w:rPr>
          <w:lang w:val="ca-ES"/>
        </w:rPr>
        <w:t>països</w:t>
      </w:r>
      <w:r w:rsidR="007E16DC" w:rsidRPr="00FC74AB">
        <w:rPr>
          <w:lang w:val="ca-ES"/>
        </w:rPr>
        <w:t xml:space="preserve"> </w:t>
      </w:r>
      <w:r w:rsidR="00E94729" w:rsidRPr="00FC74AB">
        <w:rPr>
          <w:lang w:val="ca-ES"/>
        </w:rPr>
        <w:t xml:space="preserve">on predomina </w:t>
      </w:r>
      <w:r w:rsidR="007E16DC" w:rsidRPr="00FC74AB">
        <w:rPr>
          <w:lang w:val="ca-ES"/>
        </w:rPr>
        <w:t xml:space="preserve">la </w:t>
      </w:r>
      <w:r w:rsidR="003D1714" w:rsidRPr="00FC74AB">
        <w:rPr>
          <w:lang w:val="ca-ES"/>
        </w:rPr>
        <w:t>prestació de serveis</w:t>
      </w:r>
      <w:r w:rsidR="007E16DC" w:rsidRPr="00FC74AB">
        <w:rPr>
          <w:lang w:val="ca-ES"/>
        </w:rPr>
        <w:t xml:space="preserve"> </w:t>
      </w:r>
      <w:r w:rsidR="004879F7" w:rsidRPr="00FC74AB">
        <w:rPr>
          <w:lang w:val="ca-ES"/>
        </w:rPr>
        <w:t>privat</w:t>
      </w:r>
      <w:r w:rsidR="007E16DC" w:rsidRPr="00FC74AB">
        <w:rPr>
          <w:lang w:val="ca-ES"/>
        </w:rPr>
        <w:t>s, com</w:t>
      </w:r>
      <w:r w:rsidR="00E94729" w:rsidRPr="00FC74AB">
        <w:rPr>
          <w:lang w:val="ca-ES"/>
        </w:rPr>
        <w:t xml:space="preserve"> ara</w:t>
      </w:r>
      <w:r w:rsidR="007E16DC" w:rsidRPr="00FC74AB">
        <w:rPr>
          <w:lang w:val="ca-ES"/>
        </w:rPr>
        <w:t xml:space="preserve"> </w:t>
      </w:r>
      <w:r w:rsidR="00E94729" w:rsidRPr="00FC74AB">
        <w:rPr>
          <w:lang w:val="ca-ES"/>
        </w:rPr>
        <w:t>França, no hi ha diferè</w:t>
      </w:r>
      <w:r w:rsidR="007E16DC" w:rsidRPr="00FC74AB">
        <w:rPr>
          <w:lang w:val="ca-ES"/>
        </w:rPr>
        <w:t xml:space="preserve">ncia de </w:t>
      </w:r>
      <w:r w:rsidR="00E94729" w:rsidRPr="00FC74AB">
        <w:rPr>
          <w:lang w:val="ca-ES"/>
        </w:rPr>
        <w:t>preus</w:t>
      </w:r>
      <w:r w:rsidR="007E16DC" w:rsidRPr="00FC74AB">
        <w:rPr>
          <w:lang w:val="ca-ES"/>
        </w:rPr>
        <w:t xml:space="preserve"> </w:t>
      </w:r>
      <w:r w:rsidR="00E94729" w:rsidRPr="00FC74AB">
        <w:rPr>
          <w:lang w:val="ca-ES"/>
        </w:rPr>
        <w:t xml:space="preserve">independentment del </w:t>
      </w:r>
      <w:r w:rsidR="0032331D" w:rsidRPr="00FC74AB">
        <w:rPr>
          <w:lang w:val="ca-ES"/>
        </w:rPr>
        <w:t xml:space="preserve">sistema </w:t>
      </w:r>
      <w:r w:rsidR="00E94729" w:rsidRPr="00FC74AB">
        <w:rPr>
          <w:lang w:val="ca-ES"/>
        </w:rPr>
        <w:t>de gestió</w:t>
      </w:r>
      <w:r w:rsidR="007E16DC" w:rsidRPr="00FC74AB">
        <w:rPr>
          <w:rStyle w:val="FootnoteReference"/>
          <w:lang w:val="ca-ES"/>
        </w:rPr>
        <w:footnoteReference w:id="55"/>
      </w:r>
      <w:r w:rsidR="007E16DC" w:rsidRPr="00FC74AB">
        <w:rPr>
          <w:lang w:val="ca-ES"/>
        </w:rPr>
        <w:t xml:space="preserve"> </w:t>
      </w:r>
      <w:r w:rsidR="00E94729" w:rsidRPr="00FC74AB">
        <w:rPr>
          <w:lang w:val="ca-ES"/>
        </w:rPr>
        <w:t>s’han d’</w:t>
      </w:r>
      <w:r w:rsidR="007E16DC" w:rsidRPr="00FC74AB">
        <w:rPr>
          <w:lang w:val="ca-ES"/>
        </w:rPr>
        <w:t xml:space="preserve">interpretar </w:t>
      </w:r>
      <w:r w:rsidR="00E94729" w:rsidRPr="00FC74AB">
        <w:rPr>
          <w:lang w:val="ca-ES"/>
        </w:rPr>
        <w:t>amb prudència</w:t>
      </w:r>
      <w:r w:rsidR="007E16DC" w:rsidRPr="00FC74AB">
        <w:rPr>
          <w:rStyle w:val="FootnoteReference"/>
          <w:lang w:val="ca-ES"/>
        </w:rPr>
        <w:footnoteReference w:id="56"/>
      </w:r>
      <w:r w:rsidR="007E16DC" w:rsidRPr="00FC74AB">
        <w:rPr>
          <w:lang w:val="ca-ES"/>
        </w:rPr>
        <w:t>.</w:t>
      </w:r>
    </w:p>
    <w:p w14:paraId="09E2EA79" w14:textId="42D49683" w:rsidR="007E16DC" w:rsidRPr="00FC74AB" w:rsidRDefault="0050492F" w:rsidP="006963E4">
      <w:pPr>
        <w:pStyle w:val="SingleTxt"/>
        <w:numPr>
          <w:ilvl w:val="2"/>
          <w:numId w:val="49"/>
        </w:numPr>
        <w:spacing w:line="240" w:lineRule="atLeast"/>
        <w:ind w:left="1267" w:firstLine="0"/>
        <w:rPr>
          <w:lang w:val="ca-ES"/>
        </w:rPr>
      </w:pPr>
      <w:r w:rsidRPr="00FC74AB">
        <w:rPr>
          <w:lang w:val="ca-ES"/>
        </w:rPr>
        <w:t>L’</w:t>
      </w:r>
      <w:r w:rsidR="007E16DC" w:rsidRPr="00FC74AB">
        <w:rPr>
          <w:lang w:val="ca-ES"/>
        </w:rPr>
        <w:t>au</w:t>
      </w:r>
      <w:r w:rsidRPr="00FC74AB">
        <w:rPr>
          <w:lang w:val="ca-ES"/>
        </w:rPr>
        <w:t>gment</w:t>
      </w:r>
      <w:r w:rsidR="007E16DC" w:rsidRPr="00FC74AB">
        <w:rPr>
          <w:lang w:val="ca-ES"/>
        </w:rPr>
        <w:t xml:space="preserve"> </w:t>
      </w:r>
      <w:r w:rsidR="009A31D3" w:rsidRPr="00FC74AB">
        <w:rPr>
          <w:lang w:val="ca-ES"/>
        </w:rPr>
        <w:t>dels</w:t>
      </w:r>
      <w:r w:rsidR="005214BF" w:rsidRPr="00FC74AB">
        <w:rPr>
          <w:lang w:val="ca-ES"/>
        </w:rPr>
        <w:t xml:space="preserve"> </w:t>
      </w:r>
      <w:r w:rsidR="00E94729" w:rsidRPr="00FC74AB">
        <w:rPr>
          <w:lang w:val="ca-ES"/>
        </w:rPr>
        <w:t>preus</w:t>
      </w:r>
      <w:r w:rsidR="007E16DC" w:rsidRPr="00FC74AB">
        <w:rPr>
          <w:lang w:val="ca-ES"/>
        </w:rPr>
        <w:t xml:space="preserve"> </w:t>
      </w:r>
      <w:r w:rsidR="00D45DC3" w:rsidRPr="00FC74AB">
        <w:rPr>
          <w:lang w:val="ca-ES"/>
        </w:rPr>
        <w:t>es pot deure a</w:t>
      </w:r>
      <w:r w:rsidRPr="00FC74AB">
        <w:rPr>
          <w:lang w:val="ca-ES"/>
        </w:rPr>
        <w:t xml:space="preserve"> </w:t>
      </w:r>
      <w:r w:rsidR="00D45DC3" w:rsidRPr="00FC74AB">
        <w:rPr>
          <w:lang w:val="ca-ES"/>
        </w:rPr>
        <w:t xml:space="preserve">diversos </w:t>
      </w:r>
      <w:r w:rsidRPr="00FC74AB">
        <w:rPr>
          <w:lang w:val="ca-ES"/>
        </w:rPr>
        <w:t>mecanisme</w:t>
      </w:r>
      <w:r w:rsidR="007E16DC" w:rsidRPr="00FC74AB">
        <w:rPr>
          <w:lang w:val="ca-ES"/>
        </w:rPr>
        <w:t xml:space="preserve">s. </w:t>
      </w:r>
      <w:r w:rsidRPr="00FC74AB">
        <w:rPr>
          <w:lang w:val="ca-ES"/>
        </w:rPr>
        <w:t>Els reglament</w:t>
      </w:r>
      <w:r w:rsidR="007E16DC" w:rsidRPr="00FC74AB">
        <w:rPr>
          <w:lang w:val="ca-ES"/>
        </w:rPr>
        <w:t>s o</w:t>
      </w:r>
      <w:r w:rsidR="00B3113E" w:rsidRPr="00FC74AB">
        <w:rPr>
          <w:lang w:val="ca-ES"/>
        </w:rPr>
        <w:t xml:space="preserve"> les </w:t>
      </w:r>
      <w:r w:rsidRPr="00FC74AB">
        <w:rPr>
          <w:lang w:val="ca-ES"/>
        </w:rPr>
        <w:t>clàusules contractual</w:t>
      </w:r>
      <w:r w:rsidR="007E16DC" w:rsidRPr="00FC74AB">
        <w:rPr>
          <w:lang w:val="ca-ES"/>
        </w:rPr>
        <w:t>s p</w:t>
      </w:r>
      <w:r w:rsidRPr="00FC74AB">
        <w:rPr>
          <w:lang w:val="ca-ES"/>
        </w:rPr>
        <w:t>o</w:t>
      </w:r>
      <w:r w:rsidR="007E16DC" w:rsidRPr="00FC74AB">
        <w:rPr>
          <w:lang w:val="ca-ES"/>
        </w:rPr>
        <w:t>den</w:t>
      </w:r>
      <w:r w:rsidR="006963E4" w:rsidRPr="00FC74AB">
        <w:rPr>
          <w:lang w:val="ca-ES"/>
        </w:rPr>
        <w:t xml:space="preserve"> establir l’obligació que e</w:t>
      </w:r>
      <w:r w:rsidR="009A31D3" w:rsidRPr="00FC74AB">
        <w:rPr>
          <w:lang w:val="ca-ES"/>
        </w:rPr>
        <w:t>ls</w:t>
      </w:r>
      <w:r w:rsidR="005214BF" w:rsidRPr="00FC74AB">
        <w:rPr>
          <w:lang w:val="ca-ES"/>
        </w:rPr>
        <w:t xml:space="preserve"> </w:t>
      </w:r>
      <w:r w:rsidRPr="00FC74AB">
        <w:rPr>
          <w:lang w:val="ca-ES"/>
        </w:rPr>
        <w:t>operador</w:t>
      </w:r>
      <w:r w:rsidR="007E16DC" w:rsidRPr="00FC74AB">
        <w:rPr>
          <w:lang w:val="ca-ES"/>
        </w:rPr>
        <w:t xml:space="preserve">s </w:t>
      </w:r>
      <w:r w:rsidR="004879F7" w:rsidRPr="00FC74AB">
        <w:rPr>
          <w:lang w:val="ca-ES"/>
        </w:rPr>
        <w:t>privat</w:t>
      </w:r>
      <w:r w:rsidR="007E16DC" w:rsidRPr="00FC74AB">
        <w:rPr>
          <w:lang w:val="ca-ES"/>
        </w:rPr>
        <w:t xml:space="preserve">s </w:t>
      </w:r>
      <w:r w:rsidR="006963E4" w:rsidRPr="00FC74AB">
        <w:rPr>
          <w:lang w:val="ca-ES"/>
        </w:rPr>
        <w:t>invert</w:t>
      </w:r>
      <w:r w:rsidR="007E16DC" w:rsidRPr="00FC74AB">
        <w:rPr>
          <w:lang w:val="ca-ES"/>
        </w:rPr>
        <w:t>e</w:t>
      </w:r>
      <w:r w:rsidR="006963E4" w:rsidRPr="00FC74AB">
        <w:rPr>
          <w:lang w:val="ca-ES"/>
        </w:rPr>
        <w:t>ixin e</w:t>
      </w:r>
      <w:r w:rsidR="007E16DC" w:rsidRPr="00FC74AB">
        <w:rPr>
          <w:lang w:val="ca-ES"/>
        </w:rPr>
        <w:t>n l</w:t>
      </w:r>
      <w:r w:rsidRPr="00FC74AB">
        <w:rPr>
          <w:lang w:val="ca-ES"/>
        </w:rPr>
        <w:t>’</w:t>
      </w:r>
      <w:r w:rsidR="007E16DC" w:rsidRPr="00FC74AB">
        <w:rPr>
          <w:lang w:val="ca-ES"/>
        </w:rPr>
        <w:t>ampliació del serv</w:t>
      </w:r>
      <w:r w:rsidRPr="00FC74AB">
        <w:rPr>
          <w:lang w:val="ca-ES"/>
        </w:rPr>
        <w:t>e</w:t>
      </w:r>
      <w:r w:rsidR="007E16DC" w:rsidRPr="00FC74AB">
        <w:rPr>
          <w:lang w:val="ca-ES"/>
        </w:rPr>
        <w:t>i</w:t>
      </w:r>
      <w:r w:rsidR="007E4E7F" w:rsidRPr="00FC74AB">
        <w:rPr>
          <w:lang w:val="ca-ES"/>
        </w:rPr>
        <w:t xml:space="preserve"> i </w:t>
      </w:r>
      <w:r w:rsidR="007E16DC" w:rsidRPr="00FC74AB">
        <w:rPr>
          <w:lang w:val="ca-ES"/>
        </w:rPr>
        <w:t>la m</w:t>
      </w:r>
      <w:r w:rsidRPr="00FC74AB">
        <w:rPr>
          <w:lang w:val="ca-ES"/>
        </w:rPr>
        <w:t>illo</w:t>
      </w:r>
      <w:r w:rsidR="007E16DC" w:rsidRPr="00FC74AB">
        <w:rPr>
          <w:lang w:val="ca-ES"/>
        </w:rPr>
        <w:t xml:space="preserve">ra de la infraestructura, </w:t>
      </w:r>
      <w:r w:rsidRPr="00FC74AB">
        <w:rPr>
          <w:lang w:val="ca-ES"/>
        </w:rPr>
        <w:t>amb uns</w:t>
      </w:r>
      <w:r w:rsidR="007E16DC" w:rsidRPr="00FC74AB">
        <w:rPr>
          <w:lang w:val="ca-ES"/>
        </w:rPr>
        <w:t xml:space="preserve"> costos </w:t>
      </w:r>
      <w:r w:rsidRPr="00FC74AB">
        <w:rPr>
          <w:lang w:val="ca-ES"/>
        </w:rPr>
        <w:t>que e</w:t>
      </w:r>
      <w:r w:rsidR="007E16DC" w:rsidRPr="00FC74AB">
        <w:rPr>
          <w:lang w:val="ca-ES"/>
        </w:rPr>
        <w:t>s</w:t>
      </w:r>
      <w:r w:rsidRPr="00FC74AB">
        <w:rPr>
          <w:lang w:val="ca-ES"/>
        </w:rPr>
        <w:t xml:space="preserve"> tradueix</w:t>
      </w:r>
      <w:r w:rsidR="007E16DC" w:rsidRPr="00FC74AB">
        <w:rPr>
          <w:lang w:val="ca-ES"/>
        </w:rPr>
        <w:t>en en un au</w:t>
      </w:r>
      <w:r w:rsidRPr="00FC74AB">
        <w:rPr>
          <w:lang w:val="ca-ES"/>
        </w:rPr>
        <w:t>g</w:t>
      </w:r>
      <w:r w:rsidR="007E16DC" w:rsidRPr="00FC74AB">
        <w:rPr>
          <w:lang w:val="ca-ES"/>
        </w:rPr>
        <w:t>m</w:t>
      </w:r>
      <w:r w:rsidRPr="00FC74AB">
        <w:rPr>
          <w:lang w:val="ca-ES"/>
        </w:rPr>
        <w:t>ent</w:t>
      </w:r>
      <w:r w:rsidR="007E16DC" w:rsidRPr="00FC74AB">
        <w:rPr>
          <w:lang w:val="ca-ES"/>
        </w:rPr>
        <w:t xml:space="preserve"> de</w:t>
      </w:r>
      <w:r w:rsidR="00B3113E" w:rsidRPr="00FC74AB">
        <w:rPr>
          <w:lang w:val="ca-ES"/>
        </w:rPr>
        <w:t xml:space="preserve"> les </w:t>
      </w:r>
      <w:r w:rsidRPr="00FC74AB">
        <w:rPr>
          <w:lang w:val="ca-ES"/>
        </w:rPr>
        <w:t>tarifes</w:t>
      </w:r>
      <w:r w:rsidR="007E16DC" w:rsidRPr="00FC74AB">
        <w:rPr>
          <w:rStyle w:val="FootnoteReference"/>
          <w:lang w:val="ca-ES"/>
        </w:rPr>
        <w:footnoteReference w:id="57"/>
      </w:r>
      <w:r w:rsidR="007E16DC" w:rsidRPr="00FC74AB">
        <w:rPr>
          <w:lang w:val="ca-ES"/>
        </w:rPr>
        <w:t xml:space="preserve">. </w:t>
      </w:r>
      <w:r w:rsidRPr="00FC74AB">
        <w:rPr>
          <w:lang w:val="ca-ES"/>
        </w:rPr>
        <w:t>Tanmateix, això també pot succeir quan</w:t>
      </w:r>
      <w:r w:rsidR="005214BF" w:rsidRPr="00FC74AB">
        <w:rPr>
          <w:lang w:val="ca-ES"/>
        </w:rPr>
        <w:t xml:space="preserve"> els </w:t>
      </w:r>
      <w:r w:rsidR="00E31C4A" w:rsidRPr="00FC74AB">
        <w:rPr>
          <w:lang w:val="ca-ES"/>
        </w:rPr>
        <w:t>contractes</w:t>
      </w:r>
      <w:r w:rsidR="007E16DC" w:rsidRPr="00FC74AB">
        <w:rPr>
          <w:lang w:val="ca-ES"/>
        </w:rPr>
        <w:t xml:space="preserve"> </w:t>
      </w:r>
      <w:r w:rsidR="00D45DC3" w:rsidRPr="00FC74AB">
        <w:rPr>
          <w:lang w:val="ca-ES"/>
        </w:rPr>
        <w:t xml:space="preserve">obliguen les autoritzats públiques a invertir sense que es redueixin proporcionalment </w:t>
      </w:r>
      <w:r w:rsidR="005214BF" w:rsidRPr="00FC74AB">
        <w:rPr>
          <w:lang w:val="ca-ES"/>
        </w:rPr>
        <w:t xml:space="preserve"> els </w:t>
      </w:r>
      <w:r w:rsidR="003A7E50" w:rsidRPr="00FC74AB">
        <w:rPr>
          <w:lang w:val="ca-ES"/>
        </w:rPr>
        <w:t>ingressos</w:t>
      </w:r>
      <w:r w:rsidR="007E16DC" w:rsidRPr="00FC74AB">
        <w:rPr>
          <w:lang w:val="ca-ES"/>
        </w:rPr>
        <w:t xml:space="preserve"> de</w:t>
      </w:r>
      <w:r w:rsidR="00B3113E" w:rsidRPr="00FC74AB">
        <w:rPr>
          <w:lang w:val="ca-ES"/>
        </w:rPr>
        <w:t xml:space="preserve"> les </w:t>
      </w:r>
      <w:r w:rsidR="00E31C4A" w:rsidRPr="00FC74AB">
        <w:rPr>
          <w:lang w:val="ca-ES"/>
        </w:rPr>
        <w:t>empreses</w:t>
      </w:r>
      <w:r w:rsidR="00D45DC3" w:rsidRPr="00FC74AB">
        <w:rPr>
          <w:lang w:val="ca-ES"/>
        </w:rPr>
        <w:t>.</w:t>
      </w:r>
      <w:r w:rsidR="007E16DC" w:rsidRPr="00FC74AB">
        <w:rPr>
          <w:lang w:val="ca-ES"/>
        </w:rPr>
        <w:t xml:space="preserve"> Una de</w:t>
      </w:r>
      <w:r w:rsidR="00B3113E" w:rsidRPr="00FC74AB">
        <w:rPr>
          <w:lang w:val="ca-ES"/>
        </w:rPr>
        <w:t xml:space="preserve"> les </w:t>
      </w:r>
      <w:r w:rsidR="00DE77C6" w:rsidRPr="00FC74AB">
        <w:rPr>
          <w:lang w:val="ca-ES"/>
        </w:rPr>
        <w:t>preocupacions</w:t>
      </w:r>
      <w:r w:rsidRPr="00FC74AB">
        <w:rPr>
          <w:lang w:val="ca-ES"/>
        </w:rPr>
        <w:t xml:space="preserve"> é</w:t>
      </w:r>
      <w:r w:rsidR="007E16DC" w:rsidRPr="00FC74AB">
        <w:rPr>
          <w:lang w:val="ca-ES"/>
        </w:rPr>
        <w:t>s que la normativa co</w:t>
      </w:r>
      <w:r w:rsidRPr="00FC74AB">
        <w:rPr>
          <w:lang w:val="ca-ES"/>
        </w:rPr>
        <w:t>mp</w:t>
      </w:r>
      <w:r w:rsidR="007E16DC" w:rsidRPr="00FC74AB">
        <w:rPr>
          <w:lang w:val="ca-ES"/>
        </w:rPr>
        <w:t xml:space="preserve">table no </w:t>
      </w:r>
      <w:r w:rsidRPr="00FC74AB">
        <w:rPr>
          <w:lang w:val="ca-ES"/>
        </w:rPr>
        <w:t xml:space="preserve">aconsegueixi </w:t>
      </w:r>
      <w:r w:rsidR="007E16DC" w:rsidRPr="00FC74AB">
        <w:rPr>
          <w:lang w:val="ca-ES"/>
        </w:rPr>
        <w:t>identificar</w:t>
      </w:r>
      <w:r w:rsidR="005214BF" w:rsidRPr="00FC74AB">
        <w:rPr>
          <w:lang w:val="ca-ES"/>
        </w:rPr>
        <w:t xml:space="preserve"> els </w:t>
      </w:r>
      <w:r w:rsidR="007E16DC" w:rsidRPr="00FC74AB">
        <w:rPr>
          <w:lang w:val="ca-ES"/>
        </w:rPr>
        <w:t>nivel</w:t>
      </w:r>
      <w:r w:rsidRPr="00FC74AB">
        <w:rPr>
          <w:lang w:val="ca-ES"/>
        </w:rPr>
        <w:t>l</w:t>
      </w:r>
      <w:r w:rsidR="007E16DC" w:rsidRPr="00FC74AB">
        <w:rPr>
          <w:lang w:val="ca-ES"/>
        </w:rPr>
        <w:t xml:space="preserve">s de </w:t>
      </w:r>
      <w:r w:rsidR="003A7E50" w:rsidRPr="00FC74AB">
        <w:rPr>
          <w:lang w:val="ca-ES"/>
        </w:rPr>
        <w:t>beneficis</w:t>
      </w:r>
      <w:r w:rsidRPr="00FC74AB">
        <w:rPr>
          <w:lang w:val="ca-ES"/>
        </w:rPr>
        <w:t xml:space="preserve"> nets real</w:t>
      </w:r>
      <w:r w:rsidR="007E16DC" w:rsidRPr="00FC74AB">
        <w:rPr>
          <w:lang w:val="ca-ES"/>
        </w:rPr>
        <w:t xml:space="preserve">s. </w:t>
      </w:r>
      <w:r w:rsidR="0048735E" w:rsidRPr="00FC74AB">
        <w:rPr>
          <w:lang w:val="ca-ES"/>
        </w:rPr>
        <w:t>Per exemple</w:t>
      </w:r>
      <w:r w:rsidR="00FB362F" w:rsidRPr="00FC74AB">
        <w:rPr>
          <w:lang w:val="ca-ES"/>
        </w:rPr>
        <w:t xml:space="preserve">, </w:t>
      </w:r>
      <w:r w:rsidRPr="00FC74AB">
        <w:rPr>
          <w:lang w:val="ca-ES"/>
        </w:rPr>
        <w:t>a</w:t>
      </w:r>
      <w:r w:rsidR="00FB362F" w:rsidRPr="00FC74AB">
        <w:rPr>
          <w:lang w:val="ca-ES"/>
        </w:rPr>
        <w:t xml:space="preserve"> Bordeu</w:t>
      </w:r>
      <w:r w:rsidR="007E16DC" w:rsidRPr="00FC74AB">
        <w:rPr>
          <w:lang w:val="ca-ES"/>
        </w:rPr>
        <w:t>s (</w:t>
      </w:r>
      <w:r w:rsidR="00E94729" w:rsidRPr="00FC74AB">
        <w:rPr>
          <w:lang w:val="ca-ES"/>
        </w:rPr>
        <w:t>França</w:t>
      </w:r>
      <w:r w:rsidR="007E16DC" w:rsidRPr="00FC74AB">
        <w:rPr>
          <w:lang w:val="ca-ES"/>
        </w:rPr>
        <w:t xml:space="preserve">) no </w:t>
      </w:r>
      <w:r w:rsidRPr="00FC74AB">
        <w:rPr>
          <w:lang w:val="ca-ES"/>
        </w:rPr>
        <w:t>e</w:t>
      </w:r>
      <w:r w:rsidR="007E16DC" w:rsidRPr="00FC74AB">
        <w:rPr>
          <w:lang w:val="ca-ES"/>
        </w:rPr>
        <w:t>s</w:t>
      </w:r>
      <w:r w:rsidRPr="00FC74AB">
        <w:rPr>
          <w:lang w:val="ca-ES"/>
        </w:rPr>
        <w:t xml:space="preserve"> va</w:t>
      </w:r>
      <w:r w:rsidR="007E16DC" w:rsidRPr="00FC74AB">
        <w:rPr>
          <w:lang w:val="ca-ES"/>
        </w:rPr>
        <w:t xml:space="preserve"> detect</w:t>
      </w:r>
      <w:r w:rsidRPr="00FC74AB">
        <w:rPr>
          <w:lang w:val="ca-ES"/>
        </w:rPr>
        <w:t>ar</w:t>
      </w:r>
      <w:r w:rsidR="007E16DC" w:rsidRPr="00FC74AB">
        <w:rPr>
          <w:lang w:val="ca-ES"/>
        </w:rPr>
        <w:t xml:space="preserve"> que</w:t>
      </w:r>
      <w:r w:rsidR="005214BF" w:rsidRPr="00FC74AB">
        <w:rPr>
          <w:lang w:val="ca-ES"/>
        </w:rPr>
        <w:t xml:space="preserve"> els </w:t>
      </w:r>
      <w:r w:rsidR="003A7E50" w:rsidRPr="00FC74AB">
        <w:rPr>
          <w:lang w:val="ca-ES"/>
        </w:rPr>
        <w:t>beneficis</w:t>
      </w:r>
      <w:r w:rsidRPr="00FC74AB">
        <w:rPr>
          <w:lang w:val="ca-ES"/>
        </w:rPr>
        <w:t xml:space="preserve"> net</w:t>
      </w:r>
      <w:r w:rsidR="007E16DC" w:rsidRPr="00FC74AB">
        <w:rPr>
          <w:lang w:val="ca-ES"/>
        </w:rPr>
        <w:t>s s</w:t>
      </w:r>
      <w:r w:rsidRPr="00FC74AB">
        <w:rPr>
          <w:lang w:val="ca-ES"/>
        </w:rPr>
        <w:t xml:space="preserve">’havien </w:t>
      </w:r>
      <w:r w:rsidR="007E16DC" w:rsidRPr="00FC74AB">
        <w:rPr>
          <w:lang w:val="ca-ES"/>
        </w:rPr>
        <w:t>subestima</w:t>
      </w:r>
      <w:r w:rsidRPr="00FC74AB">
        <w:rPr>
          <w:lang w:val="ca-ES"/>
        </w:rPr>
        <w:t>t fins que es va fer una auditori</w:t>
      </w:r>
      <w:r w:rsidR="007E16DC" w:rsidRPr="00FC74AB">
        <w:rPr>
          <w:lang w:val="ca-ES"/>
        </w:rPr>
        <w:t>a de</w:t>
      </w:r>
      <w:r w:rsidRPr="00FC74AB">
        <w:rPr>
          <w:lang w:val="ca-ES"/>
        </w:rPr>
        <w:t xml:space="preserve"> </w:t>
      </w:r>
      <w:r w:rsidR="007E16DC" w:rsidRPr="00FC74AB">
        <w:rPr>
          <w:lang w:val="ca-ES"/>
        </w:rPr>
        <w:t>l</w:t>
      </w:r>
      <w:r w:rsidRPr="00FC74AB">
        <w:rPr>
          <w:lang w:val="ca-ES"/>
        </w:rPr>
        <w:t>’</w:t>
      </w:r>
      <w:r w:rsidR="007E16DC" w:rsidRPr="00FC74AB">
        <w:rPr>
          <w:lang w:val="ca-ES"/>
        </w:rPr>
        <w:t>operador municipal</w:t>
      </w:r>
      <w:r w:rsidR="007E4E7F" w:rsidRPr="00FC74AB">
        <w:rPr>
          <w:lang w:val="ca-ES"/>
        </w:rPr>
        <w:t xml:space="preserve"> i </w:t>
      </w:r>
      <w:r w:rsidRPr="00FC74AB">
        <w:rPr>
          <w:lang w:val="ca-ES"/>
        </w:rPr>
        <w:t xml:space="preserve">la </w:t>
      </w:r>
      <w:r w:rsidR="007E16DC" w:rsidRPr="00FC74AB">
        <w:rPr>
          <w:lang w:val="ca-ES"/>
        </w:rPr>
        <w:t>s</w:t>
      </w:r>
      <w:r w:rsidRPr="00FC74AB">
        <w:rPr>
          <w:lang w:val="ca-ES"/>
        </w:rPr>
        <w:t>eva empresa matriu</w:t>
      </w:r>
      <w:r w:rsidR="007E16DC" w:rsidRPr="00FC74AB">
        <w:rPr>
          <w:rStyle w:val="FootnoteReference"/>
          <w:lang w:val="ca-ES"/>
        </w:rPr>
        <w:footnoteReference w:id="58"/>
      </w:r>
      <w:r w:rsidRPr="00FC74AB">
        <w:rPr>
          <w:lang w:val="ca-ES"/>
        </w:rPr>
        <w:t>. També</w:t>
      </w:r>
      <w:r w:rsidR="007E16DC" w:rsidRPr="00FC74AB">
        <w:rPr>
          <w:lang w:val="ca-ES"/>
        </w:rPr>
        <w:t xml:space="preserve"> </w:t>
      </w:r>
      <w:r w:rsidRPr="00FC74AB">
        <w:rPr>
          <w:lang w:val="ca-ES"/>
        </w:rPr>
        <w:t>e</w:t>
      </w:r>
      <w:r w:rsidR="007E16DC" w:rsidRPr="00FC74AB">
        <w:rPr>
          <w:lang w:val="ca-ES"/>
        </w:rPr>
        <w:t>s</w:t>
      </w:r>
      <w:r w:rsidRPr="00FC74AB">
        <w:rPr>
          <w:lang w:val="ca-ES"/>
        </w:rPr>
        <w:t xml:space="preserve"> va</w:t>
      </w:r>
      <w:r w:rsidR="007E16DC" w:rsidRPr="00FC74AB">
        <w:rPr>
          <w:lang w:val="ca-ES"/>
        </w:rPr>
        <w:t xml:space="preserve"> inform</w:t>
      </w:r>
      <w:r w:rsidRPr="00FC74AB">
        <w:rPr>
          <w:lang w:val="ca-ES"/>
        </w:rPr>
        <w:t>ar</w:t>
      </w:r>
      <w:r w:rsidR="007E16DC" w:rsidRPr="00FC74AB">
        <w:rPr>
          <w:lang w:val="ca-ES"/>
        </w:rPr>
        <w:t xml:space="preserve"> de</w:t>
      </w:r>
      <w:r w:rsidRPr="00FC74AB">
        <w:rPr>
          <w:lang w:val="ca-ES"/>
        </w:rPr>
        <w:t xml:space="preserve"> </w:t>
      </w:r>
      <w:r w:rsidR="007E16DC" w:rsidRPr="00FC74AB">
        <w:rPr>
          <w:lang w:val="ca-ES"/>
        </w:rPr>
        <w:t>l</w:t>
      </w:r>
      <w:r w:rsidRPr="00FC74AB">
        <w:rPr>
          <w:lang w:val="ca-ES"/>
        </w:rPr>
        <w:t>’ús de tecnologie</w:t>
      </w:r>
      <w:r w:rsidR="007E16DC" w:rsidRPr="00FC74AB">
        <w:rPr>
          <w:lang w:val="ca-ES"/>
        </w:rPr>
        <w:t>s</w:t>
      </w:r>
      <w:r w:rsidR="00DB041B" w:rsidRPr="00FC74AB">
        <w:rPr>
          <w:lang w:val="ca-ES"/>
        </w:rPr>
        <w:t xml:space="preserve"> més </w:t>
      </w:r>
      <w:r w:rsidRPr="00FC74AB">
        <w:rPr>
          <w:lang w:val="ca-ES"/>
        </w:rPr>
        <w:t>costose</w:t>
      </w:r>
      <w:r w:rsidR="007E16DC" w:rsidRPr="00FC74AB">
        <w:rPr>
          <w:lang w:val="ca-ES"/>
        </w:rPr>
        <w:t xml:space="preserve">s, que </w:t>
      </w:r>
      <w:r w:rsidR="00C1152E" w:rsidRPr="00FC74AB">
        <w:rPr>
          <w:lang w:val="ca-ES"/>
        </w:rPr>
        <w:t xml:space="preserve">causava </w:t>
      </w:r>
      <w:r w:rsidRPr="00FC74AB">
        <w:rPr>
          <w:lang w:val="ca-ES"/>
        </w:rPr>
        <w:t>la puj</w:t>
      </w:r>
      <w:r w:rsidR="00B46D53" w:rsidRPr="00FC74AB">
        <w:rPr>
          <w:lang w:val="ca-ES"/>
        </w:rPr>
        <w:t>ad</w:t>
      </w:r>
      <w:r w:rsidRPr="00FC74AB">
        <w:rPr>
          <w:lang w:val="ca-ES"/>
        </w:rPr>
        <w:t xml:space="preserve">a </w:t>
      </w:r>
      <w:r w:rsidR="007E16DC" w:rsidRPr="00FC74AB">
        <w:rPr>
          <w:lang w:val="ca-ES"/>
        </w:rPr>
        <w:t>de</w:t>
      </w:r>
      <w:r w:rsidR="00B3113E" w:rsidRPr="00FC74AB">
        <w:rPr>
          <w:lang w:val="ca-ES"/>
        </w:rPr>
        <w:t xml:space="preserve"> les </w:t>
      </w:r>
      <w:r w:rsidRPr="00FC74AB">
        <w:rPr>
          <w:lang w:val="ca-ES"/>
        </w:rPr>
        <w:t>tarifes per</w:t>
      </w:r>
      <w:r w:rsidR="007E16DC" w:rsidRPr="00FC74AB">
        <w:rPr>
          <w:lang w:val="ca-ES"/>
        </w:rPr>
        <w:t xml:space="preserve"> compensar l</w:t>
      </w:r>
      <w:r w:rsidRPr="00FC74AB">
        <w:rPr>
          <w:lang w:val="ca-ES"/>
        </w:rPr>
        <w:t>’</w:t>
      </w:r>
      <w:r w:rsidR="007E16DC" w:rsidRPr="00FC74AB">
        <w:rPr>
          <w:lang w:val="ca-ES"/>
        </w:rPr>
        <w:t>au</w:t>
      </w:r>
      <w:r w:rsidRPr="00FC74AB">
        <w:rPr>
          <w:lang w:val="ca-ES"/>
        </w:rPr>
        <w:t>gment</w:t>
      </w:r>
      <w:r w:rsidR="007E16DC" w:rsidRPr="00FC74AB">
        <w:rPr>
          <w:lang w:val="ca-ES"/>
        </w:rPr>
        <w:t xml:space="preserve"> </w:t>
      </w:r>
      <w:r w:rsidR="009A31D3" w:rsidRPr="00FC74AB">
        <w:rPr>
          <w:lang w:val="ca-ES"/>
        </w:rPr>
        <w:t>dels</w:t>
      </w:r>
      <w:r w:rsidR="005214BF" w:rsidRPr="00FC74AB">
        <w:rPr>
          <w:lang w:val="ca-ES"/>
        </w:rPr>
        <w:t xml:space="preserve"> </w:t>
      </w:r>
      <w:r w:rsidR="007E16DC" w:rsidRPr="00FC74AB">
        <w:rPr>
          <w:lang w:val="ca-ES"/>
        </w:rPr>
        <w:t>costos</w:t>
      </w:r>
      <w:r w:rsidR="007E16DC" w:rsidRPr="00FC74AB">
        <w:rPr>
          <w:rStyle w:val="FootnoteReference"/>
          <w:lang w:val="ca-ES"/>
        </w:rPr>
        <w:footnoteReference w:id="59"/>
      </w:r>
      <w:r w:rsidR="007E16DC" w:rsidRPr="00FC74AB">
        <w:rPr>
          <w:lang w:val="ca-ES"/>
        </w:rPr>
        <w:t>. A</w:t>
      </w:r>
      <w:r w:rsidRPr="00FC74AB">
        <w:rPr>
          <w:lang w:val="ca-ES"/>
        </w:rPr>
        <w:t xml:space="preserve"> mé</w:t>
      </w:r>
      <w:r w:rsidR="007E16DC" w:rsidRPr="00FC74AB">
        <w:rPr>
          <w:lang w:val="ca-ES"/>
        </w:rPr>
        <w:t>s, s</w:t>
      </w:r>
      <w:r w:rsidRPr="00FC74AB">
        <w:rPr>
          <w:lang w:val="ca-ES"/>
        </w:rPr>
        <w:t xml:space="preserve">’ha </w:t>
      </w:r>
      <w:r w:rsidR="006963E4" w:rsidRPr="00FC74AB">
        <w:rPr>
          <w:lang w:val="ca-ES"/>
        </w:rPr>
        <w:t xml:space="preserve">sabut </w:t>
      </w:r>
      <w:r w:rsidR="007E16DC" w:rsidRPr="00FC74AB">
        <w:rPr>
          <w:lang w:val="ca-ES"/>
        </w:rPr>
        <w:t>que</w:t>
      </w:r>
      <w:r w:rsidR="005214BF" w:rsidRPr="00FC74AB">
        <w:rPr>
          <w:lang w:val="ca-ES"/>
        </w:rPr>
        <w:t xml:space="preserve"> els </w:t>
      </w:r>
      <w:r w:rsidRPr="00FC74AB">
        <w:rPr>
          <w:lang w:val="ca-ES"/>
        </w:rPr>
        <w:t xml:space="preserve">subministradors </w:t>
      </w:r>
      <w:r w:rsidR="004879F7" w:rsidRPr="00FC74AB">
        <w:rPr>
          <w:lang w:val="ca-ES"/>
        </w:rPr>
        <w:t>privat</w:t>
      </w:r>
      <w:r w:rsidRPr="00FC74AB">
        <w:rPr>
          <w:lang w:val="ca-ES"/>
        </w:rPr>
        <w:t>s cobrave</w:t>
      </w:r>
      <w:r w:rsidR="007E16DC" w:rsidRPr="00FC74AB">
        <w:rPr>
          <w:lang w:val="ca-ES"/>
        </w:rPr>
        <w:t xml:space="preserve">n </w:t>
      </w:r>
      <w:r w:rsidR="00E94729" w:rsidRPr="00FC74AB">
        <w:rPr>
          <w:lang w:val="ca-ES"/>
        </w:rPr>
        <w:t>preus</w:t>
      </w:r>
      <w:r w:rsidR="00DB041B" w:rsidRPr="00FC74AB">
        <w:rPr>
          <w:lang w:val="ca-ES"/>
        </w:rPr>
        <w:t xml:space="preserve"> més </w:t>
      </w:r>
      <w:r w:rsidR="00C1152E" w:rsidRPr="00FC74AB">
        <w:rPr>
          <w:lang w:val="ca-ES"/>
        </w:rPr>
        <w:t xml:space="preserve">alts </w:t>
      </w:r>
      <w:r w:rsidRPr="00FC74AB">
        <w:rPr>
          <w:lang w:val="ca-ES"/>
        </w:rPr>
        <w:t>com a</w:t>
      </w:r>
      <w:r w:rsidR="007E16DC" w:rsidRPr="00FC74AB">
        <w:rPr>
          <w:lang w:val="ca-ES"/>
        </w:rPr>
        <w:t xml:space="preserve"> </w:t>
      </w:r>
      <w:r w:rsidRPr="00FC74AB">
        <w:rPr>
          <w:lang w:val="ca-ES"/>
        </w:rPr>
        <w:t>conseqüència</w:t>
      </w:r>
      <w:r w:rsidR="007E16DC" w:rsidRPr="00FC74AB">
        <w:rPr>
          <w:lang w:val="ca-ES"/>
        </w:rPr>
        <w:t xml:space="preserve"> de l</w:t>
      </w:r>
      <w:r w:rsidRPr="00FC74AB">
        <w:rPr>
          <w:lang w:val="ca-ES"/>
        </w:rPr>
        <w:t>’adquisició</w:t>
      </w:r>
      <w:r w:rsidR="007E16DC" w:rsidRPr="00FC74AB">
        <w:rPr>
          <w:lang w:val="ca-ES"/>
        </w:rPr>
        <w:t xml:space="preserve"> de </w:t>
      </w:r>
      <w:r w:rsidRPr="00FC74AB">
        <w:rPr>
          <w:lang w:val="ca-ES"/>
        </w:rPr>
        <w:t>mate</w:t>
      </w:r>
      <w:r w:rsidR="009F581B" w:rsidRPr="00FC74AB">
        <w:rPr>
          <w:lang w:val="ca-ES"/>
        </w:rPr>
        <w:t>ria</w:t>
      </w:r>
      <w:r w:rsidRPr="00FC74AB">
        <w:rPr>
          <w:lang w:val="ca-ES"/>
        </w:rPr>
        <w:t>l</w:t>
      </w:r>
      <w:r w:rsidR="007E16DC" w:rsidRPr="00FC74AB">
        <w:rPr>
          <w:lang w:val="ca-ES"/>
        </w:rPr>
        <w:t>s</w:t>
      </w:r>
      <w:r w:rsidR="007E4E7F" w:rsidRPr="00FC74AB">
        <w:rPr>
          <w:lang w:val="ca-ES"/>
        </w:rPr>
        <w:t xml:space="preserve"> i </w:t>
      </w:r>
      <w:r w:rsidR="007E16DC" w:rsidRPr="00FC74AB">
        <w:rPr>
          <w:lang w:val="ca-ES"/>
        </w:rPr>
        <w:t>serv</w:t>
      </w:r>
      <w:r w:rsidRPr="00FC74AB">
        <w:rPr>
          <w:lang w:val="ca-ES"/>
        </w:rPr>
        <w:t xml:space="preserve">eis </w:t>
      </w:r>
      <w:r w:rsidR="007E16DC" w:rsidRPr="00FC74AB">
        <w:rPr>
          <w:lang w:val="ca-ES"/>
        </w:rPr>
        <w:t xml:space="preserve">a filials del </w:t>
      </w:r>
      <w:r w:rsidRPr="00FC74AB">
        <w:rPr>
          <w:lang w:val="ca-ES"/>
        </w:rPr>
        <w:t>mateix grup</w:t>
      </w:r>
      <w:r w:rsidR="007E16DC" w:rsidRPr="00FC74AB">
        <w:rPr>
          <w:lang w:val="ca-ES"/>
        </w:rPr>
        <w:t xml:space="preserve"> empresarial</w:t>
      </w:r>
      <w:r w:rsidR="007E16DC" w:rsidRPr="00FC74AB">
        <w:rPr>
          <w:rStyle w:val="FootnoteReference"/>
          <w:lang w:val="ca-ES"/>
        </w:rPr>
        <w:footnoteReference w:id="60"/>
      </w:r>
      <w:r w:rsidRPr="00FC74AB">
        <w:rPr>
          <w:lang w:val="ca-ES"/>
        </w:rPr>
        <w:t>. Aquests exemples demostren la tensió</w:t>
      </w:r>
      <w:r w:rsidR="007E16DC" w:rsidRPr="00FC74AB">
        <w:rPr>
          <w:lang w:val="ca-ES"/>
        </w:rPr>
        <w:t xml:space="preserve"> entre el </w:t>
      </w:r>
      <w:r w:rsidRPr="00FC74AB">
        <w:rPr>
          <w:lang w:val="ca-ES"/>
        </w:rPr>
        <w:t>caràcter</w:t>
      </w:r>
      <w:r w:rsidR="007E16DC" w:rsidRPr="00FC74AB">
        <w:rPr>
          <w:lang w:val="ca-ES"/>
        </w:rPr>
        <w:t xml:space="preserve"> </w:t>
      </w:r>
      <w:r w:rsidR="003B7411" w:rsidRPr="00FC74AB">
        <w:rPr>
          <w:lang w:val="ca-ES"/>
        </w:rPr>
        <w:t>lucratiu</w:t>
      </w:r>
      <w:r w:rsidR="007E16DC" w:rsidRPr="00FC74AB">
        <w:rPr>
          <w:lang w:val="ca-ES"/>
        </w:rPr>
        <w:t xml:space="preserve"> de</w:t>
      </w:r>
      <w:r w:rsidR="00B3113E" w:rsidRPr="00FC74AB">
        <w:rPr>
          <w:lang w:val="ca-ES"/>
        </w:rPr>
        <w:t xml:space="preserve"> les </w:t>
      </w:r>
      <w:r w:rsidR="00E31C4A" w:rsidRPr="00FC74AB">
        <w:rPr>
          <w:lang w:val="ca-ES"/>
        </w:rPr>
        <w:t>empreses</w:t>
      </w:r>
      <w:r w:rsidR="007E4E7F" w:rsidRPr="00FC74AB">
        <w:rPr>
          <w:lang w:val="ca-ES"/>
        </w:rPr>
        <w:t xml:space="preserve"> i </w:t>
      </w:r>
      <w:r w:rsidR="006963E4" w:rsidRPr="00FC74AB">
        <w:rPr>
          <w:lang w:val="ca-ES"/>
        </w:rPr>
        <w:t xml:space="preserve">el seu impacte </w:t>
      </w:r>
      <w:r w:rsidR="007E16DC" w:rsidRPr="00FC74AB">
        <w:rPr>
          <w:lang w:val="ca-ES"/>
        </w:rPr>
        <w:t>en</w:t>
      </w:r>
      <w:r w:rsidR="00B3113E" w:rsidRPr="00FC74AB">
        <w:rPr>
          <w:lang w:val="ca-ES"/>
        </w:rPr>
        <w:t xml:space="preserve"> les </w:t>
      </w:r>
      <w:r w:rsidR="003B7411" w:rsidRPr="00FC74AB">
        <w:rPr>
          <w:lang w:val="ca-ES"/>
        </w:rPr>
        <w:t>tarifes</w:t>
      </w:r>
      <w:r w:rsidR="007E16DC" w:rsidRPr="00FC74AB">
        <w:rPr>
          <w:lang w:val="ca-ES"/>
        </w:rPr>
        <w:t>, a</w:t>
      </w:r>
      <w:r w:rsidR="003B7411" w:rsidRPr="00FC74AB">
        <w:rPr>
          <w:lang w:val="ca-ES"/>
        </w:rPr>
        <w:t>ixí com</w:t>
      </w:r>
      <w:r w:rsidR="007E16DC" w:rsidRPr="00FC74AB">
        <w:rPr>
          <w:lang w:val="ca-ES"/>
        </w:rPr>
        <w:t xml:space="preserve"> la </w:t>
      </w:r>
      <w:r w:rsidRPr="00FC74AB">
        <w:rPr>
          <w:lang w:val="ca-ES"/>
        </w:rPr>
        <w:t>capacitat</w:t>
      </w:r>
      <w:r w:rsidR="007E16DC" w:rsidRPr="00FC74AB">
        <w:rPr>
          <w:lang w:val="ca-ES"/>
        </w:rPr>
        <w:t xml:space="preserve"> </w:t>
      </w:r>
      <w:r w:rsidR="003B7411" w:rsidRPr="00FC74AB">
        <w:rPr>
          <w:lang w:val="ca-ES"/>
        </w:rPr>
        <w:t xml:space="preserve">limitada </w:t>
      </w:r>
      <w:r w:rsidR="007E16DC" w:rsidRPr="00FC74AB">
        <w:rPr>
          <w:lang w:val="ca-ES"/>
        </w:rPr>
        <w:t>de</w:t>
      </w:r>
      <w:r w:rsidR="00B3113E" w:rsidRPr="00FC74AB">
        <w:rPr>
          <w:lang w:val="ca-ES"/>
        </w:rPr>
        <w:t xml:space="preserve"> les </w:t>
      </w:r>
      <w:r w:rsidR="00E31C4A" w:rsidRPr="00FC74AB">
        <w:rPr>
          <w:lang w:val="ca-ES"/>
        </w:rPr>
        <w:t>autoritats</w:t>
      </w:r>
      <w:r w:rsidR="007E16DC" w:rsidRPr="00FC74AB">
        <w:rPr>
          <w:lang w:val="ca-ES"/>
        </w:rPr>
        <w:t xml:space="preserve"> </w:t>
      </w:r>
      <w:r w:rsidR="003A7E50" w:rsidRPr="00FC74AB">
        <w:rPr>
          <w:lang w:val="ca-ES"/>
        </w:rPr>
        <w:t>públiques</w:t>
      </w:r>
      <w:r w:rsidR="003B7411" w:rsidRPr="00FC74AB">
        <w:rPr>
          <w:lang w:val="ca-ES"/>
        </w:rPr>
        <w:t xml:space="preserve"> pe</w:t>
      </w:r>
      <w:r w:rsidR="007E16DC" w:rsidRPr="00FC74AB">
        <w:rPr>
          <w:lang w:val="ca-ES"/>
        </w:rPr>
        <w:t>r garantir que</w:t>
      </w:r>
      <w:r w:rsidR="005214BF" w:rsidRPr="00FC74AB">
        <w:rPr>
          <w:lang w:val="ca-ES"/>
        </w:rPr>
        <w:t xml:space="preserve"> els </w:t>
      </w:r>
      <w:r w:rsidR="00E94729" w:rsidRPr="00FC74AB">
        <w:rPr>
          <w:lang w:val="ca-ES"/>
        </w:rPr>
        <w:t>preus</w:t>
      </w:r>
      <w:r w:rsidR="007E16DC" w:rsidRPr="00FC74AB">
        <w:rPr>
          <w:lang w:val="ca-ES"/>
        </w:rPr>
        <w:t xml:space="preserve"> no </w:t>
      </w:r>
      <w:r w:rsidR="003B7411" w:rsidRPr="00FC74AB">
        <w:rPr>
          <w:lang w:val="ca-ES"/>
        </w:rPr>
        <w:t xml:space="preserve">pugin </w:t>
      </w:r>
      <w:r w:rsidR="007E16DC" w:rsidRPr="00FC74AB">
        <w:rPr>
          <w:lang w:val="ca-ES"/>
        </w:rPr>
        <w:t xml:space="preserve">de manera desproporcionada, </w:t>
      </w:r>
      <w:r w:rsidR="003B7411" w:rsidRPr="00FC74AB">
        <w:rPr>
          <w:lang w:val="ca-ES"/>
        </w:rPr>
        <w:t xml:space="preserve">cosa </w:t>
      </w:r>
      <w:r w:rsidR="007E16DC" w:rsidRPr="00FC74AB">
        <w:rPr>
          <w:lang w:val="ca-ES"/>
        </w:rPr>
        <w:t>que en definitiva p</w:t>
      </w:r>
      <w:r w:rsidR="003B7411" w:rsidRPr="00FC74AB">
        <w:rPr>
          <w:lang w:val="ca-ES"/>
        </w:rPr>
        <w:t xml:space="preserve">ot </w:t>
      </w:r>
      <w:r w:rsidR="007E16DC" w:rsidRPr="00FC74AB">
        <w:rPr>
          <w:lang w:val="ca-ES"/>
        </w:rPr>
        <w:t>afectar a l</w:t>
      </w:r>
      <w:r w:rsidR="003B7411" w:rsidRPr="00FC74AB">
        <w:rPr>
          <w:lang w:val="ca-ES"/>
        </w:rPr>
        <w:t>’</w:t>
      </w:r>
      <w:r w:rsidR="007E4E7F" w:rsidRPr="00FC74AB">
        <w:rPr>
          <w:lang w:val="ca-ES"/>
        </w:rPr>
        <w:t>assequibilitat</w:t>
      </w:r>
      <w:r w:rsidR="007E16DC" w:rsidRPr="00FC74AB">
        <w:rPr>
          <w:lang w:val="ca-ES"/>
        </w:rPr>
        <w:t xml:space="preserve"> de</w:t>
      </w:r>
      <w:r w:rsidR="003B7411" w:rsidRPr="00FC74AB">
        <w:rPr>
          <w:lang w:val="ca-ES"/>
        </w:rPr>
        <w:t xml:space="preserve"> </w:t>
      </w:r>
      <w:r w:rsidR="007E16DC" w:rsidRPr="00FC74AB">
        <w:rPr>
          <w:lang w:val="ca-ES"/>
        </w:rPr>
        <w:t>l</w:t>
      </w:r>
      <w:r w:rsidR="003B7411" w:rsidRPr="00FC74AB">
        <w:rPr>
          <w:lang w:val="ca-ES"/>
        </w:rPr>
        <w:t>’accés</w:t>
      </w:r>
      <w:r w:rsidR="007E16DC" w:rsidRPr="00FC74AB">
        <w:rPr>
          <w:lang w:val="ca-ES"/>
        </w:rPr>
        <w:t xml:space="preserve"> </w:t>
      </w:r>
      <w:r w:rsidR="009A31D3" w:rsidRPr="00FC74AB">
        <w:rPr>
          <w:lang w:val="ca-ES"/>
        </w:rPr>
        <w:t>als</w:t>
      </w:r>
      <w:r w:rsidR="005214BF" w:rsidRPr="00FC74AB">
        <w:rPr>
          <w:lang w:val="ca-ES"/>
        </w:rPr>
        <w:t xml:space="preserve"> </w:t>
      </w:r>
      <w:r w:rsidR="003B7411" w:rsidRPr="00FC74AB">
        <w:rPr>
          <w:lang w:val="ca-ES"/>
        </w:rPr>
        <w:t>serveis</w:t>
      </w:r>
      <w:r w:rsidR="007E16DC" w:rsidRPr="00FC74AB">
        <w:rPr>
          <w:lang w:val="ca-ES"/>
        </w:rPr>
        <w:t>.</w:t>
      </w:r>
    </w:p>
    <w:p w14:paraId="6149D0FD" w14:textId="0190EFDF" w:rsidR="007E16DC" w:rsidRPr="00FC74AB" w:rsidRDefault="00524153" w:rsidP="00DB3B4E">
      <w:pPr>
        <w:pStyle w:val="SingleTxt"/>
        <w:numPr>
          <w:ilvl w:val="2"/>
          <w:numId w:val="49"/>
        </w:numPr>
        <w:spacing w:line="240" w:lineRule="atLeast"/>
        <w:ind w:left="1267" w:firstLine="0"/>
        <w:rPr>
          <w:lang w:val="ca-ES"/>
        </w:rPr>
      </w:pPr>
      <w:r w:rsidRPr="00FC74AB">
        <w:rPr>
          <w:lang w:val="ca-ES"/>
        </w:rPr>
        <w:t>Els usuaris que viuen en la pobresa es poden veure molt afectats per la puja</w:t>
      </w:r>
      <w:r w:rsidR="00B46D53" w:rsidRPr="00FC74AB">
        <w:rPr>
          <w:lang w:val="ca-ES"/>
        </w:rPr>
        <w:t>da</w:t>
      </w:r>
      <w:r w:rsidRPr="00FC74AB">
        <w:rPr>
          <w:lang w:val="ca-ES"/>
        </w:rPr>
        <w:t xml:space="preserve"> de les tarifes, </w:t>
      </w:r>
      <w:r w:rsidR="007C7A95" w:rsidRPr="00FC74AB">
        <w:rPr>
          <w:lang w:val="ca-ES"/>
        </w:rPr>
        <w:t>sobretot</w:t>
      </w:r>
      <w:r w:rsidR="007150C5" w:rsidRPr="00FC74AB">
        <w:rPr>
          <w:lang w:val="ca-ES"/>
        </w:rPr>
        <w:t xml:space="preserve"> </w:t>
      </w:r>
      <w:r w:rsidRPr="00FC74AB">
        <w:rPr>
          <w:lang w:val="ca-ES"/>
        </w:rPr>
        <w:t xml:space="preserve">quan no hi ha </w:t>
      </w:r>
      <w:r w:rsidR="00E55BD7" w:rsidRPr="00FC74AB">
        <w:rPr>
          <w:lang w:val="ca-ES"/>
        </w:rPr>
        <w:t xml:space="preserve">ajuts </w:t>
      </w:r>
      <w:r w:rsidRPr="00FC74AB">
        <w:rPr>
          <w:lang w:val="ca-ES"/>
        </w:rPr>
        <w:t>financer</w:t>
      </w:r>
      <w:r w:rsidR="00E55BD7" w:rsidRPr="00FC74AB">
        <w:rPr>
          <w:lang w:val="ca-ES"/>
        </w:rPr>
        <w:t>s</w:t>
      </w:r>
      <w:r w:rsidRPr="00FC74AB">
        <w:rPr>
          <w:lang w:val="ca-ES"/>
        </w:rPr>
        <w:t>, com</w:t>
      </w:r>
      <w:r w:rsidR="007150C5" w:rsidRPr="00FC74AB">
        <w:rPr>
          <w:lang w:val="ca-ES"/>
        </w:rPr>
        <w:t xml:space="preserve"> ara</w:t>
      </w:r>
      <w:r w:rsidRPr="00FC74AB">
        <w:rPr>
          <w:lang w:val="ca-ES"/>
        </w:rPr>
        <w:t xml:space="preserve"> tarifes reduïdes o </w:t>
      </w:r>
      <w:r w:rsidR="006963E4" w:rsidRPr="00FC74AB">
        <w:rPr>
          <w:lang w:val="ca-ES"/>
        </w:rPr>
        <w:t>habitatge</w:t>
      </w:r>
      <w:r w:rsidRPr="00FC74AB">
        <w:rPr>
          <w:lang w:val="ca-ES"/>
        </w:rPr>
        <w:t xml:space="preserve"> de protecció </w:t>
      </w:r>
      <w:r w:rsidR="006963E4" w:rsidRPr="00FC74AB">
        <w:rPr>
          <w:lang w:val="ca-ES"/>
        </w:rPr>
        <w:t>oficial</w:t>
      </w:r>
      <w:r w:rsidRPr="00FC74AB">
        <w:rPr>
          <w:lang w:val="ca-ES"/>
        </w:rPr>
        <w:t xml:space="preserve">. Per </w:t>
      </w:r>
      <w:r w:rsidR="007150C5" w:rsidRPr="00FC74AB">
        <w:rPr>
          <w:lang w:val="ca-ES"/>
        </w:rPr>
        <w:t>e</w:t>
      </w:r>
      <w:r w:rsidRPr="00FC74AB">
        <w:rPr>
          <w:lang w:val="ca-ES"/>
        </w:rPr>
        <w:t xml:space="preserve">xemple, hi ha proves que a </w:t>
      </w:r>
      <w:r w:rsidR="007150C5" w:rsidRPr="00FC74AB">
        <w:rPr>
          <w:lang w:val="ca-ES"/>
        </w:rPr>
        <w:t>l’</w:t>
      </w:r>
      <w:r w:rsidRPr="00FC74AB">
        <w:rPr>
          <w:lang w:val="ca-ES"/>
        </w:rPr>
        <w:t>Amèrica Llatina la recuperació total de despeses pot comportar problemes</w:t>
      </w:r>
      <w:r w:rsidR="007150C5" w:rsidRPr="00FC74AB">
        <w:rPr>
          <w:lang w:val="ca-ES"/>
        </w:rPr>
        <w:t xml:space="preserve"> d’</w:t>
      </w:r>
      <w:r w:rsidRPr="00FC74AB">
        <w:rPr>
          <w:lang w:val="ca-ES"/>
        </w:rPr>
        <w:t>assequibilitat per a un</w:t>
      </w:r>
      <w:r w:rsidR="007150C5" w:rsidRPr="00FC74AB">
        <w:rPr>
          <w:lang w:val="ca-ES"/>
        </w:rPr>
        <w:t>a</w:t>
      </w:r>
      <w:r w:rsidRPr="00FC74AB">
        <w:rPr>
          <w:lang w:val="ca-ES"/>
        </w:rPr>
        <w:t xml:space="preserve"> de cada cinc llars de la regió</w:t>
      </w:r>
      <w:r w:rsidR="007150C5" w:rsidRPr="00FC74AB">
        <w:rPr>
          <w:lang w:val="ca-ES"/>
        </w:rPr>
        <w:t>. A països com l’</w:t>
      </w:r>
      <w:r w:rsidRPr="00FC74AB">
        <w:rPr>
          <w:lang w:val="ca-ES"/>
        </w:rPr>
        <w:t>Estat Plurinacional de Bolívia, Hondures, Nicaragua i Paraguai, aquesta política pot afectar gairebé la meitat de la població</w:t>
      </w:r>
      <w:r w:rsidR="007E16DC" w:rsidRPr="00FC74AB">
        <w:rPr>
          <w:rStyle w:val="FootnoteReference"/>
          <w:spacing w:val="2"/>
          <w:w w:val="101"/>
          <w:lang w:val="ca-ES"/>
        </w:rPr>
        <w:footnoteReference w:id="61"/>
      </w:r>
      <w:r w:rsidR="007E16DC" w:rsidRPr="00FC74AB">
        <w:rPr>
          <w:lang w:val="ca-ES"/>
        </w:rPr>
        <w:t xml:space="preserve">. </w:t>
      </w:r>
      <w:r w:rsidRPr="00FC74AB">
        <w:rPr>
          <w:lang w:val="ca-ES"/>
        </w:rPr>
        <w:t>En un estudi realitzat el 2005, es va determinar que l</w:t>
      </w:r>
      <w:r w:rsidR="007150C5" w:rsidRPr="00FC74AB">
        <w:rPr>
          <w:lang w:val="ca-ES"/>
        </w:rPr>
        <w:t>’</w:t>
      </w:r>
      <w:r w:rsidRPr="00FC74AB">
        <w:rPr>
          <w:lang w:val="ca-ES"/>
        </w:rPr>
        <w:t xml:space="preserve">assequibilitat era un problema important </w:t>
      </w:r>
      <w:r w:rsidR="004B60DD" w:rsidRPr="00FC74AB">
        <w:rPr>
          <w:lang w:val="ca-ES"/>
        </w:rPr>
        <w:t xml:space="preserve">per al </w:t>
      </w:r>
      <w:r w:rsidRPr="00FC74AB">
        <w:rPr>
          <w:lang w:val="ca-ES"/>
        </w:rPr>
        <w:t>70</w:t>
      </w:r>
      <w:r w:rsidR="007150C5" w:rsidRPr="00FC74AB">
        <w:rPr>
          <w:lang w:val="ca-ES"/>
        </w:rPr>
        <w:t xml:space="preserve"> </w:t>
      </w:r>
      <w:r w:rsidRPr="00FC74AB">
        <w:rPr>
          <w:lang w:val="ca-ES"/>
        </w:rPr>
        <w:t>% de</w:t>
      </w:r>
      <w:r w:rsidR="007150C5" w:rsidRPr="00FC74AB">
        <w:rPr>
          <w:lang w:val="ca-ES"/>
        </w:rPr>
        <w:t xml:space="preserve"> </w:t>
      </w:r>
      <w:r w:rsidRPr="00FC74AB">
        <w:rPr>
          <w:lang w:val="ca-ES"/>
        </w:rPr>
        <w:t>l</w:t>
      </w:r>
      <w:r w:rsidR="007150C5" w:rsidRPr="00FC74AB">
        <w:rPr>
          <w:lang w:val="ca-ES"/>
        </w:rPr>
        <w:t>e</w:t>
      </w:r>
      <w:r w:rsidRPr="00FC74AB">
        <w:rPr>
          <w:lang w:val="ca-ES"/>
        </w:rPr>
        <w:t>s llars d</w:t>
      </w:r>
      <w:r w:rsidR="007150C5" w:rsidRPr="00FC74AB">
        <w:rPr>
          <w:lang w:val="ca-ES"/>
        </w:rPr>
        <w:t>e l’</w:t>
      </w:r>
      <w:r w:rsidRPr="00FC74AB">
        <w:rPr>
          <w:lang w:val="ca-ES"/>
        </w:rPr>
        <w:t>Àfrica Subsahariana</w:t>
      </w:r>
      <w:r w:rsidR="007E16DC" w:rsidRPr="00FC74AB">
        <w:rPr>
          <w:rStyle w:val="FootnoteReference"/>
          <w:spacing w:val="2"/>
          <w:w w:val="101"/>
          <w:lang w:val="ca-ES"/>
        </w:rPr>
        <w:footnoteReference w:id="62"/>
      </w:r>
      <w:r w:rsidR="007E16DC" w:rsidRPr="00FC74AB">
        <w:rPr>
          <w:lang w:val="ca-ES"/>
        </w:rPr>
        <w:t xml:space="preserve">. </w:t>
      </w:r>
      <w:r w:rsidRPr="00FC74AB">
        <w:rPr>
          <w:lang w:val="ca-ES"/>
        </w:rPr>
        <w:t xml:space="preserve">Unes tarifes de </w:t>
      </w:r>
      <w:r w:rsidR="007150C5" w:rsidRPr="00FC74AB">
        <w:rPr>
          <w:lang w:val="ca-ES"/>
        </w:rPr>
        <w:t>subministra</w:t>
      </w:r>
      <w:r w:rsidRPr="00FC74AB">
        <w:rPr>
          <w:lang w:val="ca-ES"/>
        </w:rPr>
        <w:t xml:space="preserve">ment més </w:t>
      </w:r>
      <w:r w:rsidR="004B60DD" w:rsidRPr="00FC74AB">
        <w:rPr>
          <w:lang w:val="ca-ES"/>
        </w:rPr>
        <w:t xml:space="preserve">altes </w:t>
      </w:r>
      <w:r w:rsidRPr="00FC74AB">
        <w:rPr>
          <w:lang w:val="ca-ES"/>
        </w:rPr>
        <w:t xml:space="preserve">poden portar </w:t>
      </w:r>
      <w:r w:rsidR="007150C5" w:rsidRPr="00FC74AB">
        <w:rPr>
          <w:lang w:val="ca-ES"/>
        </w:rPr>
        <w:t>la gent a buscar fonts d’</w:t>
      </w:r>
      <w:r w:rsidRPr="00FC74AB">
        <w:rPr>
          <w:lang w:val="ca-ES"/>
        </w:rPr>
        <w:t xml:space="preserve">aigua alternatives que no són segures. </w:t>
      </w:r>
      <w:r w:rsidR="007150C5" w:rsidRPr="00FC74AB">
        <w:rPr>
          <w:lang w:val="ca-ES"/>
        </w:rPr>
        <w:t>A</w:t>
      </w:r>
      <w:r w:rsidRPr="00FC74AB">
        <w:rPr>
          <w:lang w:val="ca-ES"/>
        </w:rPr>
        <w:t xml:space="preserve"> Kwazulu-Natal (Sud</w:t>
      </w:r>
      <w:r w:rsidR="007150C5" w:rsidRPr="00FC74AB">
        <w:rPr>
          <w:lang w:val="ca-ES"/>
        </w:rPr>
        <w:t>à</w:t>
      </w:r>
      <w:r w:rsidRPr="00FC74AB">
        <w:rPr>
          <w:lang w:val="ca-ES"/>
        </w:rPr>
        <w:t>frica),</w:t>
      </w:r>
      <w:r w:rsidR="007150C5" w:rsidRPr="00FC74AB">
        <w:rPr>
          <w:lang w:val="ca-ES"/>
        </w:rPr>
        <w:t xml:space="preserve"> l’accés a l’aigua </w:t>
      </w:r>
      <w:r w:rsidR="00F27E7D" w:rsidRPr="00FC74AB">
        <w:rPr>
          <w:lang w:val="ca-ES"/>
        </w:rPr>
        <w:t>a través d’</w:t>
      </w:r>
      <w:r w:rsidRPr="00FC74AB">
        <w:rPr>
          <w:lang w:val="ca-ES"/>
        </w:rPr>
        <w:t>un sistema de mesuraments prepagament</w:t>
      </w:r>
      <w:r w:rsidR="007150C5" w:rsidRPr="00FC74AB">
        <w:rPr>
          <w:lang w:val="ca-ES"/>
        </w:rPr>
        <w:t xml:space="preserve"> que</w:t>
      </w:r>
      <w:r w:rsidRPr="00FC74AB">
        <w:rPr>
          <w:lang w:val="ca-ES"/>
        </w:rPr>
        <w:t xml:space="preserve"> </w:t>
      </w:r>
      <w:r w:rsidR="007150C5" w:rsidRPr="00FC74AB">
        <w:rPr>
          <w:lang w:val="ca-ES"/>
        </w:rPr>
        <w:t xml:space="preserve">va posar en marxa el subministrador privat </w:t>
      </w:r>
      <w:r w:rsidRPr="00FC74AB">
        <w:rPr>
          <w:lang w:val="ca-ES"/>
        </w:rPr>
        <w:t>es va rel</w:t>
      </w:r>
      <w:r w:rsidR="007150C5" w:rsidRPr="00FC74AB">
        <w:rPr>
          <w:lang w:val="ca-ES"/>
        </w:rPr>
        <w:t>acionar amb un brot de còlera l’any</w:t>
      </w:r>
      <w:r w:rsidRPr="00FC74AB">
        <w:rPr>
          <w:lang w:val="ca-ES"/>
        </w:rPr>
        <w:t xml:space="preserve"> 2000</w:t>
      </w:r>
      <w:r w:rsidR="007150C5" w:rsidRPr="00FC74AB">
        <w:rPr>
          <w:lang w:val="ca-ES"/>
        </w:rPr>
        <w:t>: es van contagiar</w:t>
      </w:r>
      <w:r w:rsidRPr="00FC74AB">
        <w:rPr>
          <w:lang w:val="ca-ES"/>
        </w:rPr>
        <w:t xml:space="preserve"> 120.000 persones </w:t>
      </w:r>
      <w:r w:rsidR="007150C5" w:rsidRPr="00FC74AB">
        <w:rPr>
          <w:lang w:val="ca-ES"/>
        </w:rPr>
        <w:t xml:space="preserve">i </w:t>
      </w:r>
      <w:r w:rsidR="00F27E7D" w:rsidRPr="00FC74AB">
        <w:rPr>
          <w:lang w:val="ca-ES"/>
        </w:rPr>
        <w:t xml:space="preserve">en </w:t>
      </w:r>
      <w:r w:rsidR="007150C5" w:rsidRPr="00FC74AB">
        <w:rPr>
          <w:lang w:val="ca-ES"/>
        </w:rPr>
        <w:t>van morir</w:t>
      </w:r>
      <w:r w:rsidR="00DB3B4E" w:rsidRPr="00FC74AB">
        <w:rPr>
          <w:lang w:val="ca-ES"/>
        </w:rPr>
        <w:t xml:space="preserve"> 300</w:t>
      </w:r>
      <w:r w:rsidR="007E16DC" w:rsidRPr="00FC74AB">
        <w:rPr>
          <w:rStyle w:val="FootnoteReference"/>
          <w:spacing w:val="2"/>
          <w:w w:val="101"/>
          <w:lang w:val="ca-ES"/>
        </w:rPr>
        <w:footnoteReference w:id="63"/>
      </w:r>
      <w:r w:rsidR="007E16DC" w:rsidRPr="00FC74AB">
        <w:rPr>
          <w:lang w:val="ca-ES"/>
        </w:rPr>
        <w:t xml:space="preserve">. </w:t>
      </w:r>
      <w:r w:rsidRPr="00FC74AB">
        <w:rPr>
          <w:lang w:val="ca-ES"/>
        </w:rPr>
        <w:t xml:space="preserve">A Jakarta, </w:t>
      </w:r>
      <w:r w:rsidR="007150C5" w:rsidRPr="00FC74AB">
        <w:rPr>
          <w:lang w:val="ca-ES"/>
        </w:rPr>
        <w:t xml:space="preserve">degut </w:t>
      </w:r>
      <w:r w:rsidR="00DB3B4E" w:rsidRPr="00FC74AB">
        <w:rPr>
          <w:lang w:val="ca-ES"/>
        </w:rPr>
        <w:t xml:space="preserve">a la mala </w:t>
      </w:r>
      <w:r w:rsidRPr="00FC74AB">
        <w:rPr>
          <w:lang w:val="ca-ES"/>
        </w:rPr>
        <w:t xml:space="preserve">qualitat </w:t>
      </w:r>
      <w:r w:rsidR="007150C5" w:rsidRPr="00FC74AB">
        <w:rPr>
          <w:lang w:val="ca-ES"/>
        </w:rPr>
        <w:t>de l’</w:t>
      </w:r>
      <w:r w:rsidRPr="00FC74AB">
        <w:rPr>
          <w:lang w:val="ca-ES"/>
        </w:rPr>
        <w:t>aigua subministrada, les persones que viuen en la pobresa van recórrer</w:t>
      </w:r>
      <w:r w:rsidR="007150C5" w:rsidRPr="00FC74AB">
        <w:rPr>
          <w:kern w:val="0"/>
          <w:lang w:val="ca-ES"/>
        </w:rPr>
        <w:t xml:space="preserve"> </w:t>
      </w:r>
      <w:r w:rsidR="007150C5" w:rsidRPr="00FC74AB">
        <w:rPr>
          <w:lang w:val="ca-ES"/>
        </w:rPr>
        <w:t>com a alternativa</w:t>
      </w:r>
      <w:r w:rsidRPr="00FC74AB">
        <w:rPr>
          <w:lang w:val="ca-ES"/>
        </w:rPr>
        <w:t xml:space="preserve"> a aigües subterrànies de</w:t>
      </w:r>
      <w:r w:rsidR="00DB3B4E" w:rsidRPr="00FC74AB">
        <w:rPr>
          <w:lang w:val="ca-ES"/>
        </w:rPr>
        <w:t xml:space="preserve"> poca profunditat </w:t>
      </w:r>
      <w:r w:rsidR="007150C5" w:rsidRPr="00FC74AB">
        <w:rPr>
          <w:lang w:val="ca-ES"/>
        </w:rPr>
        <w:t xml:space="preserve">(contaminades), mentre que </w:t>
      </w:r>
      <w:r w:rsidRPr="00FC74AB">
        <w:rPr>
          <w:lang w:val="ca-ES"/>
        </w:rPr>
        <w:t>l</w:t>
      </w:r>
      <w:r w:rsidR="007150C5" w:rsidRPr="00FC74AB">
        <w:rPr>
          <w:lang w:val="ca-ES"/>
        </w:rPr>
        <w:t>e</w:t>
      </w:r>
      <w:r w:rsidRPr="00FC74AB">
        <w:rPr>
          <w:lang w:val="ca-ES"/>
        </w:rPr>
        <w:t xml:space="preserve">s persones benestants van utilitzar aigua de qualitat més segura procedent de pous profunds, </w:t>
      </w:r>
      <w:r w:rsidR="007150C5" w:rsidRPr="00FC74AB">
        <w:rPr>
          <w:lang w:val="ca-ES"/>
        </w:rPr>
        <w:t xml:space="preserve">cosa </w:t>
      </w:r>
      <w:r w:rsidRPr="00FC74AB">
        <w:rPr>
          <w:lang w:val="ca-ES"/>
        </w:rPr>
        <w:t>que va causar un</w:t>
      </w:r>
      <w:r w:rsidR="004F421A" w:rsidRPr="00FC74AB">
        <w:rPr>
          <w:lang w:val="ca-ES"/>
        </w:rPr>
        <w:t>a</w:t>
      </w:r>
      <w:r w:rsidRPr="00FC74AB">
        <w:rPr>
          <w:lang w:val="ca-ES"/>
        </w:rPr>
        <w:t xml:space="preserve"> </w:t>
      </w:r>
      <w:r w:rsidR="004F421A" w:rsidRPr="00FC74AB">
        <w:rPr>
          <w:lang w:val="ca-ES"/>
        </w:rPr>
        <w:t xml:space="preserve">esllavissada amb conseqüències per a </w:t>
      </w:r>
      <w:r w:rsidRPr="00FC74AB">
        <w:rPr>
          <w:lang w:val="ca-ES"/>
        </w:rPr>
        <w:t>la sostenibilitat ambiental</w:t>
      </w:r>
      <w:r w:rsidR="007E16DC" w:rsidRPr="00FC74AB">
        <w:rPr>
          <w:rStyle w:val="FootnoteReference"/>
          <w:spacing w:val="2"/>
          <w:w w:val="101"/>
          <w:lang w:val="ca-ES"/>
        </w:rPr>
        <w:footnoteReference w:id="64"/>
      </w:r>
      <w:r w:rsidR="007E16DC" w:rsidRPr="00FC74AB">
        <w:rPr>
          <w:lang w:val="ca-ES"/>
        </w:rPr>
        <w:t>.</w:t>
      </w:r>
    </w:p>
    <w:p w14:paraId="67E35A1E" w14:textId="0FB6E840" w:rsidR="007E16DC" w:rsidRPr="00FC74AB" w:rsidRDefault="007150C5" w:rsidP="00191151">
      <w:pPr>
        <w:pStyle w:val="SingleTxt"/>
        <w:numPr>
          <w:ilvl w:val="2"/>
          <w:numId w:val="49"/>
        </w:numPr>
        <w:spacing w:line="240" w:lineRule="atLeast"/>
        <w:ind w:left="1267" w:firstLine="0"/>
        <w:rPr>
          <w:lang w:val="ca-ES"/>
        </w:rPr>
      </w:pPr>
      <w:r w:rsidRPr="00FC74AB">
        <w:rPr>
          <w:lang w:val="ca-ES"/>
        </w:rPr>
        <w:t xml:space="preserve">Tot i que </w:t>
      </w:r>
      <w:r w:rsidR="00817107" w:rsidRPr="00FC74AB">
        <w:rPr>
          <w:lang w:val="ca-ES"/>
        </w:rPr>
        <w:t>l’establiment</w:t>
      </w:r>
      <w:r w:rsidR="007E16DC" w:rsidRPr="00FC74AB">
        <w:rPr>
          <w:lang w:val="ca-ES"/>
        </w:rPr>
        <w:t xml:space="preserve"> de</w:t>
      </w:r>
      <w:r w:rsidR="00B3113E" w:rsidRPr="00FC74AB">
        <w:rPr>
          <w:lang w:val="ca-ES"/>
        </w:rPr>
        <w:t xml:space="preserve"> </w:t>
      </w:r>
      <w:r w:rsidR="003B7411" w:rsidRPr="00FC74AB">
        <w:rPr>
          <w:lang w:val="ca-ES"/>
        </w:rPr>
        <w:t>tarifes</w:t>
      </w:r>
      <w:r w:rsidR="007E16DC" w:rsidRPr="00FC74AB">
        <w:rPr>
          <w:lang w:val="ca-ES"/>
        </w:rPr>
        <w:t xml:space="preserve"> generalment</w:t>
      </w:r>
      <w:r w:rsidRPr="00FC74AB">
        <w:rPr>
          <w:lang w:val="ca-ES"/>
        </w:rPr>
        <w:t xml:space="preserve"> és una tasca </w:t>
      </w:r>
      <w:r w:rsidR="007C7A95" w:rsidRPr="00FC74AB">
        <w:rPr>
          <w:lang w:val="ca-ES"/>
        </w:rPr>
        <w:t>que</w:t>
      </w:r>
      <w:r w:rsidR="00985D46" w:rsidRPr="00FC74AB">
        <w:rPr>
          <w:lang w:val="ca-ES"/>
        </w:rPr>
        <w:t xml:space="preserve"> correspon </w:t>
      </w:r>
      <w:r w:rsidR="007C7A95" w:rsidRPr="00FC74AB">
        <w:rPr>
          <w:lang w:val="ca-ES"/>
        </w:rPr>
        <w:t xml:space="preserve">a </w:t>
      </w:r>
      <w:r w:rsidR="00B3113E" w:rsidRPr="00FC74AB">
        <w:rPr>
          <w:lang w:val="ca-ES"/>
        </w:rPr>
        <w:t xml:space="preserve">les </w:t>
      </w:r>
      <w:r w:rsidR="00E31C4A" w:rsidRPr="00FC74AB">
        <w:rPr>
          <w:lang w:val="ca-ES"/>
        </w:rPr>
        <w:t>autoritats</w:t>
      </w:r>
      <w:r w:rsidR="007E16DC" w:rsidRPr="00FC74AB">
        <w:rPr>
          <w:lang w:val="ca-ES"/>
        </w:rPr>
        <w:t xml:space="preserve"> </w:t>
      </w:r>
      <w:r w:rsidR="003A7E50" w:rsidRPr="00FC74AB">
        <w:rPr>
          <w:lang w:val="ca-ES"/>
        </w:rPr>
        <w:t>públiques</w:t>
      </w:r>
      <w:r w:rsidR="007E16DC" w:rsidRPr="00FC74AB">
        <w:rPr>
          <w:lang w:val="ca-ES"/>
        </w:rPr>
        <w:t>,</w:t>
      </w:r>
      <w:r w:rsidR="005214BF" w:rsidRPr="00FC74AB">
        <w:rPr>
          <w:lang w:val="ca-ES"/>
        </w:rPr>
        <w:t xml:space="preserve"> els </w:t>
      </w:r>
      <w:r w:rsidR="004C6C88" w:rsidRPr="00FC74AB">
        <w:rPr>
          <w:lang w:val="ca-ES"/>
        </w:rPr>
        <w:t xml:space="preserve">subministradors privats tenen un interès intrínsec a augmentar els ingressos mitjançant les tarifes i quotes que es cobren als usuaris, i sovint exerceixen una influència considerable en els processos de presa de decisions que hi tenen relació. En molts casos, les empreses tenen coneixements tècnics i recursos per avaluar les revisions tarifàries que eclipsen </w:t>
      </w:r>
      <w:r w:rsidR="00817107" w:rsidRPr="00FC74AB">
        <w:rPr>
          <w:lang w:val="ca-ES"/>
        </w:rPr>
        <w:t>e</w:t>
      </w:r>
      <w:r w:rsidR="004C6C88" w:rsidRPr="00FC74AB">
        <w:rPr>
          <w:lang w:val="ca-ES"/>
        </w:rPr>
        <w:t>ls de les autoritats públiques encarregades d</w:t>
      </w:r>
      <w:r w:rsidR="007C7A95" w:rsidRPr="00FC74AB">
        <w:rPr>
          <w:lang w:val="ca-ES"/>
        </w:rPr>
        <w:t>’</w:t>
      </w:r>
      <w:r w:rsidR="004C6C88" w:rsidRPr="00FC74AB">
        <w:rPr>
          <w:lang w:val="ca-ES"/>
        </w:rPr>
        <w:t>aquesta anàlisi</w:t>
      </w:r>
      <w:r w:rsidR="007C7A95" w:rsidRPr="00FC74AB">
        <w:rPr>
          <w:lang w:val="ca-ES"/>
        </w:rPr>
        <w:t xml:space="preserve">, especialment a </w:t>
      </w:r>
      <w:r w:rsidR="00817107" w:rsidRPr="00FC74AB">
        <w:rPr>
          <w:lang w:val="ca-ES"/>
        </w:rPr>
        <w:t xml:space="preserve">l’àmbit </w:t>
      </w:r>
      <w:r w:rsidR="007C7A95" w:rsidRPr="00FC74AB">
        <w:rPr>
          <w:lang w:val="ca-ES"/>
        </w:rPr>
        <w:t>local</w:t>
      </w:r>
      <w:r w:rsidR="004C6C88" w:rsidRPr="00FC74AB">
        <w:rPr>
          <w:lang w:val="ca-ES"/>
        </w:rPr>
        <w:t xml:space="preserve">. L’asimetria pel que fa a la informació i la captura del regulador fan créixer el risc que els preus </w:t>
      </w:r>
      <w:r w:rsidR="00817107" w:rsidRPr="00FC74AB">
        <w:rPr>
          <w:lang w:val="ca-ES"/>
        </w:rPr>
        <w:t>no sigui</w:t>
      </w:r>
      <w:r w:rsidR="00F27E7D" w:rsidRPr="00FC74AB">
        <w:rPr>
          <w:lang w:val="ca-ES"/>
        </w:rPr>
        <w:t>n</w:t>
      </w:r>
      <w:r w:rsidR="00191151" w:rsidRPr="00FC74AB">
        <w:rPr>
          <w:lang w:val="ca-ES"/>
        </w:rPr>
        <w:t xml:space="preserve"> assequibles </w:t>
      </w:r>
      <w:r w:rsidR="004C6C88" w:rsidRPr="00FC74AB">
        <w:rPr>
          <w:lang w:val="ca-ES"/>
        </w:rPr>
        <w:t xml:space="preserve">per als pobres, </w:t>
      </w:r>
      <w:r w:rsidR="007C7A95" w:rsidRPr="00FC74AB">
        <w:rPr>
          <w:lang w:val="ca-ES"/>
        </w:rPr>
        <w:t xml:space="preserve">sobretot </w:t>
      </w:r>
      <w:r w:rsidR="004C6C88" w:rsidRPr="00FC74AB">
        <w:rPr>
          <w:lang w:val="ca-ES"/>
        </w:rPr>
        <w:t>quan no hi ha un sistema d’ajuts</w:t>
      </w:r>
      <w:r w:rsidR="007E16DC" w:rsidRPr="00FC74AB">
        <w:rPr>
          <w:rStyle w:val="FootnoteReference"/>
          <w:lang w:val="ca-ES"/>
        </w:rPr>
        <w:footnoteReference w:id="65"/>
      </w:r>
      <w:r w:rsidR="007E16DC" w:rsidRPr="00FC74AB">
        <w:rPr>
          <w:lang w:val="ca-ES"/>
        </w:rPr>
        <w:t xml:space="preserve">. </w:t>
      </w:r>
      <w:r w:rsidR="007C7A95" w:rsidRPr="00FC74AB">
        <w:rPr>
          <w:lang w:val="ca-ES"/>
        </w:rPr>
        <w:t>A més</w:t>
      </w:r>
      <w:r w:rsidR="00912423" w:rsidRPr="00FC74AB">
        <w:rPr>
          <w:lang w:val="ca-ES"/>
        </w:rPr>
        <w:t>, una part important</w:t>
      </w:r>
      <w:r w:rsidR="007E16DC" w:rsidRPr="00FC74AB">
        <w:rPr>
          <w:lang w:val="ca-ES"/>
        </w:rPr>
        <w:t xml:space="preserve"> de</w:t>
      </w:r>
      <w:r w:rsidR="00B3113E" w:rsidRPr="00FC74AB">
        <w:rPr>
          <w:lang w:val="ca-ES"/>
        </w:rPr>
        <w:t xml:space="preserve"> les </w:t>
      </w:r>
      <w:r w:rsidR="003B7411" w:rsidRPr="00FC74AB">
        <w:rPr>
          <w:lang w:val="ca-ES"/>
        </w:rPr>
        <w:t>tarifes</w:t>
      </w:r>
      <w:r w:rsidR="00912423" w:rsidRPr="00FC74AB">
        <w:rPr>
          <w:lang w:val="ca-ES"/>
        </w:rPr>
        <w:t xml:space="preserve"> correspon a la remuneració</w:t>
      </w:r>
      <w:r w:rsidR="007E16DC" w:rsidRPr="00FC74AB">
        <w:rPr>
          <w:lang w:val="ca-ES"/>
        </w:rPr>
        <w:t xml:space="preserve"> del capital. </w:t>
      </w:r>
      <w:r w:rsidR="00912423" w:rsidRPr="00FC74AB">
        <w:rPr>
          <w:lang w:val="ca-ES"/>
        </w:rPr>
        <w:t xml:space="preserve">Atès </w:t>
      </w:r>
      <w:r w:rsidR="007E16DC" w:rsidRPr="00FC74AB">
        <w:rPr>
          <w:lang w:val="ca-ES"/>
        </w:rPr>
        <w:t>que</w:t>
      </w:r>
      <w:r w:rsidR="005214BF" w:rsidRPr="00FC74AB">
        <w:rPr>
          <w:lang w:val="ca-ES"/>
        </w:rPr>
        <w:t xml:space="preserve"> els </w:t>
      </w:r>
      <w:r w:rsidR="00912423" w:rsidRPr="00FC74AB">
        <w:rPr>
          <w:lang w:val="ca-ES"/>
        </w:rPr>
        <w:t xml:space="preserve">organismes reguladors rarament participen </w:t>
      </w:r>
      <w:r w:rsidR="007E16DC" w:rsidRPr="00FC74AB">
        <w:rPr>
          <w:lang w:val="ca-ES"/>
        </w:rPr>
        <w:t>en</w:t>
      </w:r>
      <w:r w:rsidR="00B3113E" w:rsidRPr="00FC74AB">
        <w:rPr>
          <w:lang w:val="ca-ES"/>
        </w:rPr>
        <w:t xml:space="preserve"> les </w:t>
      </w:r>
      <w:r w:rsidR="00912423" w:rsidRPr="00FC74AB">
        <w:rPr>
          <w:lang w:val="ca-ES"/>
        </w:rPr>
        <w:t>decision</w:t>
      </w:r>
      <w:r w:rsidR="007E16DC" w:rsidRPr="00FC74AB">
        <w:rPr>
          <w:lang w:val="ca-ES"/>
        </w:rPr>
        <w:t>s d</w:t>
      </w:r>
      <w:r w:rsidR="00912423" w:rsidRPr="00FC74AB">
        <w:rPr>
          <w:lang w:val="ca-ES"/>
        </w:rPr>
        <w:t>’inversió, en aquestes situacions no t</w:t>
      </w:r>
      <w:r w:rsidR="007E16DC" w:rsidRPr="00FC74AB">
        <w:rPr>
          <w:lang w:val="ca-ES"/>
        </w:rPr>
        <w:t xml:space="preserve">enen </w:t>
      </w:r>
      <w:r w:rsidR="00912423" w:rsidRPr="00FC74AB">
        <w:rPr>
          <w:lang w:val="ca-ES"/>
        </w:rPr>
        <w:t>cap altr</w:t>
      </w:r>
      <w:r w:rsidR="007E16DC" w:rsidRPr="00FC74AB">
        <w:rPr>
          <w:lang w:val="ca-ES"/>
        </w:rPr>
        <w:t>a alternativa que a</w:t>
      </w:r>
      <w:r w:rsidR="00912423" w:rsidRPr="00FC74AB">
        <w:rPr>
          <w:lang w:val="ca-ES"/>
        </w:rPr>
        <w:t>c</w:t>
      </w:r>
      <w:r w:rsidR="007E16DC" w:rsidRPr="00FC74AB">
        <w:rPr>
          <w:lang w:val="ca-ES"/>
        </w:rPr>
        <w:t>ceptar</w:t>
      </w:r>
      <w:r w:rsidR="00B3113E" w:rsidRPr="00FC74AB">
        <w:rPr>
          <w:lang w:val="ca-ES"/>
        </w:rPr>
        <w:t xml:space="preserve"> les </w:t>
      </w:r>
      <w:r w:rsidR="00912423" w:rsidRPr="00FC74AB">
        <w:rPr>
          <w:lang w:val="ca-ES"/>
        </w:rPr>
        <w:t xml:space="preserve">pujades </w:t>
      </w:r>
      <w:r w:rsidR="007E16DC" w:rsidRPr="00FC74AB">
        <w:rPr>
          <w:lang w:val="ca-ES"/>
        </w:rPr>
        <w:t>de</w:t>
      </w:r>
      <w:r w:rsidR="00B3113E" w:rsidRPr="00FC74AB">
        <w:rPr>
          <w:lang w:val="ca-ES"/>
        </w:rPr>
        <w:t xml:space="preserve"> les </w:t>
      </w:r>
      <w:r w:rsidR="003B7411" w:rsidRPr="00FC74AB">
        <w:rPr>
          <w:lang w:val="ca-ES"/>
        </w:rPr>
        <w:t>tarifes</w:t>
      </w:r>
      <w:r w:rsidR="007E4E7F" w:rsidRPr="00FC74AB">
        <w:rPr>
          <w:lang w:val="ca-ES"/>
        </w:rPr>
        <w:t xml:space="preserve"> i </w:t>
      </w:r>
      <w:r w:rsidR="007E16DC" w:rsidRPr="00FC74AB">
        <w:rPr>
          <w:lang w:val="ca-ES"/>
        </w:rPr>
        <w:t xml:space="preserve">la </w:t>
      </w:r>
      <w:r w:rsidR="007E4E7F" w:rsidRPr="00FC74AB">
        <w:rPr>
          <w:lang w:val="ca-ES"/>
        </w:rPr>
        <w:t>sostenibilitat</w:t>
      </w:r>
      <w:r w:rsidR="00912423" w:rsidRPr="00FC74AB">
        <w:rPr>
          <w:lang w:val="ca-ES"/>
        </w:rPr>
        <w:t xml:space="preserve"> econò</w:t>
      </w:r>
      <w:r w:rsidR="007E16DC" w:rsidRPr="00FC74AB">
        <w:rPr>
          <w:lang w:val="ca-ES"/>
        </w:rPr>
        <w:t xml:space="preserve">mica </w:t>
      </w:r>
      <w:r w:rsidR="009A31D3" w:rsidRPr="00FC74AB">
        <w:rPr>
          <w:lang w:val="ca-ES"/>
        </w:rPr>
        <w:t>dels</w:t>
      </w:r>
      <w:r w:rsidR="005214BF" w:rsidRPr="00FC74AB">
        <w:rPr>
          <w:lang w:val="ca-ES"/>
        </w:rPr>
        <w:t xml:space="preserve"> </w:t>
      </w:r>
      <w:r w:rsidR="00E31C4A" w:rsidRPr="00FC74AB">
        <w:rPr>
          <w:lang w:val="ca-ES"/>
        </w:rPr>
        <w:t>contractes</w:t>
      </w:r>
      <w:r w:rsidR="007E16DC" w:rsidRPr="00FC74AB">
        <w:rPr>
          <w:lang w:val="ca-ES"/>
        </w:rPr>
        <w:t xml:space="preserve">. </w:t>
      </w:r>
      <w:r w:rsidR="00F324DA" w:rsidRPr="00FC74AB">
        <w:rPr>
          <w:lang w:val="ca-ES"/>
        </w:rPr>
        <w:t>Quan</w:t>
      </w:r>
      <w:r w:rsidR="005214BF" w:rsidRPr="00FC74AB">
        <w:rPr>
          <w:lang w:val="ca-ES"/>
        </w:rPr>
        <w:t xml:space="preserve"> els </w:t>
      </w:r>
      <w:r w:rsidR="003B7411" w:rsidRPr="00FC74AB">
        <w:rPr>
          <w:lang w:val="ca-ES"/>
        </w:rPr>
        <w:t>serveis</w:t>
      </w:r>
      <w:r w:rsidR="007E16DC" w:rsidRPr="00FC74AB">
        <w:rPr>
          <w:lang w:val="ca-ES"/>
        </w:rPr>
        <w:t xml:space="preserve"> v</w:t>
      </w:r>
      <w:r w:rsidR="00F324DA" w:rsidRPr="00FC74AB">
        <w:rPr>
          <w:lang w:val="ca-ES"/>
        </w:rPr>
        <w:t>an retornar a man</w:t>
      </w:r>
      <w:r w:rsidR="007E16DC" w:rsidRPr="00FC74AB">
        <w:rPr>
          <w:lang w:val="ca-ES"/>
        </w:rPr>
        <w:t xml:space="preserve">s </w:t>
      </w:r>
      <w:r w:rsidR="003A7E50" w:rsidRPr="00FC74AB">
        <w:rPr>
          <w:lang w:val="ca-ES"/>
        </w:rPr>
        <w:t>públiques</w:t>
      </w:r>
      <w:r w:rsidR="00F324DA" w:rsidRPr="00FC74AB">
        <w:rPr>
          <w:lang w:val="ca-ES"/>
        </w:rPr>
        <w:t>, en alguns municipi</w:t>
      </w:r>
      <w:r w:rsidR="007E16DC" w:rsidRPr="00FC74AB">
        <w:rPr>
          <w:lang w:val="ca-ES"/>
        </w:rPr>
        <w:t>s, com</w:t>
      </w:r>
      <w:r w:rsidR="00F324DA" w:rsidRPr="00FC74AB">
        <w:rPr>
          <w:lang w:val="ca-ES"/>
        </w:rPr>
        <w:t xml:space="preserve"> ara</w:t>
      </w:r>
      <w:r w:rsidR="007E16DC" w:rsidRPr="00FC74AB">
        <w:rPr>
          <w:lang w:val="ca-ES"/>
        </w:rPr>
        <w:t xml:space="preserve"> París, </w:t>
      </w:r>
      <w:r w:rsidR="00F324DA" w:rsidRPr="00FC74AB">
        <w:rPr>
          <w:lang w:val="ca-ES"/>
        </w:rPr>
        <w:t xml:space="preserve">es van reduir </w:t>
      </w:r>
      <w:r w:rsidR="009A31D3" w:rsidRPr="00FC74AB">
        <w:rPr>
          <w:lang w:val="ca-ES"/>
        </w:rPr>
        <w:t>els</w:t>
      </w:r>
      <w:r w:rsidR="005214BF" w:rsidRPr="00FC74AB">
        <w:rPr>
          <w:lang w:val="ca-ES"/>
        </w:rPr>
        <w:t xml:space="preserve"> </w:t>
      </w:r>
      <w:r w:rsidR="007E16DC" w:rsidRPr="00FC74AB">
        <w:rPr>
          <w:lang w:val="ca-ES"/>
        </w:rPr>
        <w:t>nivel</w:t>
      </w:r>
      <w:r w:rsidR="00F324DA" w:rsidRPr="00FC74AB">
        <w:rPr>
          <w:lang w:val="ca-ES"/>
        </w:rPr>
        <w:t>l</w:t>
      </w:r>
      <w:r w:rsidR="007E16DC" w:rsidRPr="00FC74AB">
        <w:rPr>
          <w:lang w:val="ca-ES"/>
        </w:rPr>
        <w:t xml:space="preserve">s de </w:t>
      </w:r>
      <w:r w:rsidR="003B7411" w:rsidRPr="00FC74AB">
        <w:rPr>
          <w:lang w:val="ca-ES"/>
        </w:rPr>
        <w:t>tarifes</w:t>
      </w:r>
      <w:r w:rsidR="007E16DC" w:rsidRPr="00FC74AB">
        <w:rPr>
          <w:rStyle w:val="FootnoteReference"/>
          <w:lang w:val="ca-ES"/>
        </w:rPr>
        <w:footnoteReference w:id="66"/>
      </w:r>
      <w:r w:rsidR="007E16DC" w:rsidRPr="00FC74AB">
        <w:rPr>
          <w:lang w:val="ca-ES"/>
        </w:rPr>
        <w:t>.</w:t>
      </w:r>
    </w:p>
    <w:p w14:paraId="1805136F" w14:textId="0AA2623B" w:rsidR="007E16DC" w:rsidRPr="00FC74AB" w:rsidRDefault="004C6C88" w:rsidP="00645D38">
      <w:pPr>
        <w:pStyle w:val="SingleTxt"/>
        <w:numPr>
          <w:ilvl w:val="2"/>
          <w:numId w:val="49"/>
        </w:numPr>
        <w:spacing w:line="240" w:lineRule="atLeast"/>
        <w:ind w:left="1267" w:firstLine="0"/>
        <w:rPr>
          <w:lang w:val="ca-ES"/>
        </w:rPr>
      </w:pPr>
      <w:r w:rsidRPr="00FC74AB">
        <w:rPr>
          <w:lang w:val="ca-ES"/>
        </w:rPr>
        <w:t>Les empreses privades tendeixen a aplicar la política de tallar el subministrament als usuaris que no poden pagar les factures</w:t>
      </w:r>
      <w:r w:rsidR="007E16DC" w:rsidRPr="00FC74AB">
        <w:rPr>
          <w:lang w:val="ca-ES"/>
        </w:rPr>
        <w:t>, com</w:t>
      </w:r>
      <w:r w:rsidR="0099173A" w:rsidRPr="00FC74AB">
        <w:rPr>
          <w:lang w:val="ca-ES"/>
        </w:rPr>
        <w:t xml:space="preserve"> a</w:t>
      </w:r>
      <w:r w:rsidR="007E16DC" w:rsidRPr="00FC74AB">
        <w:rPr>
          <w:lang w:val="ca-ES"/>
        </w:rPr>
        <w:t xml:space="preserve"> </w:t>
      </w:r>
      <w:r w:rsidR="00E94729" w:rsidRPr="00FC74AB">
        <w:rPr>
          <w:lang w:val="ca-ES"/>
        </w:rPr>
        <w:t>França</w:t>
      </w:r>
      <w:r w:rsidR="007E4E7F" w:rsidRPr="00FC74AB">
        <w:rPr>
          <w:lang w:val="ca-ES"/>
        </w:rPr>
        <w:t xml:space="preserve"> i </w:t>
      </w:r>
      <w:r w:rsidR="007E16DC" w:rsidRPr="00FC74AB">
        <w:rPr>
          <w:lang w:val="ca-ES"/>
        </w:rPr>
        <w:t xml:space="preserve">el </w:t>
      </w:r>
      <w:r w:rsidR="0099173A" w:rsidRPr="00FC74AB">
        <w:rPr>
          <w:lang w:val="ca-ES"/>
        </w:rPr>
        <w:t>Regne Unit</w:t>
      </w:r>
      <w:r w:rsidR="007E16DC" w:rsidRPr="00FC74AB">
        <w:rPr>
          <w:lang w:val="ca-ES"/>
        </w:rPr>
        <w:t xml:space="preserve"> de Gran </w:t>
      </w:r>
      <w:r w:rsidR="0099173A" w:rsidRPr="00FC74AB">
        <w:rPr>
          <w:lang w:val="ca-ES"/>
        </w:rPr>
        <w:t>Bretanya</w:t>
      </w:r>
      <w:r w:rsidR="007E16DC" w:rsidRPr="00FC74AB">
        <w:rPr>
          <w:lang w:val="ca-ES"/>
        </w:rPr>
        <w:t xml:space="preserve"> </w:t>
      </w:r>
      <w:r w:rsidR="0099173A" w:rsidRPr="00FC74AB">
        <w:rPr>
          <w:lang w:val="ca-ES"/>
        </w:rPr>
        <w:t>i</w:t>
      </w:r>
      <w:r w:rsidR="007E16DC" w:rsidRPr="00FC74AB">
        <w:rPr>
          <w:lang w:val="ca-ES"/>
        </w:rPr>
        <w:t xml:space="preserve"> Irlanda del Nor</w:t>
      </w:r>
      <w:r w:rsidR="0099173A" w:rsidRPr="00FC74AB">
        <w:rPr>
          <w:lang w:val="ca-ES"/>
        </w:rPr>
        <w:t>d</w:t>
      </w:r>
      <w:r w:rsidR="007E16DC" w:rsidRPr="00FC74AB">
        <w:rPr>
          <w:lang w:val="ca-ES"/>
        </w:rPr>
        <w:t xml:space="preserve">. </w:t>
      </w:r>
      <w:r w:rsidR="0099173A" w:rsidRPr="00FC74AB">
        <w:rPr>
          <w:lang w:val="ca-ES"/>
        </w:rPr>
        <w:t>A An</w:t>
      </w:r>
      <w:r w:rsidR="007E16DC" w:rsidRPr="00FC74AB">
        <w:rPr>
          <w:lang w:val="ca-ES"/>
        </w:rPr>
        <w:t>glaterra</w:t>
      </w:r>
      <w:r w:rsidR="007E4E7F" w:rsidRPr="00FC74AB">
        <w:rPr>
          <w:lang w:val="ca-ES"/>
        </w:rPr>
        <w:t xml:space="preserve"> i </w:t>
      </w:r>
      <w:r w:rsidR="00AB0260" w:rsidRPr="00FC74AB">
        <w:rPr>
          <w:lang w:val="ca-ES"/>
        </w:rPr>
        <w:t>Gal·les</w:t>
      </w:r>
      <w:r w:rsidR="007E16DC" w:rsidRPr="00FC74AB">
        <w:rPr>
          <w:lang w:val="ca-ES"/>
        </w:rPr>
        <w:t xml:space="preserve">, </w:t>
      </w:r>
      <w:r w:rsidR="005214BF" w:rsidRPr="00FC74AB">
        <w:rPr>
          <w:lang w:val="ca-ES"/>
        </w:rPr>
        <w:t xml:space="preserve">els </w:t>
      </w:r>
      <w:r w:rsidR="007E16DC" w:rsidRPr="00FC74AB">
        <w:rPr>
          <w:lang w:val="ca-ES"/>
        </w:rPr>
        <w:t>cinc primers a</w:t>
      </w:r>
      <w:r w:rsidR="0099173A" w:rsidRPr="00FC74AB">
        <w:rPr>
          <w:lang w:val="ca-ES"/>
        </w:rPr>
        <w:t xml:space="preserve">nys després de </w:t>
      </w:r>
      <w:r w:rsidR="007E16DC" w:rsidRPr="00FC74AB">
        <w:rPr>
          <w:lang w:val="ca-ES"/>
        </w:rPr>
        <w:t xml:space="preserve">la </w:t>
      </w:r>
      <w:r w:rsidR="007E4E7F" w:rsidRPr="00FC74AB">
        <w:rPr>
          <w:lang w:val="ca-ES"/>
        </w:rPr>
        <w:t>privatització</w:t>
      </w:r>
      <w:r w:rsidR="007E16DC" w:rsidRPr="00FC74AB">
        <w:rPr>
          <w:lang w:val="ca-ES"/>
        </w:rPr>
        <w:t>, e</w:t>
      </w:r>
      <w:r w:rsidR="0099173A" w:rsidRPr="00FC74AB">
        <w:rPr>
          <w:lang w:val="ca-ES"/>
        </w:rPr>
        <w:t>s va triplicar e</w:t>
      </w:r>
      <w:r w:rsidR="007E16DC" w:rsidRPr="00FC74AB">
        <w:rPr>
          <w:lang w:val="ca-ES"/>
        </w:rPr>
        <w:t xml:space="preserve">l </w:t>
      </w:r>
      <w:r w:rsidR="00F27E7D" w:rsidRPr="00FC74AB">
        <w:rPr>
          <w:lang w:val="ca-ES"/>
        </w:rPr>
        <w:t xml:space="preserve">nombre </w:t>
      </w:r>
      <w:r w:rsidR="007E16DC" w:rsidRPr="00FC74AB">
        <w:rPr>
          <w:lang w:val="ca-ES"/>
        </w:rPr>
        <w:t xml:space="preserve">de </w:t>
      </w:r>
      <w:r w:rsidR="00817107" w:rsidRPr="00FC74AB">
        <w:rPr>
          <w:lang w:val="ca-ES"/>
        </w:rPr>
        <w:t xml:space="preserve">talls de subministrament </w:t>
      </w:r>
      <w:r w:rsidR="0099173A" w:rsidRPr="00FC74AB">
        <w:rPr>
          <w:lang w:val="ca-ES"/>
        </w:rPr>
        <w:t>de les llars</w:t>
      </w:r>
      <w:r w:rsidR="007E16DC" w:rsidRPr="00FC74AB">
        <w:rPr>
          <w:lang w:val="ca-ES"/>
        </w:rPr>
        <w:t xml:space="preserve">, </w:t>
      </w:r>
      <w:r w:rsidR="00997FC2" w:rsidRPr="00FC74AB">
        <w:rPr>
          <w:lang w:val="ca-ES"/>
        </w:rPr>
        <w:t xml:space="preserve">cosa </w:t>
      </w:r>
      <w:r w:rsidR="00793928" w:rsidRPr="00FC74AB">
        <w:rPr>
          <w:lang w:val="ca-ES"/>
        </w:rPr>
        <w:t xml:space="preserve">que </w:t>
      </w:r>
      <w:r w:rsidR="00F25B2F" w:rsidRPr="00FC74AB">
        <w:rPr>
          <w:lang w:val="ca-ES"/>
        </w:rPr>
        <w:t xml:space="preserve">va </w:t>
      </w:r>
      <w:r w:rsidR="00997FC2" w:rsidRPr="00FC74AB">
        <w:rPr>
          <w:lang w:val="ca-ES"/>
        </w:rPr>
        <w:t xml:space="preserve">donar lloc a </w:t>
      </w:r>
      <w:r w:rsidR="007E16DC" w:rsidRPr="00FC74AB">
        <w:rPr>
          <w:lang w:val="ca-ES"/>
        </w:rPr>
        <w:t>la L</w:t>
      </w:r>
      <w:r w:rsidR="00F25B2F" w:rsidRPr="00FC74AB">
        <w:rPr>
          <w:lang w:val="ca-ES"/>
        </w:rPr>
        <w:t>lei</w:t>
      </w:r>
      <w:r w:rsidR="007E16DC" w:rsidRPr="00FC74AB">
        <w:rPr>
          <w:lang w:val="ca-ES"/>
        </w:rPr>
        <w:t xml:space="preserve"> </w:t>
      </w:r>
      <w:r w:rsidR="0048735E" w:rsidRPr="00FC74AB">
        <w:rPr>
          <w:lang w:val="ca-ES"/>
        </w:rPr>
        <w:t>de l’aigua</w:t>
      </w:r>
      <w:r w:rsidR="007E16DC" w:rsidRPr="00FC74AB">
        <w:rPr>
          <w:lang w:val="ca-ES"/>
        </w:rPr>
        <w:t xml:space="preserve"> de 1999 </w:t>
      </w:r>
      <w:r w:rsidR="00F25B2F" w:rsidRPr="00FC74AB">
        <w:rPr>
          <w:lang w:val="ca-ES"/>
        </w:rPr>
        <w:t>que prohi</w:t>
      </w:r>
      <w:r w:rsidR="007E16DC" w:rsidRPr="00FC74AB">
        <w:rPr>
          <w:lang w:val="ca-ES"/>
        </w:rPr>
        <w:t>be</w:t>
      </w:r>
      <w:r w:rsidR="00F25B2F" w:rsidRPr="00FC74AB">
        <w:rPr>
          <w:lang w:val="ca-ES"/>
        </w:rPr>
        <w:t xml:space="preserve">ix </w:t>
      </w:r>
      <w:r w:rsidR="007E16DC" w:rsidRPr="00FC74AB">
        <w:rPr>
          <w:lang w:val="ca-ES"/>
        </w:rPr>
        <w:t>descon</w:t>
      </w:r>
      <w:r w:rsidR="00F25B2F" w:rsidRPr="00FC74AB">
        <w:rPr>
          <w:lang w:val="ca-ES"/>
        </w:rPr>
        <w:t>nectar</w:t>
      </w:r>
      <w:r w:rsidR="00F27E7D" w:rsidRPr="00FC74AB">
        <w:rPr>
          <w:lang w:val="ca-ES"/>
        </w:rPr>
        <w:t xml:space="preserve"> del servei</w:t>
      </w:r>
      <w:r w:rsidR="00F25B2F" w:rsidRPr="00FC74AB">
        <w:rPr>
          <w:lang w:val="ca-ES"/>
        </w:rPr>
        <w:t xml:space="preserve"> els usuaris per no pagar </w:t>
      </w:r>
      <w:r w:rsidR="007E4E7F" w:rsidRPr="00FC74AB">
        <w:rPr>
          <w:lang w:val="ca-ES"/>
        </w:rPr>
        <w:t xml:space="preserve">i </w:t>
      </w:r>
      <w:r w:rsidR="00F25B2F" w:rsidRPr="00FC74AB">
        <w:rPr>
          <w:lang w:val="ca-ES"/>
        </w:rPr>
        <w:t>utilitzar mesuradors prepagament com a</w:t>
      </w:r>
      <w:r w:rsidR="007E16DC" w:rsidRPr="00FC74AB">
        <w:rPr>
          <w:lang w:val="ca-ES"/>
        </w:rPr>
        <w:t xml:space="preserve"> resp</w:t>
      </w:r>
      <w:r w:rsidR="00F25B2F" w:rsidRPr="00FC74AB">
        <w:rPr>
          <w:lang w:val="ca-ES"/>
        </w:rPr>
        <w:t>os</w:t>
      </w:r>
      <w:r w:rsidR="007E16DC" w:rsidRPr="00FC74AB">
        <w:rPr>
          <w:lang w:val="ca-ES"/>
        </w:rPr>
        <w:t xml:space="preserve">ta </w:t>
      </w:r>
      <w:r w:rsidR="009A31D3" w:rsidRPr="00FC74AB">
        <w:rPr>
          <w:lang w:val="ca-ES"/>
        </w:rPr>
        <w:t>als</w:t>
      </w:r>
      <w:r w:rsidR="005214BF" w:rsidRPr="00FC74AB">
        <w:rPr>
          <w:lang w:val="ca-ES"/>
        </w:rPr>
        <w:t xml:space="preserve"> </w:t>
      </w:r>
      <w:r w:rsidR="00F25B2F" w:rsidRPr="00FC74AB">
        <w:rPr>
          <w:lang w:val="ca-ES"/>
        </w:rPr>
        <w:t>perills que comporten els talls per a la salut</w:t>
      </w:r>
      <w:r w:rsidR="007E16DC" w:rsidRPr="00FC74AB">
        <w:rPr>
          <w:lang w:val="ca-ES"/>
        </w:rPr>
        <w:t xml:space="preserve"> pública</w:t>
      </w:r>
      <w:r w:rsidR="007E16DC" w:rsidRPr="00FC74AB">
        <w:rPr>
          <w:rStyle w:val="FootnoteReference"/>
          <w:lang w:val="ca-ES"/>
        </w:rPr>
        <w:footnoteReference w:id="67"/>
      </w:r>
      <w:r w:rsidR="007E16DC" w:rsidRPr="00FC74AB">
        <w:rPr>
          <w:lang w:val="ca-ES"/>
        </w:rPr>
        <w:t xml:space="preserve">. </w:t>
      </w:r>
      <w:r w:rsidR="00F25B2F" w:rsidRPr="00FC74AB">
        <w:rPr>
          <w:lang w:val="ca-ES"/>
        </w:rPr>
        <w:t>A J</w:t>
      </w:r>
      <w:r w:rsidR="007E16DC" w:rsidRPr="00FC74AB">
        <w:rPr>
          <w:lang w:val="ca-ES"/>
        </w:rPr>
        <w:t>akarta,</w:t>
      </w:r>
      <w:r w:rsidR="00B3113E" w:rsidRPr="00FC74AB">
        <w:rPr>
          <w:lang w:val="ca-ES"/>
        </w:rPr>
        <w:t xml:space="preserve"> </w:t>
      </w:r>
      <w:r w:rsidR="00F25B2F" w:rsidRPr="00FC74AB">
        <w:rPr>
          <w:lang w:val="ca-ES"/>
        </w:rPr>
        <w:t xml:space="preserve">es va acusar </w:t>
      </w:r>
      <w:r w:rsidR="00B3113E" w:rsidRPr="00FC74AB">
        <w:rPr>
          <w:lang w:val="ca-ES"/>
        </w:rPr>
        <w:t xml:space="preserve">les </w:t>
      </w:r>
      <w:r w:rsidR="007E16DC" w:rsidRPr="00FC74AB">
        <w:rPr>
          <w:lang w:val="ca-ES"/>
        </w:rPr>
        <w:t>d</w:t>
      </w:r>
      <w:r w:rsidR="00F25B2F" w:rsidRPr="00FC74AB">
        <w:rPr>
          <w:lang w:val="ca-ES"/>
        </w:rPr>
        <w:t>ue</w:t>
      </w:r>
      <w:r w:rsidR="007E16DC" w:rsidRPr="00FC74AB">
        <w:rPr>
          <w:lang w:val="ca-ES"/>
        </w:rPr>
        <w:t xml:space="preserve">s </w:t>
      </w:r>
      <w:r w:rsidR="00E31C4A" w:rsidRPr="00FC74AB">
        <w:rPr>
          <w:lang w:val="ca-ES"/>
        </w:rPr>
        <w:t>empreses</w:t>
      </w:r>
      <w:r w:rsidR="007E16DC" w:rsidRPr="00FC74AB">
        <w:rPr>
          <w:lang w:val="ca-ES"/>
        </w:rPr>
        <w:t xml:space="preserve"> adjudic</w:t>
      </w:r>
      <w:r w:rsidR="00F25B2F" w:rsidRPr="00FC74AB">
        <w:rPr>
          <w:lang w:val="ca-ES"/>
        </w:rPr>
        <w:t xml:space="preserve">atàries de </w:t>
      </w:r>
      <w:r w:rsidR="00E31C4A" w:rsidRPr="00FC74AB">
        <w:rPr>
          <w:lang w:val="ca-ES"/>
        </w:rPr>
        <w:t>contractes</w:t>
      </w:r>
      <w:r w:rsidR="007E16DC" w:rsidRPr="00FC74AB">
        <w:rPr>
          <w:lang w:val="ca-ES"/>
        </w:rPr>
        <w:t xml:space="preserve"> </w:t>
      </w:r>
      <w:r w:rsidR="003A58C9" w:rsidRPr="00FC74AB">
        <w:rPr>
          <w:lang w:val="ca-ES"/>
        </w:rPr>
        <w:t>d’aigua</w:t>
      </w:r>
      <w:r w:rsidR="007E4E7F" w:rsidRPr="00FC74AB">
        <w:rPr>
          <w:lang w:val="ca-ES"/>
        </w:rPr>
        <w:t xml:space="preserve"> i sanejament</w:t>
      </w:r>
      <w:r w:rsidR="007E16DC" w:rsidRPr="00FC74AB">
        <w:rPr>
          <w:lang w:val="ca-ES"/>
        </w:rPr>
        <w:t xml:space="preserve"> de </w:t>
      </w:r>
      <w:r w:rsidR="00F25B2F" w:rsidRPr="00FC74AB">
        <w:rPr>
          <w:lang w:val="ca-ES"/>
        </w:rPr>
        <w:t>de</w:t>
      </w:r>
      <w:r w:rsidR="007E16DC" w:rsidRPr="00FC74AB">
        <w:rPr>
          <w:lang w:val="ca-ES"/>
        </w:rPr>
        <w:t>negar</w:t>
      </w:r>
      <w:r w:rsidR="005214BF" w:rsidRPr="00FC74AB">
        <w:rPr>
          <w:lang w:val="ca-ES"/>
        </w:rPr>
        <w:t xml:space="preserve"> els </w:t>
      </w:r>
      <w:r w:rsidR="003B7411" w:rsidRPr="00FC74AB">
        <w:rPr>
          <w:lang w:val="ca-ES"/>
        </w:rPr>
        <w:t>serveis</w:t>
      </w:r>
      <w:r w:rsidR="007E16DC" w:rsidRPr="00FC74AB">
        <w:rPr>
          <w:lang w:val="ca-ES"/>
        </w:rPr>
        <w:t xml:space="preserve"> d</w:t>
      </w:r>
      <w:r w:rsidR="00F25B2F" w:rsidRPr="00FC74AB">
        <w:rPr>
          <w:lang w:val="ca-ES"/>
        </w:rPr>
        <w:t>’accés</w:t>
      </w:r>
      <w:r w:rsidR="007E16DC" w:rsidRPr="00FC74AB">
        <w:rPr>
          <w:lang w:val="ca-ES"/>
        </w:rPr>
        <w:t xml:space="preserve"> </w:t>
      </w:r>
      <w:r w:rsidR="00D85349" w:rsidRPr="00FC74AB">
        <w:rPr>
          <w:lang w:val="ca-ES"/>
        </w:rPr>
        <w:t>a l’aigua</w:t>
      </w:r>
      <w:r w:rsidR="007E16DC" w:rsidRPr="00FC74AB">
        <w:rPr>
          <w:lang w:val="ca-ES"/>
        </w:rPr>
        <w:t xml:space="preserve"> </w:t>
      </w:r>
      <w:r w:rsidR="009A31D3" w:rsidRPr="00FC74AB">
        <w:rPr>
          <w:lang w:val="ca-ES"/>
        </w:rPr>
        <w:t>als</w:t>
      </w:r>
      <w:r w:rsidR="005214BF" w:rsidRPr="00FC74AB">
        <w:rPr>
          <w:lang w:val="ca-ES"/>
        </w:rPr>
        <w:t xml:space="preserve"> </w:t>
      </w:r>
      <w:r w:rsidR="00F25B2F" w:rsidRPr="00FC74AB">
        <w:rPr>
          <w:lang w:val="ca-ES"/>
        </w:rPr>
        <w:t>residents que no podie</w:t>
      </w:r>
      <w:r w:rsidR="007E16DC" w:rsidRPr="00FC74AB">
        <w:rPr>
          <w:lang w:val="ca-ES"/>
        </w:rPr>
        <w:t xml:space="preserve">n pagar </w:t>
      </w:r>
      <w:r w:rsidR="00F25B2F" w:rsidRPr="00FC74AB">
        <w:rPr>
          <w:lang w:val="ca-ES"/>
        </w:rPr>
        <w:t>les facture</w:t>
      </w:r>
      <w:r w:rsidR="007E16DC" w:rsidRPr="00FC74AB">
        <w:rPr>
          <w:lang w:val="ca-ES"/>
        </w:rPr>
        <w:t xml:space="preserve">s, </w:t>
      </w:r>
      <w:r w:rsidR="00793928" w:rsidRPr="00FC74AB">
        <w:rPr>
          <w:lang w:val="ca-ES"/>
        </w:rPr>
        <w:t xml:space="preserve">cosa que va portar </w:t>
      </w:r>
      <w:r w:rsidR="00F25B2F" w:rsidRPr="00FC74AB">
        <w:rPr>
          <w:lang w:val="ca-ES"/>
        </w:rPr>
        <w:t>els usuari</w:t>
      </w:r>
      <w:r w:rsidR="007E16DC" w:rsidRPr="00FC74AB">
        <w:rPr>
          <w:lang w:val="ca-ES"/>
        </w:rPr>
        <w:t>s a comprar</w:t>
      </w:r>
      <w:r w:rsidR="009F581B" w:rsidRPr="00FC74AB">
        <w:rPr>
          <w:lang w:val="ca-ES"/>
        </w:rPr>
        <w:t xml:space="preserve"> aigua </w:t>
      </w:r>
      <w:r w:rsidR="007E16DC" w:rsidRPr="00FC74AB">
        <w:rPr>
          <w:lang w:val="ca-ES"/>
        </w:rPr>
        <w:t xml:space="preserve">potable cara </w:t>
      </w:r>
      <w:r w:rsidR="009A31D3" w:rsidRPr="00FC74AB">
        <w:rPr>
          <w:lang w:val="ca-ES"/>
        </w:rPr>
        <w:t>a</w:t>
      </w:r>
      <w:r w:rsidR="005214BF" w:rsidRPr="00FC74AB">
        <w:rPr>
          <w:lang w:val="ca-ES"/>
        </w:rPr>
        <w:t xml:space="preserve"> </w:t>
      </w:r>
      <w:r w:rsidR="00793928" w:rsidRPr="00FC74AB">
        <w:rPr>
          <w:lang w:val="ca-ES"/>
        </w:rPr>
        <w:t>venedors ambulant</w:t>
      </w:r>
      <w:r w:rsidR="007E16DC" w:rsidRPr="00FC74AB">
        <w:rPr>
          <w:lang w:val="ca-ES"/>
        </w:rPr>
        <w:t>s</w:t>
      </w:r>
      <w:r w:rsidR="007E4E7F" w:rsidRPr="00FC74AB">
        <w:rPr>
          <w:lang w:val="ca-ES"/>
        </w:rPr>
        <w:t xml:space="preserve"> i </w:t>
      </w:r>
      <w:r w:rsidR="007E16DC" w:rsidRPr="00FC74AB">
        <w:rPr>
          <w:lang w:val="ca-ES"/>
        </w:rPr>
        <w:t xml:space="preserve">a </w:t>
      </w:r>
      <w:r w:rsidR="00F27E7D" w:rsidRPr="00FC74AB">
        <w:rPr>
          <w:lang w:val="ca-ES"/>
        </w:rPr>
        <w:t>rentar</w:t>
      </w:r>
      <w:r w:rsidR="00793928" w:rsidRPr="00FC74AB">
        <w:rPr>
          <w:lang w:val="ca-ES"/>
        </w:rPr>
        <w:t xml:space="preserve">-se </w:t>
      </w:r>
      <w:r w:rsidR="00F27E7D" w:rsidRPr="00FC74AB">
        <w:rPr>
          <w:lang w:val="ca-ES"/>
        </w:rPr>
        <w:t xml:space="preserve">en </w:t>
      </w:r>
      <w:r w:rsidR="00793928" w:rsidRPr="00FC74AB">
        <w:rPr>
          <w:lang w:val="ca-ES"/>
        </w:rPr>
        <w:t>pous públics contaminat</w:t>
      </w:r>
      <w:r w:rsidR="007E16DC" w:rsidRPr="00FC74AB">
        <w:rPr>
          <w:lang w:val="ca-ES"/>
        </w:rPr>
        <w:t>s</w:t>
      </w:r>
      <w:r w:rsidR="007E16DC" w:rsidRPr="00FC74AB">
        <w:rPr>
          <w:rStyle w:val="FootnoteReference"/>
          <w:lang w:val="ca-ES"/>
        </w:rPr>
        <w:footnoteReference w:id="68"/>
      </w:r>
      <w:r w:rsidR="007E16DC" w:rsidRPr="00FC74AB">
        <w:rPr>
          <w:lang w:val="ca-ES"/>
        </w:rPr>
        <w:t>. De</w:t>
      </w:r>
      <w:r w:rsidR="00793928" w:rsidRPr="00FC74AB">
        <w:rPr>
          <w:lang w:val="ca-ES"/>
        </w:rPr>
        <w:t xml:space="preserve"> </w:t>
      </w:r>
      <w:r w:rsidR="007E16DC" w:rsidRPr="00FC74AB">
        <w:rPr>
          <w:lang w:val="ca-ES"/>
        </w:rPr>
        <w:t>l</w:t>
      </w:r>
      <w:r w:rsidR="00793928" w:rsidRPr="00FC74AB">
        <w:rPr>
          <w:lang w:val="ca-ES"/>
        </w:rPr>
        <w:t>a</w:t>
      </w:r>
      <w:r w:rsidR="007E16DC" w:rsidRPr="00FC74AB">
        <w:rPr>
          <w:lang w:val="ca-ES"/>
        </w:rPr>
        <w:t xml:space="preserve"> m</w:t>
      </w:r>
      <w:r w:rsidR="00793928" w:rsidRPr="00FC74AB">
        <w:rPr>
          <w:lang w:val="ca-ES"/>
        </w:rPr>
        <w:t>ateixa manera</w:t>
      </w:r>
      <w:r w:rsidR="007E16DC" w:rsidRPr="00FC74AB">
        <w:rPr>
          <w:lang w:val="ca-ES"/>
        </w:rPr>
        <w:t xml:space="preserve">, el </w:t>
      </w:r>
      <w:r w:rsidR="00793928" w:rsidRPr="00FC74AB">
        <w:rPr>
          <w:lang w:val="ca-ES"/>
        </w:rPr>
        <w:t>subministrador mexicà</w:t>
      </w:r>
      <w:r w:rsidR="007E16DC" w:rsidRPr="00FC74AB">
        <w:rPr>
          <w:lang w:val="ca-ES"/>
        </w:rPr>
        <w:t xml:space="preserve"> Aguas de Saltillo </w:t>
      </w:r>
      <w:r w:rsidR="00793928" w:rsidRPr="00FC74AB">
        <w:rPr>
          <w:lang w:val="ca-ES"/>
        </w:rPr>
        <w:t xml:space="preserve">va </w:t>
      </w:r>
      <w:r w:rsidR="007E16DC" w:rsidRPr="00FC74AB">
        <w:rPr>
          <w:lang w:val="ca-ES"/>
        </w:rPr>
        <w:t>au</w:t>
      </w:r>
      <w:r w:rsidR="00793928" w:rsidRPr="00FC74AB">
        <w:rPr>
          <w:lang w:val="ca-ES"/>
        </w:rPr>
        <w:t>g</w:t>
      </w:r>
      <w:r w:rsidR="007E16DC" w:rsidRPr="00FC74AB">
        <w:rPr>
          <w:lang w:val="ca-ES"/>
        </w:rPr>
        <w:t>ment</w:t>
      </w:r>
      <w:r w:rsidR="00793928" w:rsidRPr="00FC74AB">
        <w:rPr>
          <w:lang w:val="ca-ES"/>
        </w:rPr>
        <w:t>ar</w:t>
      </w:r>
      <w:r w:rsidR="007E16DC" w:rsidRPr="00FC74AB">
        <w:rPr>
          <w:lang w:val="ca-ES"/>
        </w:rPr>
        <w:t xml:space="preserve"> </w:t>
      </w:r>
      <w:r w:rsidR="00793928" w:rsidRPr="00FC74AB">
        <w:rPr>
          <w:lang w:val="ca-ES"/>
        </w:rPr>
        <w:t>dràsticament</w:t>
      </w:r>
      <w:r w:rsidR="007E16DC" w:rsidRPr="00FC74AB">
        <w:rPr>
          <w:lang w:val="ca-ES"/>
        </w:rPr>
        <w:t xml:space="preserve"> el </w:t>
      </w:r>
      <w:r w:rsidR="00997FC2" w:rsidRPr="00FC74AB">
        <w:rPr>
          <w:lang w:val="ca-ES"/>
        </w:rPr>
        <w:t xml:space="preserve">nombre </w:t>
      </w:r>
      <w:r w:rsidR="007E16DC" w:rsidRPr="00FC74AB">
        <w:rPr>
          <w:lang w:val="ca-ES"/>
        </w:rPr>
        <w:t xml:space="preserve">de </w:t>
      </w:r>
      <w:r w:rsidR="00793928" w:rsidRPr="00FC74AB">
        <w:rPr>
          <w:lang w:val="ca-ES"/>
        </w:rPr>
        <w:t>talls i va</w:t>
      </w:r>
      <w:r w:rsidR="007E16DC" w:rsidRPr="00FC74AB">
        <w:rPr>
          <w:lang w:val="ca-ES"/>
        </w:rPr>
        <w:t xml:space="preserve"> introdu</w:t>
      </w:r>
      <w:r w:rsidR="00793928" w:rsidRPr="00FC74AB">
        <w:rPr>
          <w:lang w:val="ca-ES"/>
        </w:rPr>
        <w:t>ir</w:t>
      </w:r>
      <w:r w:rsidR="007E16DC" w:rsidRPr="00FC74AB">
        <w:rPr>
          <w:lang w:val="ca-ES"/>
        </w:rPr>
        <w:t xml:space="preserve"> una tarifa de recon</w:t>
      </w:r>
      <w:r w:rsidR="00793928" w:rsidRPr="00FC74AB">
        <w:rPr>
          <w:lang w:val="ca-ES"/>
        </w:rPr>
        <w:t>nexió</w:t>
      </w:r>
      <w:r w:rsidR="007E16DC" w:rsidRPr="00FC74AB">
        <w:rPr>
          <w:rStyle w:val="FootnoteReference"/>
          <w:lang w:val="ca-ES"/>
        </w:rPr>
        <w:footnoteReference w:id="69"/>
      </w:r>
      <w:r w:rsidR="00793928" w:rsidRPr="00FC74AB">
        <w:rPr>
          <w:lang w:val="ca-ES"/>
        </w:rPr>
        <w:t>. A Mbombela (Sudà</w:t>
      </w:r>
      <w:r w:rsidR="007E16DC" w:rsidRPr="00FC74AB">
        <w:rPr>
          <w:lang w:val="ca-ES"/>
        </w:rPr>
        <w:t>frica), l</w:t>
      </w:r>
      <w:r w:rsidR="00793928" w:rsidRPr="00FC74AB">
        <w:rPr>
          <w:lang w:val="ca-ES"/>
        </w:rPr>
        <w:t>’</w:t>
      </w:r>
      <w:r w:rsidR="007E16DC" w:rsidRPr="00FC74AB">
        <w:rPr>
          <w:lang w:val="ca-ES"/>
        </w:rPr>
        <w:t xml:space="preserve">empresa </w:t>
      </w:r>
      <w:r w:rsidR="00793928" w:rsidRPr="00FC74AB">
        <w:rPr>
          <w:lang w:val="ca-ES"/>
        </w:rPr>
        <w:t xml:space="preserve">va tallar </w:t>
      </w:r>
      <w:r w:rsidR="005214BF" w:rsidRPr="00FC74AB">
        <w:rPr>
          <w:lang w:val="ca-ES"/>
        </w:rPr>
        <w:t xml:space="preserve">els </w:t>
      </w:r>
      <w:r w:rsidR="003B7411" w:rsidRPr="00FC74AB">
        <w:rPr>
          <w:lang w:val="ca-ES"/>
        </w:rPr>
        <w:t>serveis</w:t>
      </w:r>
      <w:r w:rsidR="007E16DC" w:rsidRPr="00FC74AB">
        <w:rPr>
          <w:lang w:val="ca-ES"/>
        </w:rPr>
        <w:t xml:space="preserve"> relaciona</w:t>
      </w:r>
      <w:r w:rsidR="00793928" w:rsidRPr="00FC74AB">
        <w:rPr>
          <w:lang w:val="ca-ES"/>
        </w:rPr>
        <w:t>ts amb l’</w:t>
      </w:r>
      <w:r w:rsidR="009F581B" w:rsidRPr="00FC74AB">
        <w:rPr>
          <w:lang w:val="ca-ES"/>
        </w:rPr>
        <w:t xml:space="preserve">aigua </w:t>
      </w:r>
      <w:r w:rsidR="00793928" w:rsidRPr="00FC74AB">
        <w:rPr>
          <w:lang w:val="ca-ES"/>
        </w:rPr>
        <w:t>despr</w:t>
      </w:r>
      <w:r w:rsidR="007E16DC" w:rsidRPr="00FC74AB">
        <w:rPr>
          <w:lang w:val="ca-ES"/>
        </w:rPr>
        <w:t>és d</w:t>
      </w:r>
      <w:r w:rsidR="00793928" w:rsidRPr="00FC74AB">
        <w:rPr>
          <w:lang w:val="ca-ES"/>
        </w:rPr>
        <w:t>’emetr</w:t>
      </w:r>
      <w:r w:rsidR="007E16DC" w:rsidRPr="00FC74AB">
        <w:rPr>
          <w:lang w:val="ca-ES"/>
        </w:rPr>
        <w:t xml:space="preserve">e </w:t>
      </w:r>
      <w:r w:rsidR="00793928" w:rsidRPr="00FC74AB">
        <w:rPr>
          <w:lang w:val="ca-ES"/>
        </w:rPr>
        <w:t>advertències</w:t>
      </w:r>
      <w:r w:rsidR="007E16DC" w:rsidRPr="00FC74AB">
        <w:rPr>
          <w:lang w:val="ca-ES"/>
        </w:rPr>
        <w:t xml:space="preserve"> sobre</w:t>
      </w:r>
      <w:r w:rsidR="005214BF" w:rsidRPr="00FC74AB">
        <w:rPr>
          <w:lang w:val="ca-ES"/>
        </w:rPr>
        <w:t xml:space="preserve"> els</w:t>
      </w:r>
      <w:r w:rsidR="00987B28" w:rsidRPr="00FC74AB">
        <w:rPr>
          <w:lang w:val="ca-ES"/>
        </w:rPr>
        <w:t xml:space="preserve"> impagaments</w:t>
      </w:r>
      <w:r w:rsidR="007E16DC" w:rsidRPr="00FC74AB">
        <w:rPr>
          <w:lang w:val="ca-ES"/>
        </w:rPr>
        <w:t xml:space="preserve">, </w:t>
      </w:r>
      <w:r w:rsidR="00997FC2" w:rsidRPr="00FC74AB">
        <w:rPr>
          <w:lang w:val="ca-ES"/>
        </w:rPr>
        <w:t xml:space="preserve">tot </w:t>
      </w:r>
      <w:r w:rsidR="001D59F5" w:rsidRPr="00FC74AB">
        <w:rPr>
          <w:lang w:val="ca-ES"/>
        </w:rPr>
        <w:t xml:space="preserve">posant en perill l’accés </w:t>
      </w:r>
      <w:r w:rsidR="007E16DC" w:rsidRPr="00FC74AB">
        <w:rPr>
          <w:lang w:val="ca-ES"/>
        </w:rPr>
        <w:t>de mile</w:t>
      </w:r>
      <w:r w:rsidR="001D59F5" w:rsidRPr="00FC74AB">
        <w:rPr>
          <w:lang w:val="ca-ES"/>
        </w:rPr>
        <w:t>r</w:t>
      </w:r>
      <w:r w:rsidR="007E16DC" w:rsidRPr="00FC74AB">
        <w:rPr>
          <w:lang w:val="ca-ES"/>
        </w:rPr>
        <w:t>s d</w:t>
      </w:r>
      <w:r w:rsidR="001D59F5" w:rsidRPr="00FC74AB">
        <w:rPr>
          <w:lang w:val="ca-ES"/>
        </w:rPr>
        <w:t>’usuari</w:t>
      </w:r>
      <w:r w:rsidR="007E16DC" w:rsidRPr="00FC74AB">
        <w:rPr>
          <w:lang w:val="ca-ES"/>
        </w:rPr>
        <w:t xml:space="preserve">s. </w:t>
      </w:r>
      <w:r w:rsidR="001D59F5" w:rsidRPr="00FC74AB">
        <w:rPr>
          <w:lang w:val="ca-ES"/>
        </w:rPr>
        <w:t>Això també va succeir a zones empobride</w:t>
      </w:r>
      <w:r w:rsidR="007E16DC" w:rsidRPr="00FC74AB">
        <w:rPr>
          <w:lang w:val="ca-ES"/>
        </w:rPr>
        <w:t>s de Dolphin Coast</w:t>
      </w:r>
      <w:r w:rsidR="001D59F5" w:rsidRPr="00FC74AB">
        <w:rPr>
          <w:lang w:val="ca-ES"/>
        </w:rPr>
        <w:t xml:space="preserve">, </w:t>
      </w:r>
      <w:r w:rsidR="00F27E7D" w:rsidRPr="00FC74AB">
        <w:rPr>
          <w:lang w:val="ca-ES"/>
        </w:rPr>
        <w:t xml:space="preserve">a </w:t>
      </w:r>
      <w:r w:rsidR="001D59F5" w:rsidRPr="00FC74AB">
        <w:rPr>
          <w:lang w:val="ca-ES"/>
        </w:rPr>
        <w:t>Sudà</w:t>
      </w:r>
      <w:r w:rsidR="007E16DC" w:rsidRPr="00FC74AB">
        <w:rPr>
          <w:lang w:val="ca-ES"/>
        </w:rPr>
        <w:t xml:space="preserve">frica, </w:t>
      </w:r>
      <w:r w:rsidR="001D59F5" w:rsidRPr="00FC74AB">
        <w:rPr>
          <w:lang w:val="ca-ES"/>
        </w:rPr>
        <w:t>on es van realitzar talls quan la pujada de</w:t>
      </w:r>
      <w:r w:rsidR="00B3113E" w:rsidRPr="00FC74AB">
        <w:rPr>
          <w:lang w:val="ca-ES"/>
        </w:rPr>
        <w:t xml:space="preserve"> l</w:t>
      </w:r>
      <w:r w:rsidR="00F27E7D" w:rsidRPr="00FC74AB">
        <w:rPr>
          <w:lang w:val="ca-ES"/>
        </w:rPr>
        <w:t>a</w:t>
      </w:r>
      <w:r w:rsidR="00B3113E" w:rsidRPr="00FC74AB">
        <w:rPr>
          <w:lang w:val="ca-ES"/>
        </w:rPr>
        <w:t xml:space="preserve"> </w:t>
      </w:r>
      <w:r w:rsidR="00F27E7D" w:rsidRPr="00FC74AB">
        <w:rPr>
          <w:lang w:val="ca-ES"/>
        </w:rPr>
        <w:t xml:space="preserve">factura </w:t>
      </w:r>
      <w:r w:rsidR="0048735E" w:rsidRPr="00FC74AB">
        <w:rPr>
          <w:lang w:val="ca-ES"/>
        </w:rPr>
        <w:t>de l’aigua</w:t>
      </w:r>
      <w:r w:rsidR="007E16DC" w:rsidRPr="00FC74AB">
        <w:rPr>
          <w:lang w:val="ca-ES"/>
        </w:rPr>
        <w:t xml:space="preserve"> </w:t>
      </w:r>
      <w:r w:rsidR="008462AD" w:rsidRPr="00FC74AB">
        <w:rPr>
          <w:lang w:val="ca-ES"/>
        </w:rPr>
        <w:t xml:space="preserve">es </w:t>
      </w:r>
      <w:r w:rsidR="001D59F5" w:rsidRPr="00FC74AB">
        <w:rPr>
          <w:lang w:val="ca-ES"/>
        </w:rPr>
        <w:t xml:space="preserve">va fer </w:t>
      </w:r>
      <w:r w:rsidR="007E16DC" w:rsidRPr="00FC74AB">
        <w:rPr>
          <w:lang w:val="ca-ES"/>
        </w:rPr>
        <w:t>impos</w:t>
      </w:r>
      <w:r w:rsidR="001D59F5" w:rsidRPr="00FC74AB">
        <w:rPr>
          <w:lang w:val="ca-ES"/>
        </w:rPr>
        <w:t>s</w:t>
      </w:r>
      <w:r w:rsidR="007E16DC" w:rsidRPr="00FC74AB">
        <w:rPr>
          <w:lang w:val="ca-ES"/>
        </w:rPr>
        <w:t>ible de pagar</w:t>
      </w:r>
      <w:r w:rsidR="007E16DC" w:rsidRPr="00FC74AB">
        <w:rPr>
          <w:rStyle w:val="FootnoteReference"/>
          <w:lang w:val="ca-ES"/>
        </w:rPr>
        <w:footnoteReference w:id="70"/>
      </w:r>
      <w:r w:rsidR="007E16DC" w:rsidRPr="00FC74AB">
        <w:rPr>
          <w:lang w:val="ca-ES"/>
        </w:rPr>
        <w:t>.</w:t>
      </w:r>
      <w:r w:rsidR="00B127EF" w:rsidRPr="00FC74AB">
        <w:rPr>
          <w:lang w:val="ca-ES"/>
        </w:rPr>
        <w:t xml:space="preserve"> D’</w:t>
      </w:r>
      <w:r w:rsidR="0099173A" w:rsidRPr="00FC74AB">
        <w:rPr>
          <w:lang w:val="ca-ES"/>
        </w:rPr>
        <w:t>altra banda, el Relator Especial, durant les visites oficials al</w:t>
      </w:r>
      <w:r w:rsidR="00B127EF" w:rsidRPr="00FC74AB">
        <w:rPr>
          <w:lang w:val="ca-ES"/>
        </w:rPr>
        <w:t>s</w:t>
      </w:r>
      <w:r w:rsidR="0099173A" w:rsidRPr="00FC74AB">
        <w:rPr>
          <w:lang w:val="ca-ES"/>
        </w:rPr>
        <w:t xml:space="preserve"> pa</w:t>
      </w:r>
      <w:r w:rsidR="00B127EF" w:rsidRPr="00FC74AB">
        <w:rPr>
          <w:lang w:val="ca-ES"/>
        </w:rPr>
        <w:t>ïsos</w:t>
      </w:r>
      <w:r w:rsidR="0099173A" w:rsidRPr="00FC74AB">
        <w:rPr>
          <w:lang w:val="ca-ES"/>
        </w:rPr>
        <w:t>, va ser testimoni que, fins i tot quan la normativa autoritza els talls, els subministradors públics solen ser menys estrictes</w:t>
      </w:r>
      <w:r w:rsidR="00B127EF" w:rsidRPr="00FC74AB">
        <w:rPr>
          <w:lang w:val="ca-ES"/>
        </w:rPr>
        <w:t>,</w:t>
      </w:r>
      <w:r w:rsidR="0099173A" w:rsidRPr="00FC74AB">
        <w:rPr>
          <w:lang w:val="ca-ES"/>
        </w:rPr>
        <w:t xml:space="preserve"> no </w:t>
      </w:r>
      <w:r w:rsidR="00B127EF" w:rsidRPr="00FC74AB">
        <w:rPr>
          <w:lang w:val="ca-ES"/>
        </w:rPr>
        <w:t>el</w:t>
      </w:r>
      <w:r w:rsidR="0099173A" w:rsidRPr="00FC74AB">
        <w:rPr>
          <w:lang w:val="ca-ES"/>
        </w:rPr>
        <w:t xml:space="preserve">s apliquen automàticament </w:t>
      </w:r>
      <w:r w:rsidR="00B127EF" w:rsidRPr="00FC74AB">
        <w:rPr>
          <w:lang w:val="ca-ES"/>
        </w:rPr>
        <w:t xml:space="preserve">i permeten que es mantingui </w:t>
      </w:r>
      <w:r w:rsidR="007E16DC" w:rsidRPr="00FC74AB">
        <w:rPr>
          <w:lang w:val="ca-ES"/>
        </w:rPr>
        <w:t xml:space="preserve">el </w:t>
      </w:r>
      <w:r w:rsidR="00E037E5" w:rsidRPr="00FC74AB">
        <w:rPr>
          <w:lang w:val="ca-ES"/>
        </w:rPr>
        <w:t>subministrament</w:t>
      </w:r>
      <w:r w:rsidR="007E16DC" w:rsidRPr="00FC74AB">
        <w:rPr>
          <w:lang w:val="ca-ES"/>
        </w:rPr>
        <w:t xml:space="preserve"> </w:t>
      </w:r>
      <w:r w:rsidR="00B127EF" w:rsidRPr="00FC74AB">
        <w:rPr>
          <w:lang w:val="ca-ES"/>
        </w:rPr>
        <w:t>als usuaris en situació de pobresa</w:t>
      </w:r>
      <w:r w:rsidR="007E16DC" w:rsidRPr="00FC74AB">
        <w:rPr>
          <w:rStyle w:val="FootnoteReference"/>
          <w:lang w:val="ca-ES"/>
        </w:rPr>
        <w:footnoteReference w:id="71"/>
      </w:r>
      <w:r w:rsidR="007E16DC" w:rsidRPr="00FC74AB">
        <w:rPr>
          <w:lang w:val="ca-ES"/>
        </w:rPr>
        <w:t xml:space="preserve">. </w:t>
      </w:r>
      <w:r w:rsidR="00B127EF" w:rsidRPr="00FC74AB">
        <w:rPr>
          <w:lang w:val="ca-ES"/>
        </w:rPr>
        <w:t>Aquest</w:t>
      </w:r>
      <w:r w:rsidR="007E16DC" w:rsidRPr="00FC74AB">
        <w:rPr>
          <w:lang w:val="ca-ES"/>
        </w:rPr>
        <w:t xml:space="preserve"> m</w:t>
      </w:r>
      <w:r w:rsidR="00B127EF" w:rsidRPr="00FC74AB">
        <w:rPr>
          <w:lang w:val="ca-ES"/>
        </w:rPr>
        <w:t xml:space="preserve">ateix patró </w:t>
      </w:r>
      <w:r w:rsidR="007E16DC" w:rsidRPr="00FC74AB">
        <w:rPr>
          <w:lang w:val="ca-ES"/>
        </w:rPr>
        <w:t>s</w:t>
      </w:r>
      <w:r w:rsidR="00B127EF" w:rsidRPr="00FC74AB">
        <w:rPr>
          <w:lang w:val="ca-ES"/>
        </w:rPr>
        <w:t>’</w:t>
      </w:r>
      <w:r w:rsidR="007E16DC" w:rsidRPr="00FC74AB">
        <w:rPr>
          <w:lang w:val="ca-ES"/>
        </w:rPr>
        <w:t xml:space="preserve">ha </w:t>
      </w:r>
      <w:r w:rsidR="00645D38" w:rsidRPr="00FC74AB">
        <w:rPr>
          <w:lang w:val="ca-ES"/>
        </w:rPr>
        <w:t xml:space="preserve">observat </w:t>
      </w:r>
      <w:r w:rsidR="003B6A65" w:rsidRPr="00FC74AB">
        <w:rPr>
          <w:lang w:val="ca-ES"/>
        </w:rPr>
        <w:t>amb e</w:t>
      </w:r>
      <w:r w:rsidR="00B127EF" w:rsidRPr="00FC74AB">
        <w:rPr>
          <w:lang w:val="ca-ES"/>
        </w:rPr>
        <w:t xml:space="preserve">ls subministradors </w:t>
      </w:r>
      <w:r w:rsidR="009A31D3" w:rsidRPr="00FC74AB">
        <w:rPr>
          <w:lang w:val="ca-ES"/>
        </w:rPr>
        <w:t>dels</w:t>
      </w:r>
      <w:r w:rsidR="005214BF" w:rsidRPr="00FC74AB">
        <w:rPr>
          <w:lang w:val="ca-ES"/>
        </w:rPr>
        <w:t xml:space="preserve"> </w:t>
      </w:r>
      <w:r w:rsidR="00B127EF" w:rsidRPr="00FC74AB">
        <w:rPr>
          <w:lang w:val="ca-ES"/>
        </w:rPr>
        <w:t>Estats Units</w:t>
      </w:r>
      <w:r w:rsidR="007E16DC" w:rsidRPr="00FC74AB">
        <w:rPr>
          <w:rStyle w:val="FootnoteReference"/>
          <w:lang w:val="ca-ES"/>
        </w:rPr>
        <w:footnoteReference w:id="72"/>
      </w:r>
      <w:r w:rsidR="00B127EF" w:rsidRPr="00FC74AB">
        <w:rPr>
          <w:lang w:val="ca-ES"/>
        </w:rPr>
        <w:t>. É</w:t>
      </w:r>
      <w:r w:rsidR="007E16DC" w:rsidRPr="00FC74AB">
        <w:rPr>
          <w:lang w:val="ca-ES"/>
        </w:rPr>
        <w:t>s</w:t>
      </w:r>
      <w:r w:rsidR="00DB041B" w:rsidRPr="00FC74AB">
        <w:rPr>
          <w:lang w:val="ca-ES"/>
        </w:rPr>
        <w:t xml:space="preserve"> més </w:t>
      </w:r>
      <w:r w:rsidR="007E16DC" w:rsidRPr="00FC74AB">
        <w:rPr>
          <w:lang w:val="ca-ES"/>
        </w:rPr>
        <w:t>probable que</w:t>
      </w:r>
      <w:r w:rsidR="005214BF" w:rsidRPr="00FC74AB">
        <w:rPr>
          <w:lang w:val="ca-ES"/>
        </w:rPr>
        <w:t xml:space="preserve"> els </w:t>
      </w:r>
      <w:r w:rsidR="00B127EF" w:rsidRPr="00FC74AB">
        <w:rPr>
          <w:lang w:val="ca-ES"/>
        </w:rPr>
        <w:t xml:space="preserve">subministradors </w:t>
      </w:r>
      <w:r w:rsidR="007E16DC" w:rsidRPr="00FC74AB">
        <w:rPr>
          <w:lang w:val="ca-ES"/>
        </w:rPr>
        <w:t>públics s</w:t>
      </w:r>
      <w:r w:rsidR="00B127EF" w:rsidRPr="00FC74AB">
        <w:rPr>
          <w:lang w:val="ca-ES"/>
        </w:rPr>
        <w:t>iguin</w:t>
      </w:r>
      <w:r w:rsidR="00DB041B" w:rsidRPr="00FC74AB">
        <w:rPr>
          <w:lang w:val="ca-ES"/>
        </w:rPr>
        <w:t xml:space="preserve"> més </w:t>
      </w:r>
      <w:r w:rsidR="007E16DC" w:rsidRPr="00FC74AB">
        <w:rPr>
          <w:lang w:val="ca-ES"/>
        </w:rPr>
        <w:t>recepti</w:t>
      </w:r>
      <w:r w:rsidR="00B127EF" w:rsidRPr="00FC74AB">
        <w:rPr>
          <w:lang w:val="ca-ES"/>
        </w:rPr>
        <w:t>us</w:t>
      </w:r>
      <w:r w:rsidR="007E16DC" w:rsidRPr="00FC74AB">
        <w:rPr>
          <w:lang w:val="ca-ES"/>
        </w:rPr>
        <w:t xml:space="preserve"> a considerar </w:t>
      </w:r>
      <w:r w:rsidR="00B127EF" w:rsidRPr="00FC74AB">
        <w:rPr>
          <w:lang w:val="ca-ES"/>
        </w:rPr>
        <w:t>e</w:t>
      </w:r>
      <w:r w:rsidR="009A31D3" w:rsidRPr="00FC74AB">
        <w:rPr>
          <w:lang w:val="ca-ES"/>
        </w:rPr>
        <w:t>ls</w:t>
      </w:r>
      <w:r w:rsidR="005214BF" w:rsidRPr="00FC74AB">
        <w:rPr>
          <w:lang w:val="ca-ES"/>
        </w:rPr>
        <w:t xml:space="preserve"> </w:t>
      </w:r>
      <w:r w:rsidR="00B127EF" w:rsidRPr="00FC74AB">
        <w:rPr>
          <w:lang w:val="ca-ES"/>
        </w:rPr>
        <w:t>usuari</w:t>
      </w:r>
      <w:r w:rsidR="007E16DC" w:rsidRPr="00FC74AB">
        <w:rPr>
          <w:lang w:val="ca-ES"/>
        </w:rPr>
        <w:t>s com</w:t>
      </w:r>
      <w:r w:rsidR="00B127EF" w:rsidRPr="00FC74AB">
        <w:rPr>
          <w:lang w:val="ca-ES"/>
        </w:rPr>
        <w:t xml:space="preserve"> a</w:t>
      </w:r>
      <w:r w:rsidR="007E16DC" w:rsidRPr="00FC74AB">
        <w:rPr>
          <w:lang w:val="ca-ES"/>
        </w:rPr>
        <w:t xml:space="preserve"> </w:t>
      </w:r>
      <w:r w:rsidR="00B127EF" w:rsidRPr="00FC74AB">
        <w:rPr>
          <w:lang w:val="ca-ES"/>
        </w:rPr>
        <w:t>titulars de drets</w:t>
      </w:r>
      <w:r w:rsidR="007E4E7F" w:rsidRPr="00FC74AB">
        <w:rPr>
          <w:lang w:val="ca-ES"/>
        </w:rPr>
        <w:t xml:space="preserve"> i </w:t>
      </w:r>
      <w:r w:rsidR="007E16DC" w:rsidRPr="00FC74AB">
        <w:rPr>
          <w:lang w:val="ca-ES"/>
        </w:rPr>
        <w:t>no</w:t>
      </w:r>
      <w:r w:rsidR="005214BF" w:rsidRPr="00FC74AB">
        <w:rPr>
          <w:lang w:val="ca-ES"/>
        </w:rPr>
        <w:t xml:space="preserve"> els </w:t>
      </w:r>
      <w:r w:rsidR="007E16DC" w:rsidRPr="00FC74AB">
        <w:rPr>
          <w:lang w:val="ca-ES"/>
        </w:rPr>
        <w:t>descon</w:t>
      </w:r>
      <w:r w:rsidR="00B127EF" w:rsidRPr="00FC74AB">
        <w:rPr>
          <w:lang w:val="ca-ES"/>
        </w:rPr>
        <w:t>nectin tan fà</w:t>
      </w:r>
      <w:r w:rsidR="007E16DC" w:rsidRPr="00FC74AB">
        <w:rPr>
          <w:lang w:val="ca-ES"/>
        </w:rPr>
        <w:t>cilment com en</w:t>
      </w:r>
      <w:r w:rsidR="00B3113E" w:rsidRPr="00FC74AB">
        <w:rPr>
          <w:lang w:val="ca-ES"/>
        </w:rPr>
        <w:t xml:space="preserve"> </w:t>
      </w:r>
      <w:r w:rsidR="00B127EF" w:rsidRPr="00FC74AB">
        <w:rPr>
          <w:lang w:val="ca-ES"/>
        </w:rPr>
        <w:t>els casos en què la prestació</w:t>
      </w:r>
      <w:r w:rsidR="007E16DC" w:rsidRPr="00FC74AB">
        <w:rPr>
          <w:lang w:val="ca-ES"/>
        </w:rPr>
        <w:t xml:space="preserve"> est</w:t>
      </w:r>
      <w:r w:rsidR="00B127EF" w:rsidRPr="00FC74AB">
        <w:rPr>
          <w:lang w:val="ca-ES"/>
        </w:rPr>
        <w:t>à</w:t>
      </w:r>
      <w:r w:rsidR="007E16DC" w:rsidRPr="00FC74AB">
        <w:rPr>
          <w:lang w:val="ca-ES"/>
        </w:rPr>
        <w:t xml:space="preserve"> orientada a l</w:t>
      </w:r>
      <w:r w:rsidR="00B127EF" w:rsidRPr="00FC74AB">
        <w:rPr>
          <w:lang w:val="ca-ES"/>
        </w:rPr>
        <w:t>’obtenció</w:t>
      </w:r>
      <w:r w:rsidR="007E16DC" w:rsidRPr="00FC74AB">
        <w:rPr>
          <w:lang w:val="ca-ES"/>
        </w:rPr>
        <w:t xml:space="preserve"> de </w:t>
      </w:r>
      <w:r w:rsidR="003A7E50" w:rsidRPr="00FC74AB">
        <w:rPr>
          <w:lang w:val="ca-ES"/>
        </w:rPr>
        <w:t>beneficis</w:t>
      </w:r>
      <w:r w:rsidR="007E16DC" w:rsidRPr="00FC74AB">
        <w:rPr>
          <w:lang w:val="ca-ES"/>
        </w:rPr>
        <w:t>.</w:t>
      </w:r>
    </w:p>
    <w:p w14:paraId="15C73755" w14:textId="77777777" w:rsidR="007E16DC" w:rsidRPr="00FC74AB" w:rsidRDefault="007E16DC" w:rsidP="007E16DC">
      <w:pPr>
        <w:pStyle w:val="SingleTxt"/>
        <w:spacing w:after="0" w:line="120" w:lineRule="exact"/>
        <w:rPr>
          <w:sz w:val="10"/>
          <w:lang w:val="ca-ES"/>
        </w:rPr>
      </w:pPr>
    </w:p>
    <w:p w14:paraId="16A27F97" w14:textId="77777777" w:rsidR="007E16DC" w:rsidRPr="00FC74AB" w:rsidRDefault="007E16DC" w:rsidP="007E16DC">
      <w:pPr>
        <w:pStyle w:val="SingleTxt"/>
        <w:spacing w:after="0" w:line="120" w:lineRule="exact"/>
        <w:rPr>
          <w:sz w:val="10"/>
          <w:lang w:val="ca-ES"/>
        </w:rPr>
      </w:pPr>
    </w:p>
    <w:p w14:paraId="730570CF" w14:textId="40B8507A" w:rsidR="007E16DC" w:rsidRPr="00FC74AB" w:rsidRDefault="007E16DC" w:rsidP="00195B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C.</w:t>
      </w:r>
      <w:r w:rsidRPr="00FC74AB">
        <w:rPr>
          <w:lang w:val="ca-ES"/>
        </w:rPr>
        <w:tab/>
      </w:r>
      <w:r w:rsidR="007E4E7F" w:rsidRPr="00FC74AB">
        <w:rPr>
          <w:lang w:val="ca-ES"/>
        </w:rPr>
        <w:t>Manca de millora o deteriorament</w:t>
      </w:r>
      <w:r w:rsidRPr="00FC74AB">
        <w:rPr>
          <w:lang w:val="ca-ES"/>
        </w:rPr>
        <w:t xml:space="preserve"> </w:t>
      </w:r>
      <w:r w:rsidR="007E4E7F" w:rsidRPr="00FC74AB">
        <w:rPr>
          <w:lang w:val="ca-ES"/>
        </w:rPr>
        <w:t>dels serveis</w:t>
      </w:r>
    </w:p>
    <w:p w14:paraId="32C5B4CE" w14:textId="77777777" w:rsidR="007E16DC" w:rsidRPr="00FC74AB" w:rsidRDefault="007E16DC" w:rsidP="007E16DC">
      <w:pPr>
        <w:pStyle w:val="SingleTxt"/>
        <w:spacing w:after="0" w:line="120" w:lineRule="exact"/>
        <w:rPr>
          <w:sz w:val="10"/>
          <w:lang w:val="ca-ES"/>
        </w:rPr>
      </w:pPr>
    </w:p>
    <w:p w14:paraId="65B60333" w14:textId="77777777" w:rsidR="007E16DC" w:rsidRPr="00FC74AB" w:rsidRDefault="007E16DC" w:rsidP="007E16DC">
      <w:pPr>
        <w:pStyle w:val="SingleTxt"/>
        <w:spacing w:after="0" w:line="120" w:lineRule="exact"/>
        <w:rPr>
          <w:sz w:val="10"/>
          <w:lang w:val="ca-ES"/>
        </w:rPr>
      </w:pPr>
    </w:p>
    <w:p w14:paraId="12A5967E" w14:textId="18E5ED03" w:rsidR="007E16DC" w:rsidRPr="00FC74AB" w:rsidRDefault="00335347" w:rsidP="00744BA5">
      <w:pPr>
        <w:pStyle w:val="SingleTxt"/>
        <w:numPr>
          <w:ilvl w:val="2"/>
          <w:numId w:val="49"/>
        </w:numPr>
        <w:spacing w:line="240" w:lineRule="atLeast"/>
        <w:ind w:left="1267" w:firstLine="0"/>
        <w:rPr>
          <w:lang w:val="ca-ES"/>
        </w:rPr>
      </w:pPr>
      <w:r w:rsidRPr="00FC74AB">
        <w:rPr>
          <w:lang w:val="ca-ES"/>
        </w:rPr>
        <w:t>El pas de la prestació pública a la privada se sol promocionar com una forma d’aconseguir serveis de millor qualitat, més segurs i accessibles, ja que es considera que les entitats privades són més eficients i tenen més coneixements especialitzats. No obstant això, les evidències indiquen que la privatització no és la panacea per a la millora i l’</w:t>
      </w:r>
      <w:r w:rsidR="00F714A0" w:rsidRPr="00FC74AB">
        <w:rPr>
          <w:lang w:val="ca-ES"/>
        </w:rPr>
        <w:t xml:space="preserve">extensió </w:t>
      </w:r>
      <w:r w:rsidRPr="00FC74AB">
        <w:rPr>
          <w:lang w:val="ca-ES"/>
        </w:rPr>
        <w:t>dels serveis. Les tensions entre els interessos econòmics de les empreses i els resultats socials dels serveis sovint afavoreixen els primers. A més, si el procés de privatització es posa en pràctica de manera inadequada i les inversions no arriben tal com estaven compromeses, el sector públic acaba assumint la càrrega d</w:t>
      </w:r>
      <w:r w:rsidR="00744BA5" w:rsidRPr="00FC74AB">
        <w:rPr>
          <w:lang w:val="ca-ES"/>
        </w:rPr>
        <w:t>’</w:t>
      </w:r>
      <w:r w:rsidRPr="00FC74AB">
        <w:rPr>
          <w:lang w:val="ca-ES"/>
        </w:rPr>
        <w:t>esmenar les deficiències</w:t>
      </w:r>
      <w:r w:rsidR="007E16DC" w:rsidRPr="00FC74AB">
        <w:rPr>
          <w:rStyle w:val="FootnoteReference"/>
          <w:lang w:val="ca-ES"/>
        </w:rPr>
        <w:footnoteReference w:id="73"/>
      </w:r>
      <w:r w:rsidR="007E16DC" w:rsidRPr="00FC74AB">
        <w:rPr>
          <w:lang w:val="ca-ES"/>
        </w:rPr>
        <w:t xml:space="preserve">, </w:t>
      </w:r>
      <w:r w:rsidRPr="00FC74AB">
        <w:rPr>
          <w:lang w:val="ca-ES"/>
        </w:rPr>
        <w:t>ja que els Estats segueixen sent responsables de garantir els drets dels titulars q</w:t>
      </w:r>
      <w:r w:rsidR="007E16DC" w:rsidRPr="00FC74AB">
        <w:rPr>
          <w:lang w:val="ca-ES"/>
        </w:rPr>
        <w:t>uan</w:t>
      </w:r>
      <w:r w:rsidR="005214BF" w:rsidRPr="00FC74AB">
        <w:rPr>
          <w:lang w:val="ca-ES"/>
        </w:rPr>
        <w:t xml:space="preserve"> els </w:t>
      </w:r>
      <w:r w:rsidR="003B7411" w:rsidRPr="00FC74AB">
        <w:rPr>
          <w:lang w:val="ca-ES"/>
        </w:rPr>
        <w:t>serveis</w:t>
      </w:r>
      <w:r w:rsidR="007E16DC" w:rsidRPr="00FC74AB">
        <w:rPr>
          <w:lang w:val="ca-ES"/>
        </w:rPr>
        <w:t xml:space="preserve"> </w:t>
      </w:r>
      <w:r w:rsidRPr="00FC74AB">
        <w:rPr>
          <w:lang w:val="ca-ES"/>
        </w:rPr>
        <w:t>e</w:t>
      </w:r>
      <w:r w:rsidR="007E16DC" w:rsidRPr="00FC74AB">
        <w:rPr>
          <w:lang w:val="ca-ES"/>
        </w:rPr>
        <w:t>s</w:t>
      </w:r>
      <w:r w:rsidRPr="00FC74AB">
        <w:rPr>
          <w:lang w:val="ca-ES"/>
        </w:rPr>
        <w:t xml:space="preserve"> delegue</w:t>
      </w:r>
      <w:r w:rsidR="007E16DC" w:rsidRPr="00FC74AB">
        <w:rPr>
          <w:lang w:val="ca-ES"/>
        </w:rPr>
        <w:t xml:space="preserve">n </w:t>
      </w:r>
      <w:r w:rsidRPr="00FC74AB">
        <w:rPr>
          <w:lang w:val="ca-ES"/>
        </w:rPr>
        <w:t>a</w:t>
      </w:r>
      <w:r w:rsidR="007E16DC" w:rsidRPr="00FC74AB">
        <w:rPr>
          <w:lang w:val="ca-ES"/>
        </w:rPr>
        <w:t xml:space="preserve"> terce</w:t>
      </w:r>
      <w:r w:rsidRPr="00FC74AB">
        <w:rPr>
          <w:lang w:val="ca-ES"/>
        </w:rPr>
        <w:t>r</w:t>
      </w:r>
      <w:r w:rsidR="007E16DC" w:rsidRPr="00FC74AB">
        <w:rPr>
          <w:lang w:val="ca-ES"/>
        </w:rPr>
        <w:t>s.</w:t>
      </w:r>
    </w:p>
    <w:p w14:paraId="758B26E1" w14:textId="21F25790" w:rsidR="007E16DC" w:rsidRPr="00FC74AB" w:rsidRDefault="00F714A0" w:rsidP="00F714A0">
      <w:pPr>
        <w:pStyle w:val="SingleTxt"/>
        <w:numPr>
          <w:ilvl w:val="2"/>
          <w:numId w:val="49"/>
        </w:numPr>
        <w:spacing w:line="240" w:lineRule="atLeast"/>
        <w:ind w:left="1267" w:firstLine="0"/>
        <w:rPr>
          <w:lang w:val="ca-ES"/>
        </w:rPr>
      </w:pPr>
      <w:r w:rsidRPr="00FC74AB">
        <w:rPr>
          <w:lang w:val="ca-ES"/>
        </w:rPr>
        <w:t>Le</w:t>
      </w:r>
      <w:r w:rsidR="007E16DC" w:rsidRPr="00FC74AB">
        <w:rPr>
          <w:lang w:val="ca-ES"/>
        </w:rPr>
        <w:t xml:space="preserve">s </w:t>
      </w:r>
      <w:r w:rsidR="00E31C4A" w:rsidRPr="00FC74AB">
        <w:rPr>
          <w:lang w:val="ca-ES"/>
        </w:rPr>
        <w:t>empreses</w:t>
      </w:r>
      <w:r w:rsidR="007E16DC" w:rsidRPr="00FC74AB">
        <w:rPr>
          <w:lang w:val="ca-ES"/>
        </w:rPr>
        <w:t xml:space="preserve"> </w:t>
      </w:r>
      <w:r w:rsidR="001346BF" w:rsidRPr="00FC74AB">
        <w:rPr>
          <w:lang w:val="ca-ES"/>
        </w:rPr>
        <w:t>poden considerar que els serveis d’aigua i sanejament dels Estats en vies de desenvolupament són negocis poc atractius. Entre d’altres raons, per l’augment del risc país, del risc financer i del risc contractual, així com restriccions contractuals desproporcionades i el poder i la participació excessius dels organismes reguladors, i també s’addueixen els requisits estrictes, com ara nivells de servei poc realistes i estàndards de qualitat de l’aigua molt exigents</w:t>
      </w:r>
      <w:r w:rsidR="007E16DC" w:rsidRPr="00FC74AB">
        <w:rPr>
          <w:rStyle w:val="FootnoteReference"/>
          <w:spacing w:val="2"/>
          <w:w w:val="102"/>
          <w:lang w:val="ca-ES"/>
        </w:rPr>
        <w:footnoteReference w:id="74"/>
      </w:r>
      <w:r w:rsidR="007E16DC" w:rsidRPr="00FC74AB">
        <w:rPr>
          <w:lang w:val="ca-ES"/>
        </w:rPr>
        <w:t xml:space="preserve">. </w:t>
      </w:r>
      <w:r w:rsidR="00A10AE6" w:rsidRPr="00FC74AB">
        <w:rPr>
          <w:lang w:val="ca-ES"/>
        </w:rPr>
        <w:t>En alguns contextos t</w:t>
      </w:r>
      <w:r w:rsidR="000926A4" w:rsidRPr="00FC74AB">
        <w:rPr>
          <w:lang w:val="ca-ES"/>
        </w:rPr>
        <w:t xml:space="preserve">ambé s’ha esmentat com a problema per als inversors la </w:t>
      </w:r>
      <w:r w:rsidR="001346BF" w:rsidRPr="00FC74AB">
        <w:rPr>
          <w:lang w:val="ca-ES"/>
        </w:rPr>
        <w:t xml:space="preserve">manca </w:t>
      </w:r>
      <w:r w:rsidR="007E16DC" w:rsidRPr="00FC74AB">
        <w:rPr>
          <w:lang w:val="ca-ES"/>
        </w:rPr>
        <w:t>de volunta</w:t>
      </w:r>
      <w:r w:rsidR="001346BF" w:rsidRPr="00FC74AB">
        <w:rPr>
          <w:lang w:val="ca-ES"/>
        </w:rPr>
        <w:t>t</w:t>
      </w:r>
      <w:r w:rsidR="007E16DC" w:rsidRPr="00FC74AB">
        <w:rPr>
          <w:lang w:val="ca-ES"/>
        </w:rPr>
        <w:t xml:space="preserve"> </w:t>
      </w:r>
      <w:r w:rsidR="009A31D3" w:rsidRPr="00FC74AB">
        <w:rPr>
          <w:lang w:val="ca-ES"/>
        </w:rPr>
        <w:t>dels</w:t>
      </w:r>
      <w:r w:rsidR="005214BF" w:rsidRPr="00FC74AB">
        <w:rPr>
          <w:lang w:val="ca-ES"/>
        </w:rPr>
        <w:t xml:space="preserve"> </w:t>
      </w:r>
      <w:r w:rsidR="001346BF" w:rsidRPr="00FC74AB">
        <w:rPr>
          <w:lang w:val="ca-ES"/>
        </w:rPr>
        <w:t xml:space="preserve">governs </w:t>
      </w:r>
      <w:r w:rsidR="007E16DC" w:rsidRPr="00FC74AB">
        <w:rPr>
          <w:lang w:val="ca-ES"/>
        </w:rPr>
        <w:t>a l</w:t>
      </w:r>
      <w:r w:rsidR="001346BF" w:rsidRPr="00FC74AB">
        <w:rPr>
          <w:lang w:val="ca-ES"/>
        </w:rPr>
        <w:t>’</w:t>
      </w:r>
      <w:r w:rsidR="007E16DC" w:rsidRPr="00FC74AB">
        <w:rPr>
          <w:lang w:val="ca-ES"/>
        </w:rPr>
        <w:t xml:space="preserve">hora de </w:t>
      </w:r>
      <w:r w:rsidR="001346BF" w:rsidRPr="00FC74AB">
        <w:rPr>
          <w:lang w:val="ca-ES"/>
        </w:rPr>
        <w:t>fer co</w:t>
      </w:r>
      <w:r w:rsidR="007E16DC" w:rsidRPr="00FC74AB">
        <w:rPr>
          <w:lang w:val="ca-ES"/>
        </w:rPr>
        <w:t xml:space="preserve">mplir </w:t>
      </w:r>
      <w:r w:rsidR="00CC7045" w:rsidRPr="00FC74AB">
        <w:rPr>
          <w:lang w:val="ca-ES"/>
        </w:rPr>
        <w:t>e</w:t>
      </w:r>
      <w:r w:rsidR="007E16DC" w:rsidRPr="00FC74AB">
        <w:rPr>
          <w:lang w:val="ca-ES"/>
        </w:rPr>
        <w:t>l</w:t>
      </w:r>
      <w:r w:rsidR="00CC7045" w:rsidRPr="00FC74AB">
        <w:rPr>
          <w:lang w:val="ca-ES"/>
        </w:rPr>
        <w:t xml:space="preserve"> tall </w:t>
      </w:r>
      <w:r w:rsidR="007E4E7F" w:rsidRPr="00FC74AB">
        <w:rPr>
          <w:lang w:val="ca-ES"/>
        </w:rPr>
        <w:t>de</w:t>
      </w:r>
      <w:r w:rsidRPr="00FC74AB">
        <w:rPr>
          <w:lang w:val="ca-ES"/>
        </w:rPr>
        <w:t>l</w:t>
      </w:r>
      <w:r w:rsidR="007E4E7F" w:rsidRPr="00FC74AB">
        <w:rPr>
          <w:lang w:val="ca-ES"/>
        </w:rPr>
        <w:t xml:space="preserve"> servei</w:t>
      </w:r>
      <w:r w:rsidR="007E16DC" w:rsidRPr="00FC74AB">
        <w:rPr>
          <w:rStyle w:val="FootnoteReference"/>
          <w:spacing w:val="2"/>
          <w:w w:val="102"/>
          <w:lang w:val="ca-ES"/>
        </w:rPr>
        <w:footnoteReference w:id="75"/>
      </w:r>
      <w:r w:rsidR="007E16DC" w:rsidRPr="00FC74AB">
        <w:rPr>
          <w:lang w:val="ca-ES"/>
        </w:rPr>
        <w:t xml:space="preserve">. </w:t>
      </w:r>
      <w:r w:rsidR="001346BF" w:rsidRPr="00FC74AB">
        <w:rPr>
          <w:lang w:val="ca-ES"/>
        </w:rPr>
        <w:t>Aquesta mentalitat afavoreix estratègies que prioritzen la minimització dels riscos e</w:t>
      </w:r>
      <w:r w:rsidR="00CC7045" w:rsidRPr="00FC74AB">
        <w:rPr>
          <w:lang w:val="ca-ES"/>
        </w:rPr>
        <w:t>mpresarials en detriment d’</w:t>
      </w:r>
      <w:r w:rsidR="001346BF" w:rsidRPr="00FC74AB">
        <w:rPr>
          <w:lang w:val="ca-ES"/>
        </w:rPr>
        <w:t xml:space="preserve">inversions per millorar i </w:t>
      </w:r>
      <w:r w:rsidRPr="00FC74AB">
        <w:rPr>
          <w:lang w:val="ca-ES"/>
        </w:rPr>
        <w:t xml:space="preserve">estendre </w:t>
      </w:r>
      <w:r w:rsidR="001346BF" w:rsidRPr="00FC74AB">
        <w:rPr>
          <w:lang w:val="ca-ES"/>
        </w:rPr>
        <w:t>els serveis, i això</w:t>
      </w:r>
      <w:r w:rsidR="000926A4" w:rsidRPr="00FC74AB">
        <w:rPr>
          <w:lang w:val="ca-ES"/>
        </w:rPr>
        <w:t>,</w:t>
      </w:r>
      <w:r w:rsidR="001346BF" w:rsidRPr="00FC74AB">
        <w:rPr>
          <w:lang w:val="ca-ES"/>
        </w:rPr>
        <w:t xml:space="preserve"> al seu torn</w:t>
      </w:r>
      <w:r w:rsidR="000926A4" w:rsidRPr="00FC74AB">
        <w:rPr>
          <w:lang w:val="ca-ES"/>
        </w:rPr>
        <w:t>,</w:t>
      </w:r>
      <w:r w:rsidR="001346BF" w:rsidRPr="00FC74AB">
        <w:rPr>
          <w:lang w:val="ca-ES"/>
        </w:rPr>
        <w:t xml:space="preserve"> afecta els drets humans. En conseqüència, els Estats podrien sentir-se pressionats per crear un entorn atractiu per a les empreses, per exemple reduint </w:t>
      </w:r>
      <w:r w:rsidR="00CC7045" w:rsidRPr="00FC74AB">
        <w:rPr>
          <w:lang w:val="ca-ES"/>
        </w:rPr>
        <w:t xml:space="preserve">les normes de prestació </w:t>
      </w:r>
      <w:r w:rsidR="001346BF" w:rsidRPr="00FC74AB">
        <w:rPr>
          <w:lang w:val="ca-ES"/>
        </w:rPr>
        <w:t xml:space="preserve">dels serveis, centrant-se en les poblacions benestants, limitant la capacitat de supervisió i regulació dels Estats o provocant un augment dels preus per sobre dels nivells assequibles. </w:t>
      </w:r>
      <w:r w:rsidR="00CC7045" w:rsidRPr="00FC74AB">
        <w:rPr>
          <w:lang w:val="ca-ES"/>
        </w:rPr>
        <w:t>Aque</w:t>
      </w:r>
      <w:r w:rsidR="007E16DC" w:rsidRPr="00FC74AB">
        <w:rPr>
          <w:lang w:val="ca-ES"/>
        </w:rPr>
        <w:t>sta postura e</w:t>
      </w:r>
      <w:r w:rsidR="00CC7045" w:rsidRPr="00FC74AB">
        <w:rPr>
          <w:lang w:val="ca-ES"/>
        </w:rPr>
        <w:t>s basa en una combinació</w:t>
      </w:r>
      <w:r w:rsidR="007E16DC" w:rsidRPr="00FC74AB">
        <w:rPr>
          <w:lang w:val="ca-ES"/>
        </w:rPr>
        <w:t xml:space="preserve"> de coa</w:t>
      </w:r>
      <w:r w:rsidR="00CC7045" w:rsidRPr="00FC74AB">
        <w:rPr>
          <w:lang w:val="ca-ES"/>
        </w:rPr>
        <w:t>cció</w:t>
      </w:r>
      <w:r w:rsidR="007E16DC" w:rsidRPr="00FC74AB">
        <w:rPr>
          <w:lang w:val="ca-ES"/>
        </w:rPr>
        <w:t xml:space="preserve">, </w:t>
      </w:r>
      <w:r w:rsidR="0048735E" w:rsidRPr="00FC74AB">
        <w:rPr>
          <w:lang w:val="ca-ES"/>
        </w:rPr>
        <w:t>per exemple</w:t>
      </w:r>
      <w:r w:rsidR="007E16DC" w:rsidRPr="00FC74AB">
        <w:rPr>
          <w:lang w:val="ca-ES"/>
        </w:rPr>
        <w:t xml:space="preserve"> </w:t>
      </w:r>
      <w:r w:rsidR="00CC7045" w:rsidRPr="00FC74AB">
        <w:rPr>
          <w:lang w:val="ca-ES"/>
        </w:rPr>
        <w:t xml:space="preserve">mitjançant </w:t>
      </w:r>
      <w:r w:rsidR="007E16DC" w:rsidRPr="00FC74AB">
        <w:rPr>
          <w:lang w:val="ca-ES"/>
        </w:rPr>
        <w:t>la imposició de condicion</w:t>
      </w:r>
      <w:r w:rsidR="00CC7045" w:rsidRPr="00FC74AB">
        <w:rPr>
          <w:lang w:val="ca-ES"/>
        </w:rPr>
        <w:t xml:space="preserve">s </w:t>
      </w:r>
      <w:r w:rsidR="007E16DC" w:rsidRPr="00FC74AB">
        <w:rPr>
          <w:lang w:val="ca-ES"/>
        </w:rPr>
        <w:t>de prést</w:t>
      </w:r>
      <w:r w:rsidR="00CC7045" w:rsidRPr="00FC74AB">
        <w:rPr>
          <w:lang w:val="ca-ES"/>
        </w:rPr>
        <w:t>ec</w:t>
      </w:r>
      <w:r w:rsidR="007E16DC" w:rsidRPr="00FC74AB">
        <w:rPr>
          <w:lang w:val="ca-ES"/>
        </w:rPr>
        <w:t>,</w:t>
      </w:r>
      <w:r w:rsidR="007E4E7F" w:rsidRPr="00FC74AB">
        <w:rPr>
          <w:lang w:val="ca-ES"/>
        </w:rPr>
        <w:t xml:space="preserve"> i </w:t>
      </w:r>
      <w:r w:rsidR="007E16DC" w:rsidRPr="00FC74AB">
        <w:rPr>
          <w:lang w:val="ca-ES"/>
        </w:rPr>
        <w:t>d</w:t>
      </w:r>
      <w:r w:rsidR="00CC7045" w:rsidRPr="00FC74AB">
        <w:rPr>
          <w:lang w:val="ca-ES"/>
        </w:rPr>
        <w:t>’emulació</w:t>
      </w:r>
      <w:r w:rsidR="007E16DC" w:rsidRPr="00FC74AB">
        <w:rPr>
          <w:lang w:val="ca-ES"/>
        </w:rPr>
        <w:t>, com</w:t>
      </w:r>
      <w:r w:rsidR="00CC7045" w:rsidRPr="00FC74AB">
        <w:rPr>
          <w:lang w:val="ca-ES"/>
        </w:rPr>
        <w:t xml:space="preserve"> les crides per co</w:t>
      </w:r>
      <w:r w:rsidR="007E16DC" w:rsidRPr="00FC74AB">
        <w:rPr>
          <w:lang w:val="ca-ES"/>
        </w:rPr>
        <w:t>mplir</w:t>
      </w:r>
      <w:r w:rsidR="00B3113E" w:rsidRPr="00FC74AB">
        <w:rPr>
          <w:lang w:val="ca-ES"/>
        </w:rPr>
        <w:t xml:space="preserve"> les </w:t>
      </w:r>
      <w:r w:rsidR="00CC7045" w:rsidRPr="00FC74AB">
        <w:rPr>
          <w:lang w:val="ca-ES"/>
        </w:rPr>
        <w:t>estratègies</w:t>
      </w:r>
      <w:r w:rsidR="007E16DC" w:rsidRPr="00FC74AB">
        <w:rPr>
          <w:lang w:val="ca-ES"/>
        </w:rPr>
        <w:t xml:space="preserve"> de </w:t>
      </w:r>
      <w:r w:rsidR="00CC7045" w:rsidRPr="00FC74AB">
        <w:rPr>
          <w:lang w:val="ca-ES"/>
        </w:rPr>
        <w:t>gestió</w:t>
      </w:r>
      <w:r w:rsidR="007E16DC" w:rsidRPr="00FC74AB">
        <w:rPr>
          <w:lang w:val="ca-ES"/>
        </w:rPr>
        <w:t xml:space="preserve">, </w:t>
      </w:r>
      <w:r w:rsidR="00A10AE6" w:rsidRPr="00FC74AB">
        <w:rPr>
          <w:lang w:val="ca-ES"/>
        </w:rPr>
        <w:t xml:space="preserve">com ara </w:t>
      </w:r>
      <w:r w:rsidR="007E16DC" w:rsidRPr="00FC74AB">
        <w:rPr>
          <w:lang w:val="ca-ES"/>
        </w:rPr>
        <w:t xml:space="preserve">el </w:t>
      </w:r>
      <w:r w:rsidR="00CC7045" w:rsidRPr="00FC74AB">
        <w:rPr>
          <w:lang w:val="ca-ES"/>
        </w:rPr>
        <w:t>nou plantejament de gestió</w:t>
      </w:r>
      <w:r w:rsidR="007E16DC" w:rsidRPr="00FC74AB">
        <w:rPr>
          <w:lang w:val="ca-ES"/>
        </w:rPr>
        <w:t xml:space="preserve"> pública</w:t>
      </w:r>
      <w:r w:rsidR="007E16DC" w:rsidRPr="00FC74AB">
        <w:rPr>
          <w:rStyle w:val="FootnoteReference"/>
          <w:spacing w:val="2"/>
          <w:w w:val="102"/>
          <w:lang w:val="ca-ES"/>
        </w:rPr>
        <w:footnoteReference w:id="76"/>
      </w:r>
      <w:r w:rsidR="007E16DC" w:rsidRPr="00FC74AB">
        <w:rPr>
          <w:lang w:val="ca-ES"/>
        </w:rPr>
        <w:t>.</w:t>
      </w:r>
    </w:p>
    <w:p w14:paraId="765F6E09" w14:textId="27A975D7" w:rsidR="007E16DC" w:rsidRPr="00FC74AB" w:rsidRDefault="00A10AE6" w:rsidP="008612D6">
      <w:pPr>
        <w:pStyle w:val="SingleTxt"/>
        <w:numPr>
          <w:ilvl w:val="2"/>
          <w:numId w:val="49"/>
        </w:numPr>
        <w:spacing w:line="240" w:lineRule="atLeast"/>
        <w:ind w:left="1267" w:firstLine="0"/>
        <w:rPr>
          <w:lang w:val="ca-ES"/>
        </w:rPr>
      </w:pPr>
      <w:r w:rsidRPr="00FC74AB">
        <w:rPr>
          <w:lang w:val="ca-ES"/>
        </w:rPr>
        <w:t xml:space="preserve">Després d’un procés de privatització pot augmentar la preocupació </w:t>
      </w:r>
      <w:r w:rsidR="00987B28" w:rsidRPr="00FC74AB">
        <w:rPr>
          <w:lang w:val="ca-ES"/>
        </w:rPr>
        <w:t xml:space="preserve">sobre </w:t>
      </w:r>
      <w:r w:rsidR="00980A22" w:rsidRPr="00FC74AB">
        <w:rPr>
          <w:lang w:val="ca-ES"/>
        </w:rPr>
        <w:t xml:space="preserve">la disponibilitat i l’accessibilitat de l’aigua i el sanejament. A l’Estat Plurinacional de Bolívia, els estudis van revelar que la privatització no va </w:t>
      </w:r>
      <w:r w:rsidR="000926A4" w:rsidRPr="00FC74AB">
        <w:rPr>
          <w:lang w:val="ca-ES"/>
        </w:rPr>
        <w:t>suposar cap augment dels</w:t>
      </w:r>
      <w:r w:rsidR="00980A22" w:rsidRPr="00FC74AB">
        <w:rPr>
          <w:lang w:val="ca-ES"/>
        </w:rPr>
        <w:t xml:space="preserve"> nivells d’accés a </w:t>
      </w:r>
      <w:r w:rsidR="00D85349" w:rsidRPr="00FC74AB">
        <w:rPr>
          <w:lang w:val="ca-ES"/>
        </w:rPr>
        <w:t>l’aigua</w:t>
      </w:r>
      <w:r w:rsidR="007E16DC" w:rsidRPr="00FC74AB">
        <w:rPr>
          <w:rStyle w:val="FootnoteReference"/>
          <w:lang w:val="ca-ES"/>
        </w:rPr>
        <w:footnoteReference w:id="77"/>
      </w:r>
      <w:r w:rsidR="007E16DC" w:rsidRPr="00FC74AB">
        <w:rPr>
          <w:lang w:val="ca-ES"/>
        </w:rPr>
        <w:t xml:space="preserve">. </w:t>
      </w:r>
      <w:r w:rsidR="00980A22" w:rsidRPr="00FC74AB">
        <w:rPr>
          <w:lang w:val="ca-ES"/>
        </w:rPr>
        <w:t>A Zà</w:t>
      </w:r>
      <w:r w:rsidR="007E16DC" w:rsidRPr="00FC74AB">
        <w:rPr>
          <w:lang w:val="ca-ES"/>
        </w:rPr>
        <w:t>mbia, e</w:t>
      </w:r>
      <w:r w:rsidR="00980A22" w:rsidRPr="00FC74AB">
        <w:rPr>
          <w:lang w:val="ca-ES"/>
        </w:rPr>
        <w:t>s va</w:t>
      </w:r>
      <w:r w:rsidR="007E16DC" w:rsidRPr="00FC74AB">
        <w:rPr>
          <w:lang w:val="ca-ES"/>
        </w:rPr>
        <w:t xml:space="preserve"> observ</w:t>
      </w:r>
      <w:r w:rsidR="00980A22" w:rsidRPr="00FC74AB">
        <w:rPr>
          <w:lang w:val="ca-ES"/>
        </w:rPr>
        <w:t>ar</w:t>
      </w:r>
      <w:r w:rsidR="007E16DC" w:rsidRPr="00FC74AB">
        <w:rPr>
          <w:lang w:val="ca-ES"/>
        </w:rPr>
        <w:t xml:space="preserve"> un deterior</w:t>
      </w:r>
      <w:r w:rsidR="00980A22" w:rsidRPr="00FC74AB">
        <w:rPr>
          <w:lang w:val="ca-ES"/>
        </w:rPr>
        <w:t>ament</w:t>
      </w:r>
      <w:r w:rsidR="007E16DC" w:rsidRPr="00FC74AB">
        <w:rPr>
          <w:lang w:val="ca-ES"/>
        </w:rPr>
        <w:t xml:space="preserve"> de</w:t>
      </w:r>
      <w:r w:rsidR="00B3113E" w:rsidRPr="00FC74AB">
        <w:rPr>
          <w:lang w:val="ca-ES"/>
        </w:rPr>
        <w:t>l</w:t>
      </w:r>
      <w:r w:rsidR="002E4EB7" w:rsidRPr="00FC74AB">
        <w:rPr>
          <w:lang w:val="ca-ES"/>
        </w:rPr>
        <w:t>s</w:t>
      </w:r>
      <w:r w:rsidR="00980A22" w:rsidRPr="00FC74AB">
        <w:rPr>
          <w:lang w:val="ca-ES"/>
        </w:rPr>
        <w:t xml:space="preserve"> indicadors d’accés després de </w:t>
      </w:r>
      <w:r w:rsidR="007E4E7F" w:rsidRPr="00FC74AB">
        <w:rPr>
          <w:lang w:val="ca-ES"/>
        </w:rPr>
        <w:t>privatitza</w:t>
      </w:r>
      <w:r w:rsidR="00980A22" w:rsidRPr="00FC74AB">
        <w:rPr>
          <w:lang w:val="ca-ES"/>
        </w:rPr>
        <w:t>r</w:t>
      </w:r>
      <w:r w:rsidR="000926A4" w:rsidRPr="00FC74AB">
        <w:rPr>
          <w:lang w:val="ca-ES"/>
        </w:rPr>
        <w:t>-hi</w:t>
      </w:r>
      <w:r w:rsidR="00980A22" w:rsidRPr="00FC74AB">
        <w:rPr>
          <w:lang w:val="ca-ES"/>
        </w:rPr>
        <w:t xml:space="preserve"> </w:t>
      </w:r>
      <w:r w:rsidR="007E4E7F" w:rsidRPr="00FC74AB">
        <w:rPr>
          <w:lang w:val="ca-ES"/>
        </w:rPr>
        <w:t>els serveis</w:t>
      </w:r>
      <w:r w:rsidR="00980A22" w:rsidRPr="00FC74AB">
        <w:rPr>
          <w:lang w:val="ca-ES"/>
        </w:rPr>
        <w:t>: el procés</w:t>
      </w:r>
      <w:r w:rsidR="007E16DC" w:rsidRPr="00FC74AB">
        <w:rPr>
          <w:lang w:val="ca-ES"/>
        </w:rPr>
        <w:t xml:space="preserve"> de comerciali</w:t>
      </w:r>
      <w:r w:rsidR="00980A22" w:rsidRPr="00FC74AB">
        <w:rPr>
          <w:lang w:val="ca-ES"/>
        </w:rPr>
        <w:t>tzació</w:t>
      </w:r>
      <w:r w:rsidR="007E16DC" w:rsidRPr="00FC74AB">
        <w:rPr>
          <w:lang w:val="ca-ES"/>
        </w:rPr>
        <w:t xml:space="preserve"> no </w:t>
      </w:r>
      <w:r w:rsidR="00980A22" w:rsidRPr="00FC74AB">
        <w:rPr>
          <w:lang w:val="ca-ES"/>
        </w:rPr>
        <w:t xml:space="preserve">només </w:t>
      </w:r>
      <w:r w:rsidR="007E16DC" w:rsidRPr="00FC74AB">
        <w:rPr>
          <w:lang w:val="ca-ES"/>
        </w:rPr>
        <w:t xml:space="preserve">no </w:t>
      </w:r>
      <w:r w:rsidR="00980A22" w:rsidRPr="00FC74AB">
        <w:rPr>
          <w:lang w:val="ca-ES"/>
        </w:rPr>
        <w:t>va aconseguir invertir la tendè</w:t>
      </w:r>
      <w:r w:rsidR="007E16DC" w:rsidRPr="00FC74AB">
        <w:rPr>
          <w:lang w:val="ca-ES"/>
        </w:rPr>
        <w:t>ncia negativa de</w:t>
      </w:r>
      <w:r w:rsidR="00980A22" w:rsidRPr="00FC74AB">
        <w:rPr>
          <w:lang w:val="ca-ES"/>
        </w:rPr>
        <w:t>l</w:t>
      </w:r>
      <w:r w:rsidR="00B3113E" w:rsidRPr="00FC74AB">
        <w:rPr>
          <w:lang w:val="ca-ES"/>
        </w:rPr>
        <w:t xml:space="preserve">s </w:t>
      </w:r>
      <w:r w:rsidR="00980A22" w:rsidRPr="00FC74AB">
        <w:rPr>
          <w:lang w:val="ca-ES"/>
        </w:rPr>
        <w:t>indicadors d’accés</w:t>
      </w:r>
      <w:r w:rsidR="007E16DC" w:rsidRPr="00FC74AB">
        <w:rPr>
          <w:lang w:val="ca-ES"/>
        </w:rPr>
        <w:t>, sin</w:t>
      </w:r>
      <w:r w:rsidR="00980A22" w:rsidRPr="00FC74AB">
        <w:rPr>
          <w:lang w:val="ca-ES"/>
        </w:rPr>
        <w:t>ó que de mitjana van disminuir</w:t>
      </w:r>
      <w:r w:rsidR="00DB041B" w:rsidRPr="00FC74AB">
        <w:rPr>
          <w:lang w:val="ca-ES"/>
        </w:rPr>
        <w:t xml:space="preserve"> més </w:t>
      </w:r>
      <w:r w:rsidR="007E16DC" w:rsidRPr="00FC74AB">
        <w:rPr>
          <w:lang w:val="ca-ES"/>
        </w:rPr>
        <w:t>d</w:t>
      </w:r>
      <w:r w:rsidR="00980A22" w:rsidRPr="00FC74AB">
        <w:rPr>
          <w:lang w:val="ca-ES"/>
        </w:rPr>
        <w:t>’</w:t>
      </w:r>
      <w:r w:rsidR="007E16DC" w:rsidRPr="00FC74AB">
        <w:rPr>
          <w:lang w:val="ca-ES"/>
        </w:rPr>
        <w:t>un 20 % entre 2001</w:t>
      </w:r>
      <w:r w:rsidR="007E4E7F" w:rsidRPr="00FC74AB">
        <w:rPr>
          <w:lang w:val="ca-ES"/>
        </w:rPr>
        <w:t xml:space="preserve"> i </w:t>
      </w:r>
      <w:r w:rsidR="007E16DC" w:rsidRPr="00FC74AB">
        <w:rPr>
          <w:lang w:val="ca-ES"/>
        </w:rPr>
        <w:t xml:space="preserve">2005. </w:t>
      </w:r>
      <w:r w:rsidR="000926A4" w:rsidRPr="00FC74AB">
        <w:rPr>
          <w:lang w:val="ca-ES"/>
        </w:rPr>
        <w:t xml:space="preserve">Va créixer el nombre de </w:t>
      </w:r>
      <w:r w:rsidR="00980A22" w:rsidRPr="00FC74AB">
        <w:rPr>
          <w:lang w:val="ca-ES"/>
        </w:rPr>
        <w:t xml:space="preserve">llars que van haver de </w:t>
      </w:r>
      <w:r w:rsidR="007E16DC" w:rsidRPr="00FC74AB">
        <w:rPr>
          <w:lang w:val="ca-ES"/>
        </w:rPr>
        <w:t>rec</w:t>
      </w:r>
      <w:r w:rsidR="00980A22" w:rsidRPr="00FC74AB">
        <w:rPr>
          <w:lang w:val="ca-ES"/>
        </w:rPr>
        <w:t>órre</w:t>
      </w:r>
      <w:r w:rsidR="007E16DC" w:rsidRPr="00FC74AB">
        <w:rPr>
          <w:lang w:val="ca-ES"/>
        </w:rPr>
        <w:t xml:space="preserve">r </w:t>
      </w:r>
      <w:r w:rsidR="009A31D3" w:rsidRPr="00FC74AB">
        <w:rPr>
          <w:lang w:val="ca-ES"/>
        </w:rPr>
        <w:t>a</w:t>
      </w:r>
      <w:r w:rsidR="00980A22" w:rsidRPr="00FC74AB">
        <w:rPr>
          <w:lang w:val="ca-ES"/>
        </w:rPr>
        <w:t xml:space="preserve"> aixetes públiques</w:t>
      </w:r>
      <w:r w:rsidR="00AB0260" w:rsidRPr="00FC74AB">
        <w:rPr>
          <w:lang w:val="ca-ES"/>
        </w:rPr>
        <w:t>, perforacions</w:t>
      </w:r>
      <w:r w:rsidR="00980A22" w:rsidRPr="00FC74AB">
        <w:rPr>
          <w:lang w:val="ca-ES"/>
        </w:rPr>
        <w:t xml:space="preserve"> i pous </w:t>
      </w:r>
      <w:r w:rsidR="007E16DC" w:rsidRPr="00FC74AB">
        <w:rPr>
          <w:lang w:val="ca-ES"/>
        </w:rPr>
        <w:t>en l</w:t>
      </w:r>
      <w:r w:rsidR="00980A22" w:rsidRPr="00FC74AB">
        <w:rPr>
          <w:lang w:val="ca-ES"/>
        </w:rPr>
        <w:t xml:space="preserve">loc </w:t>
      </w:r>
      <w:r w:rsidR="007E16DC" w:rsidRPr="00FC74AB">
        <w:rPr>
          <w:lang w:val="ca-ES"/>
        </w:rPr>
        <w:t>d</w:t>
      </w:r>
      <w:r w:rsidR="00D85349" w:rsidRPr="00FC74AB">
        <w:rPr>
          <w:lang w:val="ca-ES"/>
        </w:rPr>
        <w:t>’aigua</w:t>
      </w:r>
      <w:r w:rsidR="00980A22" w:rsidRPr="00FC74AB">
        <w:rPr>
          <w:lang w:val="ca-ES"/>
        </w:rPr>
        <w:t xml:space="preserve"> canalitzada</w:t>
      </w:r>
      <w:r w:rsidR="007E16DC" w:rsidRPr="00FC74AB">
        <w:rPr>
          <w:rStyle w:val="FootnoteReference"/>
          <w:lang w:val="ca-ES"/>
        </w:rPr>
        <w:footnoteReference w:id="78"/>
      </w:r>
      <w:r w:rsidR="007E16DC" w:rsidRPr="00FC74AB">
        <w:rPr>
          <w:lang w:val="ca-ES"/>
        </w:rPr>
        <w:t xml:space="preserve">. </w:t>
      </w:r>
      <w:r w:rsidR="00AB0260" w:rsidRPr="00FC74AB">
        <w:rPr>
          <w:lang w:val="ca-ES"/>
        </w:rPr>
        <w:t>D’altra banda</w:t>
      </w:r>
      <w:r w:rsidR="007E16DC" w:rsidRPr="00FC74AB">
        <w:rPr>
          <w:lang w:val="ca-ES"/>
        </w:rPr>
        <w:t xml:space="preserve">, el sector </w:t>
      </w:r>
      <w:r w:rsidR="004879F7" w:rsidRPr="00FC74AB">
        <w:rPr>
          <w:lang w:val="ca-ES"/>
        </w:rPr>
        <w:t>privat</w:t>
      </w:r>
      <w:r w:rsidR="007E16DC" w:rsidRPr="00FC74AB">
        <w:rPr>
          <w:lang w:val="ca-ES"/>
        </w:rPr>
        <w:t xml:space="preserve"> </w:t>
      </w:r>
      <w:r w:rsidR="00AB0260" w:rsidRPr="00FC74AB">
        <w:rPr>
          <w:lang w:val="ca-ES"/>
        </w:rPr>
        <w:t xml:space="preserve">va comunicar </w:t>
      </w:r>
      <w:r w:rsidR="00335347" w:rsidRPr="00FC74AB">
        <w:rPr>
          <w:lang w:val="ca-ES"/>
        </w:rPr>
        <w:t>millor</w:t>
      </w:r>
      <w:r w:rsidR="00AB0260" w:rsidRPr="00FC74AB">
        <w:rPr>
          <w:lang w:val="ca-ES"/>
        </w:rPr>
        <w:t>e</w:t>
      </w:r>
      <w:r w:rsidR="007E16DC" w:rsidRPr="00FC74AB">
        <w:rPr>
          <w:lang w:val="ca-ES"/>
        </w:rPr>
        <w:t>s en</w:t>
      </w:r>
      <w:r w:rsidR="005214BF" w:rsidRPr="00FC74AB">
        <w:rPr>
          <w:lang w:val="ca-ES"/>
        </w:rPr>
        <w:t xml:space="preserve"> els </w:t>
      </w:r>
      <w:r w:rsidR="003B7411" w:rsidRPr="00FC74AB">
        <w:rPr>
          <w:lang w:val="ca-ES"/>
        </w:rPr>
        <w:t>serveis</w:t>
      </w:r>
      <w:r w:rsidR="00AB0260" w:rsidRPr="00FC74AB">
        <w:rPr>
          <w:lang w:val="ca-ES"/>
        </w:rPr>
        <w:t xml:space="preserve"> despr</w:t>
      </w:r>
      <w:r w:rsidR="007E16DC" w:rsidRPr="00FC74AB">
        <w:rPr>
          <w:lang w:val="ca-ES"/>
        </w:rPr>
        <w:t xml:space="preserve">és de la </w:t>
      </w:r>
      <w:r w:rsidR="007E4E7F" w:rsidRPr="00FC74AB">
        <w:rPr>
          <w:lang w:val="ca-ES"/>
        </w:rPr>
        <w:t>privatització</w:t>
      </w:r>
      <w:r w:rsidR="007E16DC" w:rsidRPr="00FC74AB">
        <w:rPr>
          <w:lang w:val="ca-ES"/>
        </w:rPr>
        <w:t xml:space="preserve">, </w:t>
      </w:r>
      <w:r w:rsidR="00AB0260" w:rsidRPr="00FC74AB">
        <w:rPr>
          <w:lang w:val="ca-ES"/>
        </w:rPr>
        <w:t xml:space="preserve">entre </w:t>
      </w:r>
      <w:r w:rsidR="0037581A" w:rsidRPr="00FC74AB">
        <w:rPr>
          <w:lang w:val="ca-ES"/>
        </w:rPr>
        <w:t xml:space="preserve">les quals </w:t>
      </w:r>
      <w:r w:rsidR="008612D6" w:rsidRPr="00FC74AB">
        <w:rPr>
          <w:lang w:val="ca-ES"/>
        </w:rPr>
        <w:t xml:space="preserve">progressos </w:t>
      </w:r>
      <w:r w:rsidR="007E16DC" w:rsidRPr="00FC74AB">
        <w:rPr>
          <w:lang w:val="ca-ES"/>
        </w:rPr>
        <w:t xml:space="preserve">en la </w:t>
      </w:r>
      <w:r w:rsidR="00AB0260" w:rsidRPr="00FC74AB">
        <w:rPr>
          <w:lang w:val="ca-ES"/>
        </w:rPr>
        <w:t>continuïtat</w:t>
      </w:r>
      <w:r w:rsidR="007E16DC" w:rsidRPr="00FC74AB">
        <w:rPr>
          <w:lang w:val="ca-ES"/>
        </w:rPr>
        <w:t xml:space="preserve"> </w:t>
      </w:r>
      <w:r w:rsidR="007E4E7F" w:rsidRPr="00FC74AB">
        <w:rPr>
          <w:lang w:val="ca-ES"/>
        </w:rPr>
        <w:t>dels serveis</w:t>
      </w:r>
      <w:r w:rsidR="0037581A" w:rsidRPr="00FC74AB">
        <w:rPr>
          <w:lang w:val="ca-ES"/>
        </w:rPr>
        <w:t xml:space="preserve"> </w:t>
      </w:r>
      <w:r w:rsidR="008612D6" w:rsidRPr="00FC74AB">
        <w:rPr>
          <w:lang w:val="ca-ES"/>
        </w:rPr>
        <w:t>a</w:t>
      </w:r>
      <w:r w:rsidR="007E16DC" w:rsidRPr="00FC74AB">
        <w:rPr>
          <w:lang w:val="ca-ES"/>
        </w:rPr>
        <w:t xml:space="preserve"> </w:t>
      </w:r>
      <w:r w:rsidR="00E94729" w:rsidRPr="00FC74AB">
        <w:rPr>
          <w:lang w:val="ca-ES"/>
        </w:rPr>
        <w:t>països</w:t>
      </w:r>
      <w:r w:rsidR="007E16DC" w:rsidRPr="00FC74AB">
        <w:rPr>
          <w:lang w:val="ca-ES"/>
        </w:rPr>
        <w:t xml:space="preserve"> com l</w:t>
      </w:r>
      <w:r w:rsidR="00AB0260" w:rsidRPr="00FC74AB">
        <w:rPr>
          <w:lang w:val="ca-ES"/>
        </w:rPr>
        <w:t>’Eq</w:t>
      </w:r>
      <w:r w:rsidR="007E16DC" w:rsidRPr="00FC74AB">
        <w:rPr>
          <w:lang w:val="ca-ES"/>
        </w:rPr>
        <w:t>uador, el Senegal</w:t>
      </w:r>
      <w:r w:rsidR="007E4E7F" w:rsidRPr="00FC74AB">
        <w:rPr>
          <w:lang w:val="ca-ES"/>
        </w:rPr>
        <w:t xml:space="preserve"> i </w:t>
      </w:r>
      <w:r w:rsidR="00AB0260" w:rsidRPr="00FC74AB">
        <w:rPr>
          <w:lang w:val="ca-ES"/>
        </w:rPr>
        <w:t>Filipine</w:t>
      </w:r>
      <w:r w:rsidR="007E16DC" w:rsidRPr="00FC74AB">
        <w:rPr>
          <w:lang w:val="ca-ES"/>
        </w:rPr>
        <w:t>s</w:t>
      </w:r>
      <w:r w:rsidR="007E16DC" w:rsidRPr="00FC74AB">
        <w:rPr>
          <w:rStyle w:val="FootnoteReference"/>
          <w:lang w:val="ca-ES"/>
        </w:rPr>
        <w:footnoteReference w:id="79"/>
      </w:r>
      <w:r w:rsidR="007E16DC" w:rsidRPr="00FC74AB">
        <w:rPr>
          <w:lang w:val="ca-ES"/>
        </w:rPr>
        <w:t>.</w:t>
      </w:r>
    </w:p>
    <w:p w14:paraId="460D497A" w14:textId="26689B5A" w:rsidR="007E16DC" w:rsidRPr="00FC74AB" w:rsidRDefault="00AB0260" w:rsidP="008612D6">
      <w:pPr>
        <w:pStyle w:val="SingleTxt"/>
        <w:numPr>
          <w:ilvl w:val="2"/>
          <w:numId w:val="49"/>
        </w:numPr>
        <w:spacing w:line="240" w:lineRule="atLeast"/>
        <w:ind w:left="1267" w:firstLine="0"/>
        <w:rPr>
          <w:lang w:val="ca-ES"/>
        </w:rPr>
      </w:pPr>
      <w:r w:rsidRPr="00FC74AB">
        <w:rPr>
          <w:lang w:val="ca-ES"/>
        </w:rPr>
        <w:t>Tot i que algunes font</w:t>
      </w:r>
      <w:r w:rsidR="007E16DC" w:rsidRPr="00FC74AB">
        <w:rPr>
          <w:lang w:val="ca-ES"/>
        </w:rPr>
        <w:t>s</w:t>
      </w:r>
      <w:r w:rsidR="008612D6" w:rsidRPr="00FC74AB">
        <w:rPr>
          <w:lang w:val="ca-ES"/>
        </w:rPr>
        <w:t xml:space="preserve"> parlen de </w:t>
      </w:r>
      <w:r w:rsidRPr="00FC74AB">
        <w:rPr>
          <w:lang w:val="ca-ES"/>
        </w:rPr>
        <w:t>millores</w:t>
      </w:r>
      <w:r w:rsidR="007E16DC" w:rsidRPr="00FC74AB">
        <w:rPr>
          <w:lang w:val="ca-ES"/>
        </w:rPr>
        <w:t xml:space="preserve"> en la </w:t>
      </w:r>
      <w:r w:rsidRPr="00FC74AB">
        <w:rPr>
          <w:lang w:val="ca-ES"/>
        </w:rPr>
        <w:t>qualitat</w:t>
      </w:r>
      <w:r w:rsidR="007E16DC" w:rsidRPr="00FC74AB">
        <w:rPr>
          <w:lang w:val="ca-ES"/>
        </w:rPr>
        <w:t xml:space="preserve"> </w:t>
      </w:r>
      <w:r w:rsidR="0048735E" w:rsidRPr="00FC74AB">
        <w:rPr>
          <w:lang w:val="ca-ES"/>
        </w:rPr>
        <w:t>de l’aigua</w:t>
      </w:r>
      <w:r w:rsidR="007E16DC" w:rsidRPr="00FC74AB">
        <w:rPr>
          <w:lang w:val="ca-ES"/>
        </w:rPr>
        <w:t xml:space="preserve"> </w:t>
      </w:r>
      <w:r w:rsidRPr="00FC74AB">
        <w:rPr>
          <w:lang w:val="ca-ES"/>
        </w:rPr>
        <w:t>a</w:t>
      </w:r>
      <w:r w:rsidR="007E16DC" w:rsidRPr="00FC74AB">
        <w:rPr>
          <w:lang w:val="ca-ES"/>
        </w:rPr>
        <w:t xml:space="preserve"> </w:t>
      </w:r>
      <w:r w:rsidRPr="00FC74AB">
        <w:rPr>
          <w:lang w:val="ca-ES"/>
        </w:rPr>
        <w:t>A</w:t>
      </w:r>
      <w:r w:rsidR="007E16DC" w:rsidRPr="00FC74AB">
        <w:rPr>
          <w:lang w:val="ca-ES"/>
        </w:rPr>
        <w:t>nglaterra</w:t>
      </w:r>
      <w:r w:rsidR="007E4E7F" w:rsidRPr="00FC74AB">
        <w:rPr>
          <w:lang w:val="ca-ES"/>
        </w:rPr>
        <w:t xml:space="preserve"> i </w:t>
      </w:r>
      <w:r w:rsidR="007E16DC" w:rsidRPr="00FC74AB">
        <w:rPr>
          <w:lang w:val="ca-ES"/>
        </w:rPr>
        <w:t>Gal</w:t>
      </w:r>
      <w:r w:rsidRPr="00FC74AB">
        <w:rPr>
          <w:lang w:val="ca-ES"/>
        </w:rPr>
        <w:t>·l</w:t>
      </w:r>
      <w:r w:rsidR="007E16DC" w:rsidRPr="00FC74AB">
        <w:rPr>
          <w:lang w:val="ca-ES"/>
        </w:rPr>
        <w:t>es desp</w:t>
      </w:r>
      <w:r w:rsidRPr="00FC74AB">
        <w:rPr>
          <w:lang w:val="ca-ES"/>
        </w:rPr>
        <w:t>r</w:t>
      </w:r>
      <w:r w:rsidR="007E16DC" w:rsidRPr="00FC74AB">
        <w:rPr>
          <w:lang w:val="ca-ES"/>
        </w:rPr>
        <w:t xml:space="preserve">és de la </w:t>
      </w:r>
      <w:r w:rsidR="007E4E7F" w:rsidRPr="00FC74AB">
        <w:rPr>
          <w:lang w:val="ca-ES"/>
        </w:rPr>
        <w:t>privatització</w:t>
      </w:r>
      <w:r w:rsidR="007E16DC" w:rsidRPr="00FC74AB">
        <w:rPr>
          <w:rStyle w:val="FootnoteReference"/>
          <w:lang w:val="ca-ES"/>
        </w:rPr>
        <w:footnoteReference w:id="80"/>
      </w:r>
      <w:r w:rsidR="007E16DC" w:rsidRPr="00FC74AB">
        <w:rPr>
          <w:lang w:val="ca-ES"/>
        </w:rPr>
        <w:t>, en part</w:t>
      </w:r>
      <w:r w:rsidRPr="00FC74AB">
        <w:rPr>
          <w:lang w:val="ca-ES"/>
        </w:rPr>
        <w:t xml:space="preserve"> p</w:t>
      </w:r>
      <w:r w:rsidR="007E16DC" w:rsidRPr="00FC74AB">
        <w:rPr>
          <w:lang w:val="ca-ES"/>
        </w:rPr>
        <w:t>e</w:t>
      </w:r>
      <w:r w:rsidRPr="00FC74AB">
        <w:rPr>
          <w:lang w:val="ca-ES"/>
        </w:rPr>
        <w:t xml:space="preserve">r </w:t>
      </w:r>
      <w:r w:rsidR="007E16DC" w:rsidRPr="00FC74AB">
        <w:rPr>
          <w:lang w:val="ca-ES"/>
        </w:rPr>
        <w:t xml:space="preserve">la </w:t>
      </w:r>
      <w:r w:rsidR="004879F7" w:rsidRPr="00FC74AB">
        <w:rPr>
          <w:lang w:val="ca-ES"/>
        </w:rPr>
        <w:t>necessitat</w:t>
      </w:r>
      <w:r w:rsidRPr="00FC74AB">
        <w:rPr>
          <w:lang w:val="ca-ES"/>
        </w:rPr>
        <w:t xml:space="preserve"> de co</w:t>
      </w:r>
      <w:r w:rsidR="007E16DC" w:rsidRPr="00FC74AB">
        <w:rPr>
          <w:lang w:val="ca-ES"/>
        </w:rPr>
        <w:t>mplir</w:t>
      </w:r>
      <w:r w:rsidR="00B3113E" w:rsidRPr="00FC74AB">
        <w:rPr>
          <w:lang w:val="ca-ES"/>
        </w:rPr>
        <w:t xml:space="preserve"> les </w:t>
      </w:r>
      <w:r w:rsidRPr="00FC74AB">
        <w:rPr>
          <w:lang w:val="ca-ES"/>
        </w:rPr>
        <w:t>directives de la Unió</w:t>
      </w:r>
      <w:r w:rsidR="007E16DC" w:rsidRPr="00FC74AB">
        <w:rPr>
          <w:lang w:val="ca-ES"/>
        </w:rPr>
        <w:t xml:space="preserve"> Europea,</w:t>
      </w:r>
      <w:r w:rsidR="00B3113E" w:rsidRPr="00FC74AB">
        <w:rPr>
          <w:lang w:val="ca-ES"/>
        </w:rPr>
        <w:t xml:space="preserve"> les </w:t>
      </w:r>
      <w:r w:rsidR="007E16DC" w:rsidRPr="00FC74AB">
        <w:rPr>
          <w:lang w:val="ca-ES"/>
        </w:rPr>
        <w:t>pr</w:t>
      </w:r>
      <w:r w:rsidRPr="00FC74AB">
        <w:rPr>
          <w:lang w:val="ca-ES"/>
        </w:rPr>
        <w:t xml:space="preserve">oves mostren </w:t>
      </w:r>
      <w:r w:rsidR="007E16DC" w:rsidRPr="00FC74AB">
        <w:rPr>
          <w:lang w:val="ca-ES"/>
        </w:rPr>
        <w:t>un deterior</w:t>
      </w:r>
      <w:r w:rsidRPr="00FC74AB">
        <w:rPr>
          <w:lang w:val="ca-ES"/>
        </w:rPr>
        <w:t>ament</w:t>
      </w:r>
      <w:r w:rsidR="007E16DC" w:rsidRPr="00FC74AB">
        <w:rPr>
          <w:lang w:val="ca-ES"/>
        </w:rPr>
        <w:t xml:space="preserve"> de la </w:t>
      </w:r>
      <w:r w:rsidRPr="00FC74AB">
        <w:rPr>
          <w:lang w:val="ca-ES"/>
        </w:rPr>
        <w:t>qualitat</w:t>
      </w:r>
      <w:r w:rsidR="007E16DC" w:rsidRPr="00FC74AB">
        <w:rPr>
          <w:lang w:val="ca-ES"/>
        </w:rPr>
        <w:t xml:space="preserve"> </w:t>
      </w:r>
      <w:r w:rsidR="0048735E" w:rsidRPr="00FC74AB">
        <w:rPr>
          <w:lang w:val="ca-ES"/>
        </w:rPr>
        <w:t>de l’aigua</w:t>
      </w:r>
      <w:r w:rsidR="007E16DC" w:rsidRPr="00FC74AB">
        <w:rPr>
          <w:lang w:val="ca-ES"/>
        </w:rPr>
        <w:t xml:space="preserve"> potable en </w:t>
      </w:r>
      <w:r w:rsidRPr="00FC74AB">
        <w:rPr>
          <w:lang w:val="ca-ES"/>
        </w:rPr>
        <w:t xml:space="preserve">d’altres </w:t>
      </w:r>
      <w:r w:rsidR="007E16DC" w:rsidRPr="00FC74AB">
        <w:rPr>
          <w:lang w:val="ca-ES"/>
        </w:rPr>
        <w:t xml:space="preserve">contextos. </w:t>
      </w:r>
      <w:r w:rsidRPr="00FC74AB">
        <w:rPr>
          <w:lang w:val="ca-ES"/>
        </w:rPr>
        <w:t>A</w:t>
      </w:r>
      <w:r w:rsidR="007E16DC" w:rsidRPr="00FC74AB">
        <w:rPr>
          <w:lang w:val="ca-ES"/>
        </w:rPr>
        <w:t xml:space="preserve"> la </w:t>
      </w:r>
      <w:r w:rsidRPr="00FC74AB">
        <w:rPr>
          <w:lang w:val="ca-ES"/>
        </w:rPr>
        <w:t>província</w:t>
      </w:r>
      <w:r w:rsidR="007E16DC" w:rsidRPr="00FC74AB">
        <w:rPr>
          <w:lang w:val="ca-ES"/>
        </w:rPr>
        <w:t xml:space="preserve"> de Tucumán</w:t>
      </w:r>
      <w:r w:rsidRPr="00FC74AB">
        <w:rPr>
          <w:lang w:val="ca-ES"/>
        </w:rPr>
        <w:t xml:space="preserve"> (Argentina), despr</w:t>
      </w:r>
      <w:r w:rsidR="007E16DC" w:rsidRPr="00FC74AB">
        <w:rPr>
          <w:lang w:val="ca-ES"/>
        </w:rPr>
        <w:t xml:space="preserve">és de la </w:t>
      </w:r>
      <w:r w:rsidR="007E4E7F" w:rsidRPr="00FC74AB">
        <w:rPr>
          <w:lang w:val="ca-ES"/>
        </w:rPr>
        <w:t>privatització</w:t>
      </w:r>
      <w:r w:rsidR="007E16DC" w:rsidRPr="00FC74AB">
        <w:rPr>
          <w:lang w:val="ca-ES"/>
        </w:rPr>
        <w:t>,</w:t>
      </w:r>
      <w:r w:rsidR="005214BF" w:rsidRPr="00FC74AB">
        <w:rPr>
          <w:lang w:val="ca-ES"/>
        </w:rPr>
        <w:t xml:space="preserve"> els </w:t>
      </w:r>
      <w:r w:rsidRPr="00FC74AB">
        <w:rPr>
          <w:lang w:val="ca-ES"/>
        </w:rPr>
        <w:t>usuari</w:t>
      </w:r>
      <w:r w:rsidR="007E16DC" w:rsidRPr="00FC74AB">
        <w:rPr>
          <w:lang w:val="ca-ES"/>
        </w:rPr>
        <w:t xml:space="preserve">s </w:t>
      </w:r>
      <w:r w:rsidRPr="00FC74AB">
        <w:rPr>
          <w:lang w:val="ca-ES"/>
        </w:rPr>
        <w:t>van informar</w:t>
      </w:r>
      <w:r w:rsidR="007E16DC" w:rsidRPr="00FC74AB">
        <w:rPr>
          <w:lang w:val="ca-ES"/>
        </w:rPr>
        <w:t xml:space="preserve"> </w:t>
      </w:r>
      <w:r w:rsidR="0037581A" w:rsidRPr="00FC74AB">
        <w:rPr>
          <w:lang w:val="ca-ES"/>
        </w:rPr>
        <w:t xml:space="preserve">que durant moltes setmanes l’aigua no va ser </w:t>
      </w:r>
      <w:r w:rsidR="007E16DC" w:rsidRPr="00FC74AB">
        <w:rPr>
          <w:lang w:val="ca-ES"/>
        </w:rPr>
        <w:t>potable</w:t>
      </w:r>
      <w:r w:rsidR="007E16DC" w:rsidRPr="00FC74AB">
        <w:rPr>
          <w:rStyle w:val="FootnoteReference"/>
          <w:lang w:val="ca-ES"/>
        </w:rPr>
        <w:footnoteReference w:id="81"/>
      </w:r>
      <w:r w:rsidR="007E16DC" w:rsidRPr="00FC74AB">
        <w:rPr>
          <w:lang w:val="ca-ES"/>
        </w:rPr>
        <w:t xml:space="preserve">. </w:t>
      </w:r>
      <w:r w:rsidRPr="00FC74AB">
        <w:rPr>
          <w:lang w:val="ca-ES"/>
        </w:rPr>
        <w:t>A</w:t>
      </w:r>
      <w:r w:rsidR="007E16DC" w:rsidRPr="00FC74AB">
        <w:rPr>
          <w:lang w:val="ca-ES"/>
        </w:rPr>
        <w:t xml:space="preserve"> Buenos Aires, el </w:t>
      </w:r>
      <w:r w:rsidRPr="00FC74AB">
        <w:rPr>
          <w:lang w:val="ca-ES"/>
        </w:rPr>
        <w:t xml:space="preserve">govern </w:t>
      </w:r>
      <w:r w:rsidR="007E16DC" w:rsidRPr="00FC74AB">
        <w:rPr>
          <w:lang w:val="ca-ES"/>
        </w:rPr>
        <w:t xml:space="preserve">nacional </w:t>
      </w:r>
      <w:r w:rsidRPr="00FC74AB">
        <w:rPr>
          <w:lang w:val="ca-ES"/>
        </w:rPr>
        <w:t xml:space="preserve">va </w:t>
      </w:r>
      <w:r w:rsidR="007E16DC" w:rsidRPr="00FC74AB">
        <w:rPr>
          <w:lang w:val="ca-ES"/>
        </w:rPr>
        <w:t>decidi</w:t>
      </w:r>
      <w:r w:rsidRPr="00FC74AB">
        <w:rPr>
          <w:lang w:val="ca-ES"/>
        </w:rPr>
        <w:t xml:space="preserve">r </w:t>
      </w:r>
      <w:r w:rsidR="007E16DC" w:rsidRPr="00FC74AB">
        <w:rPr>
          <w:lang w:val="ca-ES"/>
        </w:rPr>
        <w:t>rescindir el contra</w:t>
      </w:r>
      <w:r w:rsidRPr="00FC74AB">
        <w:rPr>
          <w:lang w:val="ca-ES"/>
        </w:rPr>
        <w:t>cte</w:t>
      </w:r>
      <w:r w:rsidR="007E16DC" w:rsidRPr="00FC74AB">
        <w:rPr>
          <w:lang w:val="ca-ES"/>
        </w:rPr>
        <w:t xml:space="preserve"> de conce</w:t>
      </w:r>
      <w:r w:rsidRPr="00FC74AB">
        <w:rPr>
          <w:lang w:val="ca-ES"/>
        </w:rPr>
        <w:t>ssió en part</w:t>
      </w:r>
      <w:r w:rsidR="007E16DC" w:rsidRPr="00FC74AB">
        <w:rPr>
          <w:lang w:val="ca-ES"/>
        </w:rPr>
        <w:t xml:space="preserve"> </w:t>
      </w:r>
      <w:r w:rsidRPr="00FC74AB">
        <w:rPr>
          <w:lang w:val="ca-ES"/>
        </w:rPr>
        <w:t xml:space="preserve">per </w:t>
      </w:r>
      <w:r w:rsidR="007E16DC" w:rsidRPr="00FC74AB">
        <w:rPr>
          <w:lang w:val="ca-ES"/>
        </w:rPr>
        <w:t xml:space="preserve">la mala </w:t>
      </w:r>
      <w:r w:rsidRPr="00FC74AB">
        <w:rPr>
          <w:lang w:val="ca-ES"/>
        </w:rPr>
        <w:t>qualitat</w:t>
      </w:r>
      <w:r w:rsidR="007E16DC" w:rsidRPr="00FC74AB">
        <w:rPr>
          <w:lang w:val="ca-ES"/>
        </w:rPr>
        <w:t xml:space="preserve"> </w:t>
      </w:r>
      <w:r w:rsidR="0048735E" w:rsidRPr="00FC74AB">
        <w:rPr>
          <w:lang w:val="ca-ES"/>
        </w:rPr>
        <w:t>de l’aigua</w:t>
      </w:r>
      <w:r w:rsidR="007E16DC" w:rsidRPr="00FC74AB">
        <w:rPr>
          <w:rStyle w:val="FootnoteReference"/>
          <w:lang w:val="ca-ES"/>
        </w:rPr>
        <w:footnoteReference w:id="82"/>
      </w:r>
      <w:r w:rsidR="007E16DC" w:rsidRPr="00FC74AB">
        <w:rPr>
          <w:lang w:val="ca-ES"/>
        </w:rPr>
        <w:t xml:space="preserve">. </w:t>
      </w:r>
      <w:r w:rsidRPr="00FC74AB">
        <w:rPr>
          <w:lang w:val="ca-ES"/>
        </w:rPr>
        <w:t>L</w:t>
      </w:r>
      <w:r w:rsidR="0037581A" w:rsidRPr="00FC74AB">
        <w:rPr>
          <w:lang w:val="ca-ES"/>
        </w:rPr>
        <w:t xml:space="preserve">a </w:t>
      </w:r>
      <w:r w:rsidRPr="00FC74AB">
        <w:rPr>
          <w:lang w:val="ca-ES"/>
        </w:rPr>
        <w:t>preocupaci</w:t>
      </w:r>
      <w:r w:rsidR="0037581A" w:rsidRPr="00FC74AB">
        <w:rPr>
          <w:lang w:val="ca-ES"/>
        </w:rPr>
        <w:t>ó</w:t>
      </w:r>
      <w:r w:rsidR="007E16DC" w:rsidRPr="00FC74AB">
        <w:rPr>
          <w:lang w:val="ca-ES"/>
        </w:rPr>
        <w:t xml:space="preserve"> </w:t>
      </w:r>
      <w:r w:rsidR="0037581A" w:rsidRPr="00FC74AB">
        <w:rPr>
          <w:lang w:val="ca-ES"/>
        </w:rPr>
        <w:t xml:space="preserve">per </w:t>
      </w:r>
      <w:r w:rsidR="007E16DC" w:rsidRPr="00FC74AB">
        <w:rPr>
          <w:lang w:val="ca-ES"/>
        </w:rPr>
        <w:t xml:space="preserve">la </w:t>
      </w:r>
      <w:r w:rsidRPr="00FC74AB">
        <w:rPr>
          <w:lang w:val="ca-ES"/>
        </w:rPr>
        <w:t>qualitat</w:t>
      </w:r>
      <w:r w:rsidR="007E16DC" w:rsidRPr="00FC74AB">
        <w:rPr>
          <w:lang w:val="ca-ES"/>
        </w:rPr>
        <w:t xml:space="preserve"> no</w:t>
      </w:r>
      <w:r w:rsidR="00775479" w:rsidRPr="00FC74AB">
        <w:rPr>
          <w:lang w:val="ca-ES"/>
        </w:rPr>
        <w:t xml:space="preserve"> </w:t>
      </w:r>
      <w:r w:rsidR="0037581A" w:rsidRPr="00FC74AB">
        <w:rPr>
          <w:lang w:val="ca-ES"/>
        </w:rPr>
        <w:t xml:space="preserve">és exclusiva </w:t>
      </w:r>
      <w:r w:rsidR="007E16DC" w:rsidRPr="00FC74AB">
        <w:rPr>
          <w:lang w:val="ca-ES"/>
        </w:rPr>
        <w:t xml:space="preserve">de la </w:t>
      </w:r>
      <w:r w:rsidR="007E4E7F" w:rsidRPr="00FC74AB">
        <w:rPr>
          <w:lang w:val="ca-ES"/>
        </w:rPr>
        <w:t>privatització</w:t>
      </w:r>
      <w:r w:rsidR="007E16DC" w:rsidRPr="00FC74AB">
        <w:rPr>
          <w:lang w:val="ca-ES"/>
        </w:rPr>
        <w:t xml:space="preserve"> </w:t>
      </w:r>
      <w:r w:rsidR="008612D6" w:rsidRPr="00FC74AB">
        <w:rPr>
          <w:lang w:val="ca-ES"/>
        </w:rPr>
        <w:t>a</w:t>
      </w:r>
      <w:r w:rsidR="007666DD" w:rsidRPr="00FC74AB">
        <w:rPr>
          <w:lang w:val="ca-ES"/>
        </w:rPr>
        <w:t>ls</w:t>
      </w:r>
      <w:r w:rsidR="008612D6" w:rsidRPr="00FC74AB">
        <w:rPr>
          <w:lang w:val="ca-ES"/>
        </w:rPr>
        <w:t xml:space="preserve"> </w:t>
      </w:r>
      <w:r w:rsidR="00E94729" w:rsidRPr="00FC74AB">
        <w:rPr>
          <w:lang w:val="ca-ES"/>
        </w:rPr>
        <w:t>països</w:t>
      </w:r>
      <w:r w:rsidR="007E16DC" w:rsidRPr="00FC74AB">
        <w:rPr>
          <w:lang w:val="ca-ES"/>
        </w:rPr>
        <w:t xml:space="preserve"> en </w:t>
      </w:r>
      <w:r w:rsidR="00E40430" w:rsidRPr="00FC74AB">
        <w:rPr>
          <w:lang w:val="ca-ES"/>
        </w:rPr>
        <w:t xml:space="preserve">vies de </w:t>
      </w:r>
      <w:r w:rsidR="00B6301F" w:rsidRPr="00FC74AB">
        <w:rPr>
          <w:lang w:val="ca-ES"/>
        </w:rPr>
        <w:t>desenvolupament</w:t>
      </w:r>
      <w:r w:rsidR="007E16DC" w:rsidRPr="00FC74AB">
        <w:rPr>
          <w:lang w:val="ca-ES"/>
        </w:rPr>
        <w:t xml:space="preserve">. </w:t>
      </w:r>
      <w:r w:rsidR="00E40430" w:rsidRPr="00FC74AB">
        <w:rPr>
          <w:lang w:val="ca-ES"/>
        </w:rPr>
        <w:t>A</w:t>
      </w:r>
      <w:r w:rsidR="007E16DC" w:rsidRPr="00FC74AB">
        <w:rPr>
          <w:lang w:val="ca-ES"/>
        </w:rPr>
        <w:t xml:space="preserve"> Atlanta (</w:t>
      </w:r>
      <w:r w:rsidR="00B127EF" w:rsidRPr="00FC74AB">
        <w:rPr>
          <w:lang w:val="ca-ES"/>
        </w:rPr>
        <w:t>Estats Units</w:t>
      </w:r>
      <w:r w:rsidR="007E16DC" w:rsidRPr="00FC74AB">
        <w:rPr>
          <w:lang w:val="ca-ES"/>
        </w:rPr>
        <w:t>),</w:t>
      </w:r>
      <w:r w:rsidR="005214BF" w:rsidRPr="00FC74AB">
        <w:rPr>
          <w:lang w:val="ca-ES"/>
        </w:rPr>
        <w:t xml:space="preserve"> els </w:t>
      </w:r>
      <w:r w:rsidR="00E40430" w:rsidRPr="00FC74AB">
        <w:rPr>
          <w:lang w:val="ca-ES"/>
        </w:rPr>
        <w:t>usuaris van</w:t>
      </w:r>
      <w:r w:rsidR="007E16DC" w:rsidRPr="00FC74AB">
        <w:rPr>
          <w:lang w:val="ca-ES"/>
        </w:rPr>
        <w:t xml:space="preserve"> </w:t>
      </w:r>
      <w:r w:rsidR="00E40430" w:rsidRPr="00FC74AB">
        <w:rPr>
          <w:lang w:val="ca-ES"/>
        </w:rPr>
        <w:t xml:space="preserve">protestar enèrgicament per </w:t>
      </w:r>
      <w:r w:rsidR="007E16DC" w:rsidRPr="00FC74AB">
        <w:rPr>
          <w:lang w:val="ca-ES"/>
        </w:rPr>
        <w:t xml:space="preserve">la </w:t>
      </w:r>
      <w:r w:rsidRPr="00FC74AB">
        <w:rPr>
          <w:lang w:val="ca-ES"/>
        </w:rPr>
        <w:t>qualitat</w:t>
      </w:r>
      <w:r w:rsidR="007E16DC" w:rsidRPr="00FC74AB">
        <w:rPr>
          <w:lang w:val="ca-ES"/>
        </w:rPr>
        <w:t xml:space="preserve"> </w:t>
      </w:r>
      <w:r w:rsidR="0048735E" w:rsidRPr="00FC74AB">
        <w:rPr>
          <w:lang w:val="ca-ES"/>
        </w:rPr>
        <w:t>de l’aigua</w:t>
      </w:r>
      <w:r w:rsidR="007E4E7F" w:rsidRPr="00FC74AB">
        <w:rPr>
          <w:lang w:val="ca-ES"/>
        </w:rPr>
        <w:t xml:space="preserve"> i </w:t>
      </w:r>
      <w:r w:rsidR="007E16DC" w:rsidRPr="00FC74AB">
        <w:rPr>
          <w:lang w:val="ca-ES"/>
        </w:rPr>
        <w:t xml:space="preserve">la </w:t>
      </w:r>
      <w:r w:rsidR="00E31C4A" w:rsidRPr="00FC74AB">
        <w:rPr>
          <w:lang w:val="ca-ES"/>
        </w:rPr>
        <w:t>ciutat</w:t>
      </w:r>
      <w:r w:rsidR="007E16DC" w:rsidRPr="00FC74AB">
        <w:rPr>
          <w:lang w:val="ca-ES"/>
        </w:rPr>
        <w:t xml:space="preserve"> </w:t>
      </w:r>
      <w:r w:rsidR="00E40430" w:rsidRPr="00FC74AB">
        <w:rPr>
          <w:lang w:val="ca-ES"/>
        </w:rPr>
        <w:t xml:space="preserve">va registrar </w:t>
      </w:r>
      <w:r w:rsidR="007E16DC" w:rsidRPr="00FC74AB">
        <w:rPr>
          <w:lang w:val="ca-ES"/>
        </w:rPr>
        <w:t>un au</w:t>
      </w:r>
      <w:r w:rsidR="00E40430" w:rsidRPr="00FC74AB">
        <w:rPr>
          <w:lang w:val="ca-ES"/>
        </w:rPr>
        <w:t>g</w:t>
      </w:r>
      <w:r w:rsidR="007E16DC" w:rsidRPr="00FC74AB">
        <w:rPr>
          <w:lang w:val="ca-ES"/>
        </w:rPr>
        <w:t xml:space="preserve">ment </w:t>
      </w:r>
      <w:r w:rsidR="00E40430" w:rsidRPr="00FC74AB">
        <w:rPr>
          <w:lang w:val="ca-ES"/>
        </w:rPr>
        <w:t>d</w:t>
      </w:r>
      <w:r w:rsidR="007E16DC" w:rsidRPr="00FC74AB">
        <w:rPr>
          <w:lang w:val="ca-ES"/>
        </w:rPr>
        <w:t>el número d</w:t>
      </w:r>
      <w:r w:rsidR="00E40430" w:rsidRPr="00FC74AB">
        <w:rPr>
          <w:lang w:val="ca-ES"/>
        </w:rPr>
        <w:t>’alerte</w:t>
      </w:r>
      <w:r w:rsidR="007E16DC" w:rsidRPr="00FC74AB">
        <w:rPr>
          <w:lang w:val="ca-ES"/>
        </w:rPr>
        <w:t xml:space="preserve">s de </w:t>
      </w:r>
      <w:r w:rsidR="00E40430" w:rsidRPr="00FC74AB">
        <w:rPr>
          <w:lang w:val="ca-ES"/>
        </w:rPr>
        <w:t xml:space="preserve">bullir </w:t>
      </w:r>
      <w:r w:rsidR="007E16DC" w:rsidRPr="00FC74AB">
        <w:rPr>
          <w:lang w:val="ca-ES"/>
        </w:rPr>
        <w:t>l</w:t>
      </w:r>
      <w:r w:rsidR="00E40430" w:rsidRPr="00FC74AB">
        <w:rPr>
          <w:lang w:val="ca-ES"/>
        </w:rPr>
        <w:t>’</w:t>
      </w:r>
      <w:r w:rsidR="007E16DC" w:rsidRPr="00FC74AB">
        <w:rPr>
          <w:lang w:val="ca-ES"/>
        </w:rPr>
        <w:t>agua</w:t>
      </w:r>
      <w:r w:rsidR="007E16DC" w:rsidRPr="00FC74AB">
        <w:rPr>
          <w:rStyle w:val="FootnoteReference"/>
          <w:lang w:val="ca-ES"/>
        </w:rPr>
        <w:footnoteReference w:id="83"/>
      </w:r>
      <w:r w:rsidR="007E16DC" w:rsidRPr="00FC74AB">
        <w:rPr>
          <w:lang w:val="ca-ES"/>
        </w:rPr>
        <w:t xml:space="preserve">. </w:t>
      </w:r>
      <w:r w:rsidR="007C7A95" w:rsidRPr="00FC74AB">
        <w:rPr>
          <w:lang w:val="ca-ES"/>
        </w:rPr>
        <w:t>A més</w:t>
      </w:r>
      <w:r w:rsidR="007E16DC" w:rsidRPr="00FC74AB">
        <w:rPr>
          <w:lang w:val="ca-ES"/>
        </w:rPr>
        <w:t xml:space="preserve">, </w:t>
      </w:r>
      <w:r w:rsidR="00E40430" w:rsidRPr="00FC74AB">
        <w:rPr>
          <w:lang w:val="ca-ES"/>
        </w:rPr>
        <w:t>a</w:t>
      </w:r>
      <w:r w:rsidR="007E16DC" w:rsidRPr="00FC74AB">
        <w:rPr>
          <w:lang w:val="ca-ES"/>
        </w:rPr>
        <w:t xml:space="preserve"> Pittsburgh (</w:t>
      </w:r>
      <w:r w:rsidR="00B127EF" w:rsidRPr="00FC74AB">
        <w:rPr>
          <w:lang w:val="ca-ES"/>
        </w:rPr>
        <w:t>Estats Units</w:t>
      </w:r>
      <w:r w:rsidR="00E40430" w:rsidRPr="00FC74AB">
        <w:rPr>
          <w:lang w:val="ca-ES"/>
        </w:rPr>
        <w:t>), una filial de Veolia teni</w:t>
      </w:r>
      <w:r w:rsidR="007E16DC" w:rsidRPr="00FC74AB">
        <w:rPr>
          <w:lang w:val="ca-ES"/>
        </w:rPr>
        <w:t>a un contra</w:t>
      </w:r>
      <w:r w:rsidR="00E40430" w:rsidRPr="00FC74AB">
        <w:rPr>
          <w:lang w:val="ca-ES"/>
        </w:rPr>
        <w:t>cte que incentivava la reducció</w:t>
      </w:r>
      <w:r w:rsidR="007E16DC" w:rsidRPr="00FC74AB">
        <w:rPr>
          <w:lang w:val="ca-ES"/>
        </w:rPr>
        <w:t xml:space="preserve"> de </w:t>
      </w:r>
      <w:r w:rsidR="00E40430" w:rsidRPr="00FC74AB">
        <w:rPr>
          <w:lang w:val="ca-ES"/>
        </w:rPr>
        <w:t xml:space="preserve">despeses </w:t>
      </w:r>
      <w:r w:rsidR="007E16DC" w:rsidRPr="00FC74AB">
        <w:rPr>
          <w:lang w:val="ca-ES"/>
        </w:rPr>
        <w:t>vincula</w:t>
      </w:r>
      <w:r w:rsidR="00E40430" w:rsidRPr="00FC74AB">
        <w:rPr>
          <w:lang w:val="ca-ES"/>
        </w:rPr>
        <w:t>nt-l</w:t>
      </w:r>
      <w:r w:rsidR="007E16DC" w:rsidRPr="00FC74AB">
        <w:rPr>
          <w:lang w:val="ca-ES"/>
        </w:rPr>
        <w:t>a a la remuneració de l</w:t>
      </w:r>
      <w:r w:rsidR="00E40430" w:rsidRPr="00FC74AB">
        <w:rPr>
          <w:lang w:val="ca-ES"/>
        </w:rPr>
        <w:t>’</w:t>
      </w:r>
      <w:r w:rsidR="007E16DC" w:rsidRPr="00FC74AB">
        <w:rPr>
          <w:lang w:val="ca-ES"/>
        </w:rPr>
        <w:t xml:space="preserve">empresa, </w:t>
      </w:r>
      <w:r w:rsidR="00E40430" w:rsidRPr="00FC74AB">
        <w:rPr>
          <w:lang w:val="ca-ES"/>
        </w:rPr>
        <w:t xml:space="preserve">motiu pel qual el 2014 es va </w:t>
      </w:r>
      <w:r w:rsidR="007E16DC" w:rsidRPr="00FC74AB">
        <w:rPr>
          <w:lang w:val="ca-ES"/>
        </w:rPr>
        <w:t>su</w:t>
      </w:r>
      <w:r w:rsidR="00E40430" w:rsidRPr="00FC74AB">
        <w:rPr>
          <w:lang w:val="ca-ES"/>
        </w:rPr>
        <w:t>b</w:t>
      </w:r>
      <w:r w:rsidR="007E16DC" w:rsidRPr="00FC74AB">
        <w:rPr>
          <w:lang w:val="ca-ES"/>
        </w:rPr>
        <w:t>stitu</w:t>
      </w:r>
      <w:r w:rsidR="00E40430" w:rsidRPr="00FC74AB">
        <w:rPr>
          <w:lang w:val="ca-ES"/>
        </w:rPr>
        <w:t>ir un producte químic</w:t>
      </w:r>
      <w:r w:rsidR="007E16DC" w:rsidRPr="00FC74AB">
        <w:rPr>
          <w:lang w:val="ca-ES"/>
        </w:rPr>
        <w:t xml:space="preserve"> utili</w:t>
      </w:r>
      <w:r w:rsidR="00E40430" w:rsidRPr="00FC74AB">
        <w:rPr>
          <w:lang w:val="ca-ES"/>
        </w:rPr>
        <w:t>t</w:t>
      </w:r>
      <w:r w:rsidR="007E16DC" w:rsidRPr="00FC74AB">
        <w:rPr>
          <w:lang w:val="ca-ES"/>
        </w:rPr>
        <w:t>za</w:t>
      </w:r>
      <w:r w:rsidR="00E40430" w:rsidRPr="00FC74AB">
        <w:rPr>
          <w:lang w:val="ca-ES"/>
        </w:rPr>
        <w:t>t per control</w:t>
      </w:r>
      <w:r w:rsidR="00AC2C31" w:rsidRPr="00FC74AB">
        <w:rPr>
          <w:lang w:val="ca-ES"/>
        </w:rPr>
        <w:t>ar</w:t>
      </w:r>
      <w:r w:rsidR="00E40430" w:rsidRPr="00FC74AB">
        <w:rPr>
          <w:lang w:val="ca-ES"/>
        </w:rPr>
        <w:t xml:space="preserve"> la corrosió</w:t>
      </w:r>
      <w:r w:rsidR="007E4E7F" w:rsidRPr="00FC74AB">
        <w:rPr>
          <w:lang w:val="ca-ES"/>
        </w:rPr>
        <w:t xml:space="preserve"> i </w:t>
      </w:r>
      <w:r w:rsidR="00E40430" w:rsidRPr="00FC74AB">
        <w:rPr>
          <w:lang w:val="ca-ES"/>
        </w:rPr>
        <w:t>evitar la contaminació per plom</w:t>
      </w:r>
      <w:r w:rsidR="007E16DC" w:rsidRPr="00FC74AB">
        <w:rPr>
          <w:lang w:val="ca-ES"/>
        </w:rPr>
        <w:t xml:space="preserve"> </w:t>
      </w:r>
      <w:r w:rsidR="00E40430" w:rsidRPr="00FC74AB">
        <w:rPr>
          <w:lang w:val="ca-ES"/>
        </w:rPr>
        <w:t>per un producte</w:t>
      </w:r>
      <w:r w:rsidR="00DB041B" w:rsidRPr="00FC74AB">
        <w:rPr>
          <w:lang w:val="ca-ES"/>
        </w:rPr>
        <w:t xml:space="preserve"> més </w:t>
      </w:r>
      <w:r w:rsidR="00E40430" w:rsidRPr="00FC74AB">
        <w:rPr>
          <w:lang w:val="ca-ES"/>
        </w:rPr>
        <w:t>barat</w:t>
      </w:r>
      <w:r w:rsidR="007E16DC" w:rsidRPr="00FC74AB">
        <w:rPr>
          <w:lang w:val="ca-ES"/>
        </w:rPr>
        <w:t xml:space="preserve">, </w:t>
      </w:r>
      <w:r w:rsidR="00E40430" w:rsidRPr="00FC74AB">
        <w:rPr>
          <w:lang w:val="ca-ES"/>
        </w:rPr>
        <w:t xml:space="preserve">i </w:t>
      </w:r>
      <w:r w:rsidR="007E16DC" w:rsidRPr="00FC74AB">
        <w:rPr>
          <w:lang w:val="ca-ES"/>
        </w:rPr>
        <w:t>al</w:t>
      </w:r>
      <w:r w:rsidR="00E40430" w:rsidRPr="00FC74AB">
        <w:rPr>
          <w:lang w:val="ca-ES"/>
        </w:rPr>
        <w:t>hora es va reduir considerablement el personal de laboratori. Posteriorment</w:t>
      </w:r>
      <w:r w:rsidR="007E16DC" w:rsidRPr="00FC74AB">
        <w:rPr>
          <w:lang w:val="ca-ES"/>
        </w:rPr>
        <w:t xml:space="preserve">, </w:t>
      </w:r>
      <w:r w:rsidR="00E40430" w:rsidRPr="00FC74AB">
        <w:rPr>
          <w:lang w:val="ca-ES"/>
        </w:rPr>
        <w:t xml:space="preserve">es van </w:t>
      </w:r>
      <w:r w:rsidR="007E16DC" w:rsidRPr="00FC74AB">
        <w:rPr>
          <w:lang w:val="ca-ES"/>
        </w:rPr>
        <w:t>detectar</w:t>
      </w:r>
      <w:r w:rsidR="00E40430" w:rsidRPr="00FC74AB">
        <w:rPr>
          <w:lang w:val="ca-ES"/>
        </w:rPr>
        <w:t xml:space="preserve"> nivells </w:t>
      </w:r>
      <w:r w:rsidR="00D6123B" w:rsidRPr="00FC74AB">
        <w:rPr>
          <w:lang w:val="ca-ES"/>
        </w:rPr>
        <w:t xml:space="preserve">alts </w:t>
      </w:r>
      <w:r w:rsidR="00E40430" w:rsidRPr="00FC74AB">
        <w:rPr>
          <w:lang w:val="ca-ES"/>
        </w:rPr>
        <w:t>de plom</w:t>
      </w:r>
      <w:r w:rsidR="007E16DC" w:rsidRPr="00FC74AB">
        <w:rPr>
          <w:lang w:val="ca-ES"/>
        </w:rPr>
        <w:t xml:space="preserve"> </w:t>
      </w:r>
      <w:r w:rsidR="00E40430" w:rsidRPr="00FC74AB">
        <w:rPr>
          <w:lang w:val="ca-ES"/>
        </w:rPr>
        <w:t>a</w:t>
      </w:r>
      <w:r w:rsidR="007E16DC" w:rsidRPr="00FC74AB">
        <w:rPr>
          <w:lang w:val="ca-ES"/>
        </w:rPr>
        <w:t>l sistema d</w:t>
      </w:r>
      <w:r w:rsidR="00E40430" w:rsidRPr="00FC74AB">
        <w:rPr>
          <w:lang w:val="ca-ES"/>
        </w:rPr>
        <w:t>’</w:t>
      </w:r>
      <w:r w:rsidR="007E16DC" w:rsidRPr="00FC74AB">
        <w:rPr>
          <w:lang w:val="ca-ES"/>
        </w:rPr>
        <w:t>abast</w:t>
      </w:r>
      <w:r w:rsidR="00E40430" w:rsidRPr="00FC74AB">
        <w:rPr>
          <w:lang w:val="ca-ES"/>
        </w:rPr>
        <w:t>am</w:t>
      </w:r>
      <w:r w:rsidR="007E16DC" w:rsidRPr="00FC74AB">
        <w:rPr>
          <w:lang w:val="ca-ES"/>
        </w:rPr>
        <w:t xml:space="preserve">ent </w:t>
      </w:r>
      <w:r w:rsidR="003A58C9" w:rsidRPr="00FC74AB">
        <w:rPr>
          <w:lang w:val="ca-ES"/>
        </w:rPr>
        <w:t>d’aigua</w:t>
      </w:r>
      <w:r w:rsidR="007E16DC" w:rsidRPr="00FC74AB">
        <w:rPr>
          <w:lang w:val="ca-ES"/>
        </w:rPr>
        <w:t xml:space="preserve">, </w:t>
      </w:r>
      <w:r w:rsidR="00E40430" w:rsidRPr="00FC74AB">
        <w:rPr>
          <w:lang w:val="ca-ES"/>
        </w:rPr>
        <w:t>que d</w:t>
      </w:r>
      <w:r w:rsidR="00DD3A76" w:rsidRPr="00FC74AB">
        <w:rPr>
          <w:lang w:val="ca-ES"/>
        </w:rPr>
        <w:t>o</w:t>
      </w:r>
      <w:r w:rsidR="00E40430" w:rsidRPr="00FC74AB">
        <w:rPr>
          <w:lang w:val="ca-ES"/>
        </w:rPr>
        <w:t xml:space="preserve">na </w:t>
      </w:r>
      <w:r w:rsidR="003B7411" w:rsidRPr="00FC74AB">
        <w:rPr>
          <w:lang w:val="ca-ES"/>
        </w:rPr>
        <w:t>servei</w:t>
      </w:r>
      <w:r w:rsidR="007E16DC" w:rsidRPr="00FC74AB">
        <w:rPr>
          <w:lang w:val="ca-ES"/>
        </w:rPr>
        <w:t xml:space="preserve"> a de</w:t>
      </w:r>
      <w:r w:rsidR="00E40430" w:rsidRPr="00FC74AB">
        <w:rPr>
          <w:lang w:val="ca-ES"/>
        </w:rPr>
        <w:t>sene</w:t>
      </w:r>
      <w:r w:rsidR="007E16DC" w:rsidRPr="00FC74AB">
        <w:rPr>
          <w:lang w:val="ca-ES"/>
        </w:rPr>
        <w:t>s de mile</w:t>
      </w:r>
      <w:r w:rsidR="00E40430" w:rsidRPr="00FC74AB">
        <w:rPr>
          <w:lang w:val="ca-ES"/>
        </w:rPr>
        <w:t>r</w:t>
      </w:r>
      <w:r w:rsidR="007E16DC" w:rsidRPr="00FC74AB">
        <w:rPr>
          <w:lang w:val="ca-ES"/>
        </w:rPr>
        <w:t xml:space="preserve">s de </w:t>
      </w:r>
      <w:r w:rsidR="00E40430" w:rsidRPr="00FC74AB">
        <w:rPr>
          <w:lang w:val="ca-ES"/>
        </w:rPr>
        <w:t>llars</w:t>
      </w:r>
      <w:r w:rsidR="007E16DC" w:rsidRPr="00FC74AB">
        <w:rPr>
          <w:rStyle w:val="FootnoteReference"/>
          <w:lang w:val="ca-ES"/>
        </w:rPr>
        <w:footnoteReference w:id="84"/>
      </w:r>
      <w:r w:rsidR="007E16DC" w:rsidRPr="00FC74AB">
        <w:rPr>
          <w:lang w:val="ca-ES"/>
        </w:rPr>
        <w:t>.</w:t>
      </w:r>
    </w:p>
    <w:p w14:paraId="06C8B10E" w14:textId="77777777" w:rsidR="007E16DC" w:rsidRPr="00FC74AB" w:rsidRDefault="007E16DC" w:rsidP="007E16DC">
      <w:pPr>
        <w:pStyle w:val="SingleTxt"/>
        <w:spacing w:after="0" w:line="120" w:lineRule="exact"/>
        <w:rPr>
          <w:sz w:val="10"/>
          <w:lang w:val="ca-ES"/>
        </w:rPr>
      </w:pPr>
    </w:p>
    <w:p w14:paraId="5C3D107E" w14:textId="77777777" w:rsidR="007E16DC" w:rsidRPr="00FC74AB" w:rsidRDefault="007E16DC" w:rsidP="007E16DC">
      <w:pPr>
        <w:pStyle w:val="SingleTxt"/>
        <w:spacing w:after="0" w:line="120" w:lineRule="exact"/>
        <w:rPr>
          <w:sz w:val="10"/>
          <w:lang w:val="ca-ES"/>
        </w:rPr>
      </w:pPr>
    </w:p>
    <w:p w14:paraId="2DAEAAA2" w14:textId="4633F626" w:rsidR="007E16DC" w:rsidRPr="00FC74AB" w:rsidRDefault="007E16DC" w:rsidP="00195B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D.</w:t>
      </w:r>
      <w:r w:rsidRPr="00FC74AB">
        <w:rPr>
          <w:lang w:val="ca-ES"/>
        </w:rPr>
        <w:tab/>
      </w:r>
      <w:r w:rsidR="007E4E7F" w:rsidRPr="00FC74AB">
        <w:rPr>
          <w:lang w:val="ca-ES"/>
        </w:rPr>
        <w:t>Sostenibilitat</w:t>
      </w:r>
    </w:p>
    <w:p w14:paraId="20D4E22B" w14:textId="77777777" w:rsidR="007E16DC" w:rsidRPr="00FC74AB" w:rsidRDefault="007E16DC" w:rsidP="007E16DC">
      <w:pPr>
        <w:pStyle w:val="SingleTxt"/>
        <w:spacing w:after="0" w:line="120" w:lineRule="exact"/>
        <w:rPr>
          <w:sz w:val="10"/>
          <w:lang w:val="ca-ES"/>
        </w:rPr>
      </w:pPr>
    </w:p>
    <w:p w14:paraId="21F552E1" w14:textId="77777777" w:rsidR="007E16DC" w:rsidRPr="00FC74AB" w:rsidRDefault="007E16DC" w:rsidP="007E16DC">
      <w:pPr>
        <w:pStyle w:val="SingleTxt"/>
        <w:spacing w:after="0" w:line="120" w:lineRule="exact"/>
        <w:rPr>
          <w:sz w:val="10"/>
          <w:lang w:val="ca-ES"/>
        </w:rPr>
      </w:pPr>
    </w:p>
    <w:p w14:paraId="5B79519C" w14:textId="2CF38679" w:rsidR="007E16DC" w:rsidRPr="00FC74AB" w:rsidRDefault="00CC7045" w:rsidP="00DD3A76">
      <w:pPr>
        <w:pStyle w:val="SingleTxt"/>
        <w:numPr>
          <w:ilvl w:val="2"/>
          <w:numId w:val="49"/>
        </w:numPr>
        <w:spacing w:line="240" w:lineRule="atLeast"/>
        <w:ind w:left="1267" w:firstLine="0"/>
        <w:rPr>
          <w:lang w:val="ca-ES"/>
        </w:rPr>
      </w:pPr>
      <w:r w:rsidRPr="00FC74AB">
        <w:rPr>
          <w:lang w:val="ca-ES"/>
        </w:rPr>
        <w:t>La participació del sector privat afecta la sostenibilitat dels serveis d’aigua i sanejament quan l’afany per augmentar la rendibilitat fa reduir les inversions</w:t>
      </w:r>
      <w:r w:rsidR="007E16DC" w:rsidRPr="00FC74AB">
        <w:rPr>
          <w:lang w:val="ca-ES"/>
        </w:rPr>
        <w:t xml:space="preserve">, </w:t>
      </w:r>
      <w:r w:rsidR="00E40430" w:rsidRPr="00FC74AB">
        <w:rPr>
          <w:lang w:val="ca-ES"/>
        </w:rPr>
        <w:t xml:space="preserve">de forma que es </w:t>
      </w:r>
      <w:r w:rsidR="00D6123B" w:rsidRPr="00FC74AB">
        <w:rPr>
          <w:lang w:val="ca-ES"/>
        </w:rPr>
        <w:t>posen en perill</w:t>
      </w:r>
      <w:r w:rsidR="00F92064" w:rsidRPr="00FC74AB">
        <w:rPr>
          <w:lang w:val="ca-ES"/>
        </w:rPr>
        <w:t xml:space="preserve"> </w:t>
      </w:r>
      <w:r w:rsidR="00E40430" w:rsidRPr="00FC74AB">
        <w:rPr>
          <w:lang w:val="ca-ES"/>
        </w:rPr>
        <w:t>aspecte</w:t>
      </w:r>
      <w:r w:rsidR="007E16DC" w:rsidRPr="00FC74AB">
        <w:rPr>
          <w:lang w:val="ca-ES"/>
        </w:rPr>
        <w:t>s del cont</w:t>
      </w:r>
      <w:r w:rsidR="003E7D67" w:rsidRPr="00FC74AB">
        <w:rPr>
          <w:lang w:val="ca-ES"/>
        </w:rPr>
        <w:t xml:space="preserve">ingut </w:t>
      </w:r>
      <w:r w:rsidR="007E16DC" w:rsidRPr="00FC74AB">
        <w:rPr>
          <w:lang w:val="ca-ES"/>
        </w:rPr>
        <w:t>normati</w:t>
      </w:r>
      <w:r w:rsidR="003E7D67" w:rsidRPr="00FC74AB">
        <w:rPr>
          <w:lang w:val="ca-ES"/>
        </w:rPr>
        <w:t>u</w:t>
      </w:r>
      <w:r w:rsidR="007E16DC"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007E16DC" w:rsidRPr="00FC74AB">
        <w:rPr>
          <w:lang w:val="ca-ES"/>
        </w:rPr>
        <w:t xml:space="preserve"> </w:t>
      </w:r>
      <w:r w:rsidR="00D85349" w:rsidRPr="00FC74AB">
        <w:rPr>
          <w:lang w:val="ca-ES"/>
        </w:rPr>
        <w:t>a l’aigua</w:t>
      </w:r>
      <w:r w:rsidR="007E4E7F" w:rsidRPr="00FC74AB">
        <w:rPr>
          <w:lang w:val="ca-ES"/>
        </w:rPr>
        <w:t xml:space="preserve"> i </w:t>
      </w:r>
      <w:r w:rsidR="007E16DC" w:rsidRPr="00FC74AB">
        <w:rPr>
          <w:lang w:val="ca-ES"/>
        </w:rPr>
        <w:t xml:space="preserve">el </w:t>
      </w:r>
      <w:r w:rsidR="007E4E7F" w:rsidRPr="00FC74AB">
        <w:rPr>
          <w:lang w:val="ca-ES"/>
        </w:rPr>
        <w:t>sanejament</w:t>
      </w:r>
      <w:r w:rsidR="007E16DC" w:rsidRPr="00FC74AB">
        <w:rPr>
          <w:lang w:val="ca-ES"/>
        </w:rPr>
        <w:t xml:space="preserve"> a </w:t>
      </w:r>
      <w:r w:rsidR="003E7D67" w:rsidRPr="00FC74AB">
        <w:rPr>
          <w:lang w:val="ca-ES"/>
        </w:rPr>
        <w:t>llarg</w:t>
      </w:r>
      <w:r w:rsidR="007E16DC" w:rsidRPr="00FC74AB">
        <w:rPr>
          <w:lang w:val="ca-ES"/>
        </w:rPr>
        <w:t xml:space="preserve"> </w:t>
      </w:r>
      <w:r w:rsidR="003E7D67" w:rsidRPr="00FC74AB">
        <w:rPr>
          <w:lang w:val="ca-ES"/>
        </w:rPr>
        <w:t>termini</w:t>
      </w:r>
      <w:r w:rsidR="007E16DC" w:rsidRPr="00FC74AB">
        <w:rPr>
          <w:rStyle w:val="FootnoteReference"/>
          <w:lang w:val="ca-ES"/>
        </w:rPr>
        <w:footnoteReference w:id="85"/>
      </w:r>
      <w:r w:rsidR="003E7D67" w:rsidRPr="00FC74AB">
        <w:rPr>
          <w:lang w:val="ca-ES"/>
        </w:rPr>
        <w:t>. Les renegociacion</w:t>
      </w:r>
      <w:r w:rsidR="007E16DC" w:rsidRPr="00FC74AB">
        <w:rPr>
          <w:lang w:val="ca-ES"/>
        </w:rPr>
        <w:t xml:space="preserve">s de </w:t>
      </w:r>
      <w:r w:rsidR="00E31C4A" w:rsidRPr="00FC74AB">
        <w:rPr>
          <w:lang w:val="ca-ES"/>
        </w:rPr>
        <w:t>contractes</w:t>
      </w:r>
      <w:r w:rsidR="003E7D67" w:rsidRPr="00FC74AB">
        <w:rPr>
          <w:lang w:val="ca-ES"/>
        </w:rPr>
        <w:t xml:space="preserve"> despr</w:t>
      </w:r>
      <w:r w:rsidR="007E16DC" w:rsidRPr="00FC74AB">
        <w:rPr>
          <w:lang w:val="ca-ES"/>
        </w:rPr>
        <w:t xml:space="preserve">és de la </w:t>
      </w:r>
      <w:r w:rsidR="007E4E7F" w:rsidRPr="00FC74AB">
        <w:rPr>
          <w:lang w:val="ca-ES"/>
        </w:rPr>
        <w:t>privatització</w:t>
      </w:r>
      <w:r w:rsidR="007E16DC" w:rsidRPr="00FC74AB">
        <w:rPr>
          <w:lang w:val="ca-ES"/>
        </w:rPr>
        <w:t xml:space="preserve"> </w:t>
      </w:r>
      <w:r w:rsidR="003E7D67" w:rsidRPr="00FC74AB">
        <w:rPr>
          <w:lang w:val="ca-ES"/>
        </w:rPr>
        <w:t>a l’Amè</w:t>
      </w:r>
      <w:r w:rsidR="007E16DC" w:rsidRPr="00FC74AB">
        <w:rPr>
          <w:lang w:val="ca-ES"/>
        </w:rPr>
        <w:t>rica L</w:t>
      </w:r>
      <w:r w:rsidR="003E7D67" w:rsidRPr="00FC74AB">
        <w:rPr>
          <w:lang w:val="ca-ES"/>
        </w:rPr>
        <w:t>l</w:t>
      </w:r>
      <w:r w:rsidR="007E16DC" w:rsidRPr="00FC74AB">
        <w:rPr>
          <w:lang w:val="ca-ES"/>
        </w:rPr>
        <w:t xml:space="preserve">atina </w:t>
      </w:r>
      <w:r w:rsidR="003E7D67" w:rsidRPr="00FC74AB">
        <w:rPr>
          <w:lang w:val="ca-ES"/>
        </w:rPr>
        <w:t>sovint van retarda</w:t>
      </w:r>
      <w:r w:rsidR="00D6123B" w:rsidRPr="00FC74AB">
        <w:rPr>
          <w:lang w:val="ca-ES"/>
        </w:rPr>
        <w:t>r</w:t>
      </w:r>
      <w:r w:rsidR="003E7D67" w:rsidRPr="00FC74AB">
        <w:rPr>
          <w:lang w:val="ca-ES"/>
        </w:rPr>
        <w:t xml:space="preserve"> o reduir </w:t>
      </w:r>
      <w:r w:rsidR="005214BF" w:rsidRPr="00FC74AB">
        <w:rPr>
          <w:lang w:val="ca-ES"/>
        </w:rPr>
        <w:t xml:space="preserve">els </w:t>
      </w:r>
      <w:r w:rsidR="003E7D67" w:rsidRPr="00FC74AB">
        <w:rPr>
          <w:lang w:val="ca-ES"/>
        </w:rPr>
        <w:t>nivell</w:t>
      </w:r>
      <w:r w:rsidR="007E16DC" w:rsidRPr="00FC74AB">
        <w:rPr>
          <w:lang w:val="ca-ES"/>
        </w:rPr>
        <w:t>s d</w:t>
      </w:r>
      <w:r w:rsidR="003E7D67" w:rsidRPr="00FC74AB">
        <w:rPr>
          <w:lang w:val="ca-ES"/>
        </w:rPr>
        <w:t>’inversió, j</w:t>
      </w:r>
      <w:r w:rsidR="007E16DC" w:rsidRPr="00FC74AB">
        <w:rPr>
          <w:lang w:val="ca-ES"/>
        </w:rPr>
        <w:t>a que</w:t>
      </w:r>
      <w:r w:rsidR="00B3113E" w:rsidRPr="00FC74AB">
        <w:rPr>
          <w:lang w:val="ca-ES"/>
        </w:rPr>
        <w:t xml:space="preserve"> les </w:t>
      </w:r>
      <w:r w:rsidR="00E31C4A" w:rsidRPr="00FC74AB">
        <w:rPr>
          <w:lang w:val="ca-ES"/>
        </w:rPr>
        <w:t>empreses</w:t>
      </w:r>
      <w:r w:rsidR="003E7D67" w:rsidRPr="00FC74AB">
        <w:rPr>
          <w:lang w:val="ca-ES"/>
        </w:rPr>
        <w:t xml:space="preserve"> no obt</w:t>
      </w:r>
      <w:r w:rsidR="007E16DC" w:rsidRPr="00FC74AB">
        <w:rPr>
          <w:lang w:val="ca-ES"/>
        </w:rPr>
        <w:t xml:space="preserve">enen </w:t>
      </w:r>
      <w:r w:rsidR="003A7E50" w:rsidRPr="00FC74AB">
        <w:rPr>
          <w:lang w:val="ca-ES"/>
        </w:rPr>
        <w:t>beneficis</w:t>
      </w:r>
      <w:r w:rsidR="003E7D67" w:rsidRPr="00FC74AB">
        <w:rPr>
          <w:lang w:val="ca-ES"/>
        </w:rPr>
        <w:t xml:space="preserve"> immediat</w:t>
      </w:r>
      <w:r w:rsidR="007E16DC" w:rsidRPr="00FC74AB">
        <w:rPr>
          <w:lang w:val="ca-ES"/>
        </w:rPr>
        <w:t xml:space="preserve">s </w:t>
      </w:r>
      <w:r w:rsidR="003E7D67" w:rsidRPr="00FC74AB">
        <w:rPr>
          <w:lang w:val="ca-ES"/>
        </w:rPr>
        <w:t xml:space="preserve">ajustant les </w:t>
      </w:r>
      <w:r w:rsidR="003B7411" w:rsidRPr="00FC74AB">
        <w:rPr>
          <w:lang w:val="ca-ES"/>
        </w:rPr>
        <w:t>tarifes</w:t>
      </w:r>
      <w:r w:rsidR="003E7D67" w:rsidRPr="00FC74AB">
        <w:rPr>
          <w:lang w:val="ca-ES"/>
        </w:rPr>
        <w:t xml:space="preserve"> pe</w:t>
      </w:r>
      <w:r w:rsidR="007E16DC" w:rsidRPr="00FC74AB">
        <w:rPr>
          <w:lang w:val="ca-ES"/>
        </w:rPr>
        <w:t>r</w:t>
      </w:r>
      <w:r w:rsidR="00B3113E" w:rsidRPr="00FC74AB">
        <w:rPr>
          <w:lang w:val="ca-ES"/>
        </w:rPr>
        <w:t xml:space="preserve"> les </w:t>
      </w:r>
      <w:r w:rsidR="009F581B" w:rsidRPr="00FC74AB">
        <w:rPr>
          <w:lang w:val="ca-ES"/>
        </w:rPr>
        <w:t>inversions</w:t>
      </w:r>
      <w:r w:rsidR="007E16DC" w:rsidRPr="00FC74AB">
        <w:rPr>
          <w:rStyle w:val="FootnoteReference"/>
          <w:lang w:val="ca-ES"/>
        </w:rPr>
        <w:footnoteReference w:id="86"/>
      </w:r>
      <w:r w:rsidR="007E16DC" w:rsidRPr="00FC74AB">
        <w:rPr>
          <w:lang w:val="ca-ES"/>
        </w:rPr>
        <w:t xml:space="preserve">. </w:t>
      </w:r>
      <w:r w:rsidR="00E40430" w:rsidRPr="00FC74AB">
        <w:rPr>
          <w:lang w:val="ca-ES"/>
        </w:rPr>
        <w:t>Especialment als països en vies de desenvolupament, les demandes de capital privat a curt termini no són compatibles amb la inversió sostinguda en infraestructures, ja que calen molts anys per recuperar els costos i garantir els beneficis</w:t>
      </w:r>
      <w:r w:rsidR="007E16DC" w:rsidRPr="00FC74AB">
        <w:rPr>
          <w:rStyle w:val="FootnoteReference"/>
          <w:lang w:val="ca-ES"/>
        </w:rPr>
        <w:footnoteReference w:id="87"/>
      </w:r>
      <w:r w:rsidR="007E16DC" w:rsidRPr="00FC74AB">
        <w:rPr>
          <w:lang w:val="ca-ES"/>
        </w:rPr>
        <w:t xml:space="preserve">. </w:t>
      </w:r>
      <w:r w:rsidR="003E7D67" w:rsidRPr="00FC74AB">
        <w:rPr>
          <w:lang w:val="ca-ES"/>
        </w:rPr>
        <w:t>Dependre</w:t>
      </w:r>
      <w:r w:rsidR="007E16DC" w:rsidRPr="00FC74AB">
        <w:rPr>
          <w:lang w:val="ca-ES"/>
        </w:rPr>
        <w:t xml:space="preserve"> del </w:t>
      </w:r>
      <w:r w:rsidR="00BE7C83" w:rsidRPr="00FC74AB">
        <w:rPr>
          <w:lang w:val="ca-ES"/>
        </w:rPr>
        <w:t>finançament</w:t>
      </w:r>
      <w:r w:rsidR="007E16DC" w:rsidRPr="00FC74AB">
        <w:rPr>
          <w:lang w:val="ca-ES"/>
        </w:rPr>
        <w:t xml:space="preserve"> públic com</w:t>
      </w:r>
      <w:r w:rsidR="003E7D67" w:rsidRPr="00FC74AB">
        <w:rPr>
          <w:lang w:val="ca-ES"/>
        </w:rPr>
        <w:t xml:space="preserve"> a</w:t>
      </w:r>
      <w:r w:rsidR="007E16DC" w:rsidRPr="00FC74AB">
        <w:rPr>
          <w:lang w:val="ca-ES"/>
        </w:rPr>
        <w:t xml:space="preserve"> </w:t>
      </w:r>
      <w:r w:rsidR="003E7D67" w:rsidRPr="00FC74AB">
        <w:rPr>
          <w:lang w:val="ca-ES"/>
        </w:rPr>
        <w:t xml:space="preserve">font </w:t>
      </w:r>
      <w:r w:rsidR="007E16DC" w:rsidRPr="00FC74AB">
        <w:rPr>
          <w:lang w:val="ca-ES"/>
        </w:rPr>
        <w:t>principal de recursos</w:t>
      </w:r>
      <w:r w:rsidR="003E7D67" w:rsidRPr="00FC74AB">
        <w:rPr>
          <w:kern w:val="0"/>
          <w:lang w:val="ca-ES"/>
        </w:rPr>
        <w:t xml:space="preserve"> </w:t>
      </w:r>
      <w:r w:rsidR="003E7D67" w:rsidRPr="00FC74AB">
        <w:rPr>
          <w:lang w:val="ca-ES"/>
        </w:rPr>
        <w:t xml:space="preserve">és </w:t>
      </w:r>
      <w:r w:rsidR="00DD3A76" w:rsidRPr="00FC74AB">
        <w:rPr>
          <w:lang w:val="ca-ES"/>
        </w:rPr>
        <w:t>una</w:t>
      </w:r>
      <w:r w:rsidR="003E7D67" w:rsidRPr="00FC74AB">
        <w:rPr>
          <w:lang w:val="ca-ES"/>
        </w:rPr>
        <w:t xml:space="preserve"> de les estratègies financeres de les empreses</w:t>
      </w:r>
      <w:r w:rsidR="007E16DC" w:rsidRPr="00FC74AB">
        <w:rPr>
          <w:lang w:val="ca-ES"/>
        </w:rPr>
        <w:t xml:space="preserve">, </w:t>
      </w:r>
      <w:r w:rsidR="003E7D67" w:rsidRPr="00FC74AB">
        <w:rPr>
          <w:lang w:val="ca-ES"/>
        </w:rPr>
        <w:t xml:space="preserve">i això </w:t>
      </w:r>
      <w:r w:rsidR="007E16DC" w:rsidRPr="00FC74AB">
        <w:rPr>
          <w:lang w:val="ca-ES"/>
        </w:rPr>
        <w:t xml:space="preserve">frena </w:t>
      </w:r>
      <w:r w:rsidR="003E7D67" w:rsidRPr="00FC74AB">
        <w:rPr>
          <w:lang w:val="ca-ES"/>
        </w:rPr>
        <w:t xml:space="preserve">les </w:t>
      </w:r>
      <w:r w:rsidR="009F581B" w:rsidRPr="00FC74AB">
        <w:rPr>
          <w:lang w:val="ca-ES"/>
        </w:rPr>
        <w:t>inversions</w:t>
      </w:r>
      <w:r w:rsidR="003E7D67" w:rsidRPr="00FC74AB">
        <w:rPr>
          <w:kern w:val="0"/>
          <w:lang w:val="ca-ES"/>
        </w:rPr>
        <w:t xml:space="preserve"> </w:t>
      </w:r>
      <w:r w:rsidR="003E7D67" w:rsidRPr="00FC74AB">
        <w:rPr>
          <w:lang w:val="ca-ES"/>
        </w:rPr>
        <w:t>pròpies dels subministradors</w:t>
      </w:r>
      <w:r w:rsidR="007E16DC" w:rsidRPr="00FC74AB">
        <w:rPr>
          <w:lang w:val="ca-ES"/>
        </w:rPr>
        <w:t xml:space="preserve">. </w:t>
      </w:r>
      <w:r w:rsidR="003E7D67" w:rsidRPr="00FC74AB">
        <w:rPr>
          <w:lang w:val="ca-ES"/>
        </w:rPr>
        <w:t>A</w:t>
      </w:r>
      <w:r w:rsidR="007E16DC" w:rsidRPr="00FC74AB">
        <w:rPr>
          <w:lang w:val="ca-ES"/>
        </w:rPr>
        <w:t xml:space="preserve">l Senegal, </w:t>
      </w:r>
      <w:r w:rsidR="0048735E" w:rsidRPr="00FC74AB">
        <w:rPr>
          <w:lang w:val="ca-ES"/>
        </w:rPr>
        <w:t>per exemple</w:t>
      </w:r>
      <w:r w:rsidR="007E16DC" w:rsidRPr="00FC74AB">
        <w:rPr>
          <w:lang w:val="ca-ES"/>
        </w:rPr>
        <w:t xml:space="preserve">, el </w:t>
      </w:r>
      <w:r w:rsidR="003E7D67" w:rsidRPr="00FC74AB">
        <w:rPr>
          <w:lang w:val="ca-ES"/>
        </w:rPr>
        <w:t xml:space="preserve">subministrador </w:t>
      </w:r>
      <w:r w:rsidR="004879F7" w:rsidRPr="00FC74AB">
        <w:rPr>
          <w:lang w:val="ca-ES"/>
        </w:rPr>
        <w:t>privat</w:t>
      </w:r>
      <w:r w:rsidR="003E7D67" w:rsidRPr="00FC74AB">
        <w:rPr>
          <w:lang w:val="ca-ES"/>
        </w:rPr>
        <w:t>, durant</w:t>
      </w:r>
      <w:r w:rsidR="007E16DC" w:rsidRPr="00FC74AB">
        <w:rPr>
          <w:lang w:val="ca-ES"/>
        </w:rPr>
        <w:t xml:space="preserve"> un contra</w:t>
      </w:r>
      <w:r w:rsidR="003E7D67" w:rsidRPr="00FC74AB">
        <w:rPr>
          <w:lang w:val="ca-ES"/>
        </w:rPr>
        <w:t>cte</w:t>
      </w:r>
      <w:r w:rsidR="007E16DC" w:rsidRPr="00FC74AB">
        <w:rPr>
          <w:lang w:val="ca-ES"/>
        </w:rPr>
        <w:t xml:space="preserve"> de 10 a</w:t>
      </w:r>
      <w:r w:rsidR="003E7D67" w:rsidRPr="00FC74AB">
        <w:rPr>
          <w:lang w:val="ca-ES"/>
        </w:rPr>
        <w:t xml:space="preserve">nys, </w:t>
      </w:r>
      <w:r w:rsidR="007E16DC" w:rsidRPr="00FC74AB">
        <w:rPr>
          <w:lang w:val="ca-ES"/>
        </w:rPr>
        <w:t>e</w:t>
      </w:r>
      <w:r w:rsidR="003E7D67" w:rsidRPr="00FC74AB">
        <w:rPr>
          <w:lang w:val="ca-ES"/>
        </w:rPr>
        <w:t>s va</w:t>
      </w:r>
      <w:r w:rsidR="007E16DC" w:rsidRPr="00FC74AB">
        <w:rPr>
          <w:lang w:val="ca-ES"/>
        </w:rPr>
        <w:t xml:space="preserve"> compromet</w:t>
      </w:r>
      <w:r w:rsidR="003E7D67" w:rsidRPr="00FC74AB">
        <w:rPr>
          <w:lang w:val="ca-ES"/>
        </w:rPr>
        <w:t>re</w:t>
      </w:r>
      <w:r w:rsidR="007E16DC" w:rsidRPr="00FC74AB">
        <w:rPr>
          <w:lang w:val="ca-ES"/>
        </w:rPr>
        <w:t xml:space="preserve"> a invertir men</w:t>
      </w:r>
      <w:r w:rsidR="003E7D67" w:rsidRPr="00FC74AB">
        <w:rPr>
          <w:lang w:val="ca-ES"/>
        </w:rPr>
        <w:t>y</w:t>
      </w:r>
      <w:r w:rsidR="007E16DC" w:rsidRPr="00FC74AB">
        <w:rPr>
          <w:lang w:val="ca-ES"/>
        </w:rPr>
        <w:t>s d</w:t>
      </w:r>
      <w:r w:rsidR="003E7D67" w:rsidRPr="00FC74AB">
        <w:rPr>
          <w:lang w:val="ca-ES"/>
        </w:rPr>
        <w:t>’una desena part de la qu</w:t>
      </w:r>
      <w:r w:rsidR="007E16DC" w:rsidRPr="00FC74AB">
        <w:rPr>
          <w:lang w:val="ca-ES"/>
        </w:rPr>
        <w:t>anti</w:t>
      </w:r>
      <w:r w:rsidR="003E7D67" w:rsidRPr="00FC74AB">
        <w:rPr>
          <w:lang w:val="ca-ES"/>
        </w:rPr>
        <w:t>tat</w:t>
      </w:r>
      <w:r w:rsidR="007E16DC" w:rsidRPr="00FC74AB">
        <w:rPr>
          <w:lang w:val="ca-ES"/>
        </w:rPr>
        <w:t xml:space="preserve"> invertida pel sector públic</w:t>
      </w:r>
      <w:r w:rsidR="007E4E7F" w:rsidRPr="00FC74AB">
        <w:rPr>
          <w:lang w:val="ca-ES"/>
        </w:rPr>
        <w:t xml:space="preserve"> i</w:t>
      </w:r>
      <w:r w:rsidR="005214BF" w:rsidRPr="00FC74AB">
        <w:rPr>
          <w:lang w:val="ca-ES"/>
        </w:rPr>
        <w:t xml:space="preserve"> els </w:t>
      </w:r>
      <w:r w:rsidR="007E16DC" w:rsidRPr="00FC74AB">
        <w:rPr>
          <w:lang w:val="ca-ES"/>
        </w:rPr>
        <w:t>donants</w:t>
      </w:r>
      <w:r w:rsidR="007E16DC" w:rsidRPr="00FC74AB">
        <w:rPr>
          <w:rStyle w:val="FootnoteReference"/>
          <w:lang w:val="ca-ES"/>
        </w:rPr>
        <w:footnoteReference w:id="88"/>
      </w:r>
      <w:r w:rsidR="007E16DC" w:rsidRPr="00FC74AB">
        <w:rPr>
          <w:lang w:val="ca-ES"/>
        </w:rPr>
        <w:t>.</w:t>
      </w:r>
    </w:p>
    <w:p w14:paraId="583CBFA3" w14:textId="3F0E793F" w:rsidR="007E16DC" w:rsidRPr="00FC74AB" w:rsidRDefault="00CC7045" w:rsidP="00C76D57">
      <w:pPr>
        <w:pStyle w:val="SingleTxt"/>
        <w:numPr>
          <w:ilvl w:val="2"/>
          <w:numId w:val="49"/>
        </w:numPr>
        <w:spacing w:line="240" w:lineRule="atLeast"/>
        <w:ind w:left="1267" w:firstLine="0"/>
        <w:rPr>
          <w:lang w:val="ca-ES"/>
        </w:rPr>
      </w:pPr>
      <w:r w:rsidRPr="00FC74AB">
        <w:rPr>
          <w:lang w:val="ca-ES"/>
        </w:rPr>
        <w:t>Els reptes per a la sostenibilitat són considerables en els contractes de durada determinada que no tenen cap garantia de renovació, ja que els subministradors privats poden tenir pocs incentius per garantir serveis adequats després del període de concessió</w:t>
      </w:r>
      <w:r w:rsidR="007E16DC" w:rsidRPr="00FC74AB">
        <w:rPr>
          <w:lang w:val="ca-ES"/>
        </w:rPr>
        <w:t xml:space="preserve">. </w:t>
      </w:r>
      <w:r w:rsidR="003008D0" w:rsidRPr="00FC74AB">
        <w:rPr>
          <w:lang w:val="ca-ES"/>
        </w:rPr>
        <w:t xml:space="preserve">Per a les autoritats públiques pot resultar complex definir </w:t>
      </w:r>
      <w:r w:rsidR="00B3113E" w:rsidRPr="00FC74AB">
        <w:rPr>
          <w:lang w:val="ca-ES"/>
        </w:rPr>
        <w:t xml:space="preserve">les </w:t>
      </w:r>
      <w:r w:rsidR="004879F7" w:rsidRPr="00FC74AB">
        <w:rPr>
          <w:lang w:val="ca-ES"/>
        </w:rPr>
        <w:t>necessitat</w:t>
      </w:r>
      <w:r w:rsidR="00411F23" w:rsidRPr="00FC74AB">
        <w:rPr>
          <w:lang w:val="ca-ES"/>
        </w:rPr>
        <w:t>s</w:t>
      </w:r>
      <w:r w:rsidR="007E16DC" w:rsidRPr="00FC74AB">
        <w:rPr>
          <w:lang w:val="ca-ES"/>
        </w:rPr>
        <w:t xml:space="preserve"> d</w:t>
      </w:r>
      <w:r w:rsidR="00411F23" w:rsidRPr="00FC74AB">
        <w:rPr>
          <w:lang w:val="ca-ES"/>
        </w:rPr>
        <w:t>’</w:t>
      </w:r>
      <w:r w:rsidR="007E16DC" w:rsidRPr="00FC74AB">
        <w:rPr>
          <w:lang w:val="ca-ES"/>
        </w:rPr>
        <w:t>inversió</w:t>
      </w:r>
      <w:r w:rsidR="00411F23" w:rsidRPr="00FC74AB">
        <w:rPr>
          <w:lang w:val="ca-ES"/>
        </w:rPr>
        <w:t xml:space="preserve"> pe</w:t>
      </w:r>
      <w:r w:rsidR="007E16DC" w:rsidRPr="00FC74AB">
        <w:rPr>
          <w:lang w:val="ca-ES"/>
        </w:rPr>
        <w:t>r</w:t>
      </w:r>
      <w:r w:rsidR="00411F23" w:rsidRPr="00FC74AB">
        <w:rPr>
          <w:lang w:val="ca-ES"/>
        </w:rPr>
        <w:t xml:space="preserve"> a la renovació</w:t>
      </w:r>
      <w:r w:rsidR="007E16DC" w:rsidRPr="00FC74AB">
        <w:rPr>
          <w:lang w:val="ca-ES"/>
        </w:rPr>
        <w:t xml:space="preserve"> de l</w:t>
      </w:r>
      <w:r w:rsidR="00411F23" w:rsidRPr="00FC74AB">
        <w:rPr>
          <w:lang w:val="ca-ES"/>
        </w:rPr>
        <w:t xml:space="preserve">a </w:t>
      </w:r>
      <w:r w:rsidR="007E16DC" w:rsidRPr="00FC74AB">
        <w:rPr>
          <w:lang w:val="ca-ES"/>
        </w:rPr>
        <w:t>infraest</w:t>
      </w:r>
      <w:r w:rsidR="00411F23" w:rsidRPr="00FC74AB">
        <w:rPr>
          <w:lang w:val="ca-ES"/>
        </w:rPr>
        <w:t>ructura durant</w:t>
      </w:r>
      <w:r w:rsidR="007E16DC" w:rsidRPr="00FC74AB">
        <w:rPr>
          <w:lang w:val="ca-ES"/>
        </w:rPr>
        <w:t xml:space="preserve"> la </w:t>
      </w:r>
      <w:r w:rsidR="00411F23" w:rsidRPr="00FC74AB">
        <w:rPr>
          <w:lang w:val="ca-ES"/>
        </w:rPr>
        <w:t>vigència</w:t>
      </w:r>
      <w:r w:rsidR="007E16DC" w:rsidRPr="00FC74AB">
        <w:rPr>
          <w:lang w:val="ca-ES"/>
        </w:rPr>
        <w:t xml:space="preserve"> del contra</w:t>
      </w:r>
      <w:r w:rsidR="00411F23" w:rsidRPr="00FC74AB">
        <w:rPr>
          <w:lang w:val="ca-ES"/>
        </w:rPr>
        <w:t>cte</w:t>
      </w:r>
      <w:r w:rsidR="007E4E7F" w:rsidRPr="00FC74AB">
        <w:rPr>
          <w:lang w:val="ca-ES"/>
        </w:rPr>
        <w:t xml:space="preserve"> i </w:t>
      </w:r>
      <w:r w:rsidR="007E16DC" w:rsidRPr="00FC74AB">
        <w:rPr>
          <w:lang w:val="ca-ES"/>
        </w:rPr>
        <w:t>garanti</w:t>
      </w:r>
      <w:r w:rsidR="00411F23" w:rsidRPr="00FC74AB">
        <w:rPr>
          <w:lang w:val="ca-ES"/>
        </w:rPr>
        <w:t>r-ne el compliment</w:t>
      </w:r>
      <w:r w:rsidR="007E16DC" w:rsidRPr="00FC74AB">
        <w:rPr>
          <w:lang w:val="ca-ES"/>
        </w:rPr>
        <w:t xml:space="preserve">. </w:t>
      </w:r>
      <w:r w:rsidR="004514D8" w:rsidRPr="00FC74AB">
        <w:rPr>
          <w:lang w:val="ca-ES"/>
        </w:rPr>
        <w:t>A</w:t>
      </w:r>
      <w:r w:rsidR="007E16DC" w:rsidRPr="00FC74AB">
        <w:rPr>
          <w:lang w:val="ca-ES"/>
        </w:rPr>
        <w:t xml:space="preserve"> </w:t>
      </w:r>
      <w:r w:rsidR="003E7D67" w:rsidRPr="00FC74AB">
        <w:rPr>
          <w:lang w:val="ca-ES"/>
        </w:rPr>
        <w:t>Anglaterra</w:t>
      </w:r>
      <w:r w:rsidR="007E4E7F" w:rsidRPr="00FC74AB">
        <w:rPr>
          <w:lang w:val="ca-ES"/>
        </w:rPr>
        <w:t xml:space="preserve"> i </w:t>
      </w:r>
      <w:r w:rsidR="00AB0260" w:rsidRPr="00FC74AB">
        <w:rPr>
          <w:lang w:val="ca-ES"/>
        </w:rPr>
        <w:t>Gal·les</w:t>
      </w:r>
      <w:r w:rsidR="00411F23" w:rsidRPr="00FC74AB">
        <w:rPr>
          <w:lang w:val="ca-ES"/>
        </w:rPr>
        <w:t>, on</w:t>
      </w:r>
      <w:r w:rsidR="007E16DC" w:rsidRPr="00FC74AB">
        <w:rPr>
          <w:lang w:val="ca-ES"/>
        </w:rPr>
        <w:t xml:space="preserve"> no existe</w:t>
      </w:r>
      <w:r w:rsidR="00411F23" w:rsidRPr="00FC74AB">
        <w:rPr>
          <w:lang w:val="ca-ES"/>
        </w:rPr>
        <w:t>ixe</w:t>
      </w:r>
      <w:r w:rsidR="007E16DC" w:rsidRPr="00FC74AB">
        <w:rPr>
          <w:lang w:val="ca-ES"/>
        </w:rPr>
        <w:t xml:space="preserve">n </w:t>
      </w:r>
      <w:r w:rsidR="00E31C4A" w:rsidRPr="00FC74AB">
        <w:rPr>
          <w:lang w:val="ca-ES"/>
        </w:rPr>
        <w:t>contractes</w:t>
      </w:r>
      <w:r w:rsidR="00411F23" w:rsidRPr="00FC74AB">
        <w:rPr>
          <w:lang w:val="ca-ES"/>
        </w:rPr>
        <w:t xml:space="preserve"> de </w:t>
      </w:r>
      <w:r w:rsidR="00A21EAC" w:rsidRPr="00FC74AB">
        <w:rPr>
          <w:lang w:val="ca-ES"/>
        </w:rPr>
        <w:t xml:space="preserve">durada </w:t>
      </w:r>
      <w:r w:rsidR="007E16DC" w:rsidRPr="00FC74AB">
        <w:rPr>
          <w:lang w:val="ca-ES"/>
        </w:rPr>
        <w:t>determinada, l</w:t>
      </w:r>
      <w:r w:rsidR="00411F23" w:rsidRPr="00FC74AB">
        <w:rPr>
          <w:lang w:val="ca-ES"/>
        </w:rPr>
        <w:t>’organisme</w:t>
      </w:r>
      <w:r w:rsidR="007E16DC" w:rsidRPr="00FC74AB">
        <w:rPr>
          <w:lang w:val="ca-ES"/>
        </w:rPr>
        <w:t xml:space="preserve"> regulador interv</w:t>
      </w:r>
      <w:r w:rsidR="00411F23" w:rsidRPr="00FC74AB">
        <w:rPr>
          <w:lang w:val="ca-ES"/>
        </w:rPr>
        <w:t>é</w:t>
      </w:r>
      <w:r w:rsidR="007E16DC" w:rsidRPr="00FC74AB">
        <w:rPr>
          <w:lang w:val="ca-ES"/>
        </w:rPr>
        <w:t xml:space="preserve"> </w:t>
      </w:r>
      <w:r w:rsidR="00411F23" w:rsidRPr="00FC74AB">
        <w:rPr>
          <w:lang w:val="ca-ES"/>
        </w:rPr>
        <w:t>directament</w:t>
      </w:r>
      <w:r w:rsidR="007E16DC" w:rsidRPr="00FC74AB">
        <w:rPr>
          <w:rStyle w:val="FootnoteReference"/>
          <w:lang w:val="ca-ES"/>
        </w:rPr>
        <w:footnoteReference w:id="89"/>
      </w:r>
      <w:r w:rsidR="00411F23" w:rsidRPr="00FC74AB">
        <w:rPr>
          <w:lang w:val="ca-ES"/>
        </w:rPr>
        <w:t xml:space="preserve">, però </w:t>
      </w:r>
      <w:r w:rsidR="005214BF" w:rsidRPr="00FC74AB">
        <w:rPr>
          <w:lang w:val="ca-ES"/>
        </w:rPr>
        <w:t xml:space="preserve">els </w:t>
      </w:r>
      <w:r w:rsidR="00411F23" w:rsidRPr="00FC74AB">
        <w:rPr>
          <w:lang w:val="ca-ES"/>
        </w:rPr>
        <w:t>organisme</w:t>
      </w:r>
      <w:r w:rsidR="007E16DC" w:rsidRPr="00FC74AB">
        <w:rPr>
          <w:lang w:val="ca-ES"/>
        </w:rPr>
        <w:t>s reguladors de m</w:t>
      </w:r>
      <w:r w:rsidR="00BC7D1C" w:rsidRPr="00FC74AB">
        <w:rPr>
          <w:lang w:val="ca-ES"/>
        </w:rPr>
        <w:t xml:space="preserve">olts </w:t>
      </w:r>
      <w:r w:rsidR="00E94729" w:rsidRPr="00FC74AB">
        <w:rPr>
          <w:lang w:val="ca-ES"/>
        </w:rPr>
        <w:t>països</w:t>
      </w:r>
      <w:r w:rsidR="007E16DC" w:rsidRPr="00FC74AB">
        <w:rPr>
          <w:lang w:val="ca-ES"/>
        </w:rPr>
        <w:t xml:space="preserve"> no </w:t>
      </w:r>
      <w:r w:rsidR="00BC7D1C" w:rsidRPr="00FC74AB">
        <w:rPr>
          <w:lang w:val="ca-ES"/>
        </w:rPr>
        <w:t>fan aquesta tasca</w:t>
      </w:r>
      <w:r w:rsidR="007E16DC" w:rsidRPr="00FC74AB">
        <w:rPr>
          <w:rStyle w:val="FootnoteReference"/>
          <w:lang w:val="ca-ES"/>
        </w:rPr>
        <w:footnoteReference w:id="90"/>
      </w:r>
      <w:r w:rsidR="007E16DC" w:rsidRPr="00FC74AB">
        <w:rPr>
          <w:lang w:val="ca-ES"/>
        </w:rPr>
        <w:t xml:space="preserve">. </w:t>
      </w:r>
      <w:r w:rsidR="00BC7D1C" w:rsidRPr="00FC74AB">
        <w:rPr>
          <w:lang w:val="ca-ES"/>
        </w:rPr>
        <w:t>A Zà</w:t>
      </w:r>
      <w:r w:rsidR="007E16DC" w:rsidRPr="00FC74AB">
        <w:rPr>
          <w:lang w:val="ca-ES"/>
        </w:rPr>
        <w:t xml:space="preserve">mbia, </w:t>
      </w:r>
      <w:r w:rsidR="00BC7D1C" w:rsidRPr="00FC74AB">
        <w:rPr>
          <w:lang w:val="ca-ES"/>
        </w:rPr>
        <w:t>després d’</w:t>
      </w:r>
      <w:r w:rsidR="007E16DC" w:rsidRPr="00FC74AB">
        <w:rPr>
          <w:lang w:val="ca-ES"/>
        </w:rPr>
        <w:t>una conce</w:t>
      </w:r>
      <w:r w:rsidR="00BC7D1C" w:rsidRPr="00FC74AB">
        <w:rPr>
          <w:lang w:val="ca-ES"/>
        </w:rPr>
        <w:t>ssió</w:t>
      </w:r>
      <w:r w:rsidR="007E16DC" w:rsidRPr="00FC74AB">
        <w:rPr>
          <w:lang w:val="ca-ES"/>
        </w:rPr>
        <w:t xml:space="preserve"> que </w:t>
      </w:r>
      <w:r w:rsidR="00BC7D1C" w:rsidRPr="00FC74AB">
        <w:rPr>
          <w:lang w:val="ca-ES"/>
        </w:rPr>
        <w:t xml:space="preserve">va acabar el </w:t>
      </w:r>
      <w:r w:rsidR="007E16DC" w:rsidRPr="00FC74AB">
        <w:rPr>
          <w:lang w:val="ca-ES"/>
        </w:rPr>
        <w:t xml:space="preserve">2005, </w:t>
      </w:r>
      <w:r w:rsidR="00BC7D1C" w:rsidRPr="00FC74AB">
        <w:rPr>
          <w:lang w:val="ca-ES"/>
        </w:rPr>
        <w:t>e</w:t>
      </w:r>
      <w:r w:rsidR="007E16DC" w:rsidRPr="00FC74AB">
        <w:rPr>
          <w:lang w:val="ca-ES"/>
        </w:rPr>
        <w:t>s</w:t>
      </w:r>
      <w:r w:rsidR="00BC7D1C" w:rsidRPr="00FC74AB">
        <w:rPr>
          <w:lang w:val="ca-ES"/>
        </w:rPr>
        <w:t xml:space="preserve"> va</w:t>
      </w:r>
      <w:r w:rsidR="007E16DC" w:rsidRPr="00FC74AB">
        <w:rPr>
          <w:lang w:val="ca-ES"/>
        </w:rPr>
        <w:t xml:space="preserve"> observ</w:t>
      </w:r>
      <w:r w:rsidR="00BC7D1C" w:rsidRPr="00FC74AB">
        <w:rPr>
          <w:lang w:val="ca-ES"/>
        </w:rPr>
        <w:t>ar que gran part</w:t>
      </w:r>
      <w:r w:rsidR="007E16DC" w:rsidRPr="00FC74AB">
        <w:rPr>
          <w:lang w:val="ca-ES"/>
        </w:rPr>
        <w:t xml:space="preserve"> de la i</w:t>
      </w:r>
      <w:r w:rsidR="00BC7D1C" w:rsidRPr="00FC74AB">
        <w:rPr>
          <w:lang w:val="ca-ES"/>
        </w:rPr>
        <w:t>nfraestructura hídrica existent</w:t>
      </w:r>
      <w:r w:rsidR="007E16DC" w:rsidRPr="00FC74AB">
        <w:rPr>
          <w:lang w:val="ca-ES"/>
        </w:rPr>
        <w:t>, constru</w:t>
      </w:r>
      <w:r w:rsidR="00BC7D1C" w:rsidRPr="00FC74AB">
        <w:rPr>
          <w:lang w:val="ca-ES"/>
        </w:rPr>
        <w:t>ïda a la dè</w:t>
      </w:r>
      <w:r w:rsidR="007E16DC" w:rsidRPr="00FC74AB">
        <w:rPr>
          <w:lang w:val="ca-ES"/>
        </w:rPr>
        <w:t>cada de</w:t>
      </w:r>
      <w:r w:rsidR="00BC7D1C" w:rsidRPr="00FC74AB">
        <w:rPr>
          <w:lang w:val="ca-ES"/>
        </w:rPr>
        <w:t>ls</w:t>
      </w:r>
      <w:r w:rsidR="007E16DC" w:rsidRPr="00FC74AB">
        <w:rPr>
          <w:lang w:val="ca-ES"/>
        </w:rPr>
        <w:t xml:space="preserve"> 70, no s</w:t>
      </w:r>
      <w:r w:rsidR="00BC7D1C" w:rsidRPr="00FC74AB">
        <w:rPr>
          <w:lang w:val="ca-ES"/>
        </w:rPr>
        <w:t>’havia</w:t>
      </w:r>
      <w:r w:rsidR="007E16DC" w:rsidRPr="00FC74AB">
        <w:rPr>
          <w:lang w:val="ca-ES"/>
        </w:rPr>
        <w:t xml:space="preserve"> renova</w:t>
      </w:r>
      <w:r w:rsidR="00BC7D1C" w:rsidRPr="00FC74AB">
        <w:rPr>
          <w:lang w:val="ca-ES"/>
        </w:rPr>
        <w:t>t</w:t>
      </w:r>
      <w:r w:rsidR="007E16DC" w:rsidRPr="00FC74AB">
        <w:rPr>
          <w:lang w:val="ca-ES"/>
        </w:rPr>
        <w:t xml:space="preserve"> ni rehabilita</w:t>
      </w:r>
      <w:r w:rsidR="00BC7D1C" w:rsidRPr="00FC74AB">
        <w:rPr>
          <w:lang w:val="ca-ES"/>
        </w:rPr>
        <w:t>t</w:t>
      </w:r>
      <w:r w:rsidR="007E16DC" w:rsidRPr="00FC74AB">
        <w:rPr>
          <w:lang w:val="ca-ES"/>
        </w:rPr>
        <w:t xml:space="preserve"> des</w:t>
      </w:r>
      <w:r w:rsidR="00BC7D1C" w:rsidRPr="00FC74AB">
        <w:rPr>
          <w:lang w:val="ca-ES"/>
        </w:rPr>
        <w:t xml:space="preserve"> </w:t>
      </w:r>
      <w:r w:rsidR="007E16DC" w:rsidRPr="00FC74AB">
        <w:rPr>
          <w:lang w:val="ca-ES"/>
        </w:rPr>
        <w:t xml:space="preserve">de </w:t>
      </w:r>
      <w:r w:rsidR="00BC7D1C" w:rsidRPr="00FC74AB">
        <w:rPr>
          <w:lang w:val="ca-ES"/>
        </w:rPr>
        <w:t>llavors</w:t>
      </w:r>
      <w:r w:rsidR="007E16DC" w:rsidRPr="00FC74AB">
        <w:rPr>
          <w:lang w:val="ca-ES"/>
        </w:rPr>
        <w:t xml:space="preserve">. La </w:t>
      </w:r>
      <w:r w:rsidR="00BC7D1C" w:rsidRPr="00FC74AB">
        <w:rPr>
          <w:lang w:val="ca-ES"/>
        </w:rPr>
        <w:t xml:space="preserve">manca </w:t>
      </w:r>
      <w:r w:rsidR="007E16DC" w:rsidRPr="00FC74AB">
        <w:rPr>
          <w:lang w:val="ca-ES"/>
        </w:rPr>
        <w:t>d</w:t>
      </w:r>
      <w:r w:rsidR="00BC7D1C" w:rsidRPr="00FC74AB">
        <w:rPr>
          <w:lang w:val="ca-ES"/>
        </w:rPr>
        <w:t>’</w:t>
      </w:r>
      <w:r w:rsidR="007E16DC" w:rsidRPr="00FC74AB">
        <w:rPr>
          <w:lang w:val="ca-ES"/>
        </w:rPr>
        <w:t xml:space="preserve">inversió privada </w:t>
      </w:r>
      <w:r w:rsidR="00BC7D1C" w:rsidRPr="00FC74AB">
        <w:rPr>
          <w:lang w:val="ca-ES"/>
        </w:rPr>
        <w:t>va tenir conseqüències</w:t>
      </w:r>
      <w:r w:rsidR="007E16DC" w:rsidRPr="00FC74AB">
        <w:rPr>
          <w:lang w:val="ca-ES"/>
        </w:rPr>
        <w:t xml:space="preserve"> </w:t>
      </w:r>
      <w:r w:rsidR="00BC7D1C" w:rsidRPr="00FC74AB">
        <w:rPr>
          <w:lang w:val="ca-ES"/>
        </w:rPr>
        <w:t xml:space="preserve">greus per </w:t>
      </w:r>
      <w:r w:rsidR="007E16DC" w:rsidRPr="00FC74AB">
        <w:rPr>
          <w:lang w:val="ca-ES"/>
        </w:rPr>
        <w:t xml:space="preserve">a la </w:t>
      </w:r>
      <w:r w:rsidR="007E4E7F" w:rsidRPr="00FC74AB">
        <w:rPr>
          <w:lang w:val="ca-ES"/>
        </w:rPr>
        <w:t>sostenibilitat</w:t>
      </w:r>
      <w:r w:rsidR="007E16DC" w:rsidRPr="00FC74AB">
        <w:rPr>
          <w:lang w:val="ca-ES"/>
        </w:rPr>
        <w:t xml:space="preserve"> </w:t>
      </w:r>
      <w:r w:rsidR="007E4E7F" w:rsidRPr="00FC74AB">
        <w:rPr>
          <w:lang w:val="ca-ES"/>
        </w:rPr>
        <w:t>dels serveis</w:t>
      </w:r>
      <w:r w:rsidR="007E16DC" w:rsidRPr="00FC74AB">
        <w:rPr>
          <w:rStyle w:val="FootnoteReference"/>
          <w:lang w:val="ca-ES"/>
        </w:rPr>
        <w:footnoteReference w:id="91"/>
      </w:r>
      <w:r w:rsidR="007E16DC" w:rsidRPr="00FC74AB">
        <w:rPr>
          <w:lang w:val="ca-ES"/>
        </w:rPr>
        <w:t>.</w:t>
      </w:r>
    </w:p>
    <w:p w14:paraId="2D90B49F" w14:textId="65221D0D" w:rsidR="007E16DC" w:rsidRPr="00FC74AB" w:rsidRDefault="007E16DC" w:rsidP="00C76D57">
      <w:pPr>
        <w:pStyle w:val="SingleTxt"/>
        <w:numPr>
          <w:ilvl w:val="2"/>
          <w:numId w:val="49"/>
        </w:numPr>
        <w:spacing w:line="240" w:lineRule="atLeast"/>
        <w:ind w:left="1267" w:firstLine="0"/>
        <w:rPr>
          <w:lang w:val="ca-ES"/>
        </w:rPr>
      </w:pPr>
      <w:r w:rsidRPr="00FC74AB">
        <w:rPr>
          <w:lang w:val="ca-ES"/>
        </w:rPr>
        <w:t>L</w:t>
      </w:r>
      <w:r w:rsidR="00C76D57" w:rsidRPr="00FC74AB">
        <w:rPr>
          <w:lang w:val="ca-ES"/>
        </w:rPr>
        <w:t>’</w:t>
      </w:r>
      <w:r w:rsidRPr="00FC74AB">
        <w:rPr>
          <w:lang w:val="ca-ES"/>
        </w:rPr>
        <w:t>escas</w:t>
      </w:r>
      <w:r w:rsidR="00C76D57" w:rsidRPr="00FC74AB">
        <w:rPr>
          <w:lang w:val="ca-ES"/>
        </w:rPr>
        <w:t>setat</w:t>
      </w:r>
      <w:r w:rsidRPr="00FC74AB">
        <w:rPr>
          <w:lang w:val="ca-ES"/>
        </w:rPr>
        <w:t xml:space="preserve"> </w:t>
      </w:r>
      <w:r w:rsidR="00C76D57" w:rsidRPr="00FC74AB">
        <w:rPr>
          <w:lang w:val="ca-ES"/>
        </w:rPr>
        <w:t>d’</w:t>
      </w:r>
      <w:r w:rsidR="003A58C9" w:rsidRPr="00FC74AB">
        <w:rPr>
          <w:lang w:val="ca-ES"/>
        </w:rPr>
        <w:t>aigua</w:t>
      </w:r>
      <w:r w:rsidRPr="00FC74AB">
        <w:rPr>
          <w:lang w:val="ca-ES"/>
        </w:rPr>
        <w:t xml:space="preserve">, cada </w:t>
      </w:r>
      <w:r w:rsidR="00C76D57" w:rsidRPr="00FC74AB">
        <w:rPr>
          <w:lang w:val="ca-ES"/>
        </w:rPr>
        <w:t xml:space="preserve">cop </w:t>
      </w:r>
      <w:r w:rsidR="00DB041B" w:rsidRPr="00FC74AB">
        <w:rPr>
          <w:lang w:val="ca-ES"/>
        </w:rPr>
        <w:t xml:space="preserve">més </w:t>
      </w:r>
      <w:r w:rsidR="00C76D57" w:rsidRPr="00FC74AB">
        <w:rPr>
          <w:lang w:val="ca-ES"/>
        </w:rPr>
        <w:t>freqüent</w:t>
      </w:r>
      <w:r w:rsidRPr="00FC74AB">
        <w:rPr>
          <w:lang w:val="ca-ES"/>
        </w:rPr>
        <w:t>,</w:t>
      </w:r>
      <w:r w:rsidR="007E4E7F" w:rsidRPr="00FC74AB">
        <w:rPr>
          <w:lang w:val="ca-ES"/>
        </w:rPr>
        <w:t xml:space="preserve"> i </w:t>
      </w:r>
      <w:r w:rsidR="00C76D57" w:rsidRPr="00FC74AB">
        <w:rPr>
          <w:lang w:val="ca-ES"/>
        </w:rPr>
        <w:t>altre</w:t>
      </w:r>
      <w:r w:rsidRPr="00FC74AB">
        <w:rPr>
          <w:lang w:val="ca-ES"/>
        </w:rPr>
        <w:t xml:space="preserve">s </w:t>
      </w:r>
      <w:r w:rsidR="00C76D57" w:rsidRPr="00FC74AB">
        <w:rPr>
          <w:lang w:val="ca-ES"/>
        </w:rPr>
        <w:t>esdeveniment</w:t>
      </w:r>
      <w:r w:rsidRPr="00FC74AB">
        <w:rPr>
          <w:lang w:val="ca-ES"/>
        </w:rPr>
        <w:t>s relaciona</w:t>
      </w:r>
      <w:r w:rsidR="00C76D57" w:rsidRPr="00FC74AB">
        <w:rPr>
          <w:lang w:val="ca-ES"/>
        </w:rPr>
        <w:t xml:space="preserve">ts amb </w:t>
      </w:r>
      <w:r w:rsidRPr="00FC74AB">
        <w:rPr>
          <w:lang w:val="ca-ES"/>
        </w:rPr>
        <w:t>el ca</w:t>
      </w:r>
      <w:r w:rsidR="00C76D57" w:rsidRPr="00FC74AB">
        <w:rPr>
          <w:lang w:val="ca-ES"/>
        </w:rPr>
        <w:t>nv</w:t>
      </w:r>
      <w:r w:rsidRPr="00FC74AB">
        <w:rPr>
          <w:lang w:val="ca-ES"/>
        </w:rPr>
        <w:t xml:space="preserve">i </w:t>
      </w:r>
      <w:r w:rsidR="00C76D57" w:rsidRPr="00FC74AB">
        <w:rPr>
          <w:lang w:val="ca-ES"/>
        </w:rPr>
        <w:t>climàtic</w:t>
      </w:r>
      <w:r w:rsidRPr="00FC74AB">
        <w:rPr>
          <w:lang w:val="ca-ES"/>
        </w:rPr>
        <w:t xml:space="preserve"> </w:t>
      </w:r>
      <w:r w:rsidR="00A21EAC" w:rsidRPr="00FC74AB">
        <w:rPr>
          <w:lang w:val="ca-ES"/>
        </w:rPr>
        <w:t>exigeixen</w:t>
      </w:r>
      <w:r w:rsidRPr="00FC74AB">
        <w:rPr>
          <w:lang w:val="ca-ES"/>
        </w:rPr>
        <w:t xml:space="preserve"> una planificació</w:t>
      </w:r>
      <w:r w:rsidR="007E4E7F" w:rsidRPr="00FC74AB">
        <w:rPr>
          <w:lang w:val="ca-ES"/>
        </w:rPr>
        <w:t xml:space="preserve"> i </w:t>
      </w:r>
      <w:r w:rsidR="00C76D57" w:rsidRPr="00FC74AB">
        <w:rPr>
          <w:lang w:val="ca-ES"/>
        </w:rPr>
        <w:t>une</w:t>
      </w:r>
      <w:r w:rsidRPr="00FC74AB">
        <w:rPr>
          <w:lang w:val="ca-ES"/>
        </w:rPr>
        <w:t xml:space="preserve">s </w:t>
      </w:r>
      <w:r w:rsidR="009F581B" w:rsidRPr="00FC74AB">
        <w:rPr>
          <w:lang w:val="ca-ES"/>
        </w:rPr>
        <w:t>inversions</w:t>
      </w:r>
      <w:r w:rsidRPr="00FC74AB">
        <w:rPr>
          <w:lang w:val="ca-ES"/>
        </w:rPr>
        <w:t xml:space="preserve"> </w:t>
      </w:r>
      <w:r w:rsidR="00C76D57" w:rsidRPr="00FC74AB">
        <w:rPr>
          <w:lang w:val="ca-ES"/>
        </w:rPr>
        <w:t>estratègiques</w:t>
      </w:r>
      <w:r w:rsidRPr="00FC74AB">
        <w:rPr>
          <w:lang w:val="ca-ES"/>
        </w:rPr>
        <w:t xml:space="preserve"> que anticip</w:t>
      </w:r>
      <w:r w:rsidR="00C76D57" w:rsidRPr="00FC74AB">
        <w:rPr>
          <w:lang w:val="ca-ES"/>
        </w:rPr>
        <w:t>i</w:t>
      </w:r>
      <w:r w:rsidRPr="00FC74AB">
        <w:rPr>
          <w:lang w:val="ca-ES"/>
        </w:rPr>
        <w:t xml:space="preserve">n </w:t>
      </w:r>
      <w:r w:rsidR="00C76D57" w:rsidRPr="00FC74AB">
        <w:rPr>
          <w:lang w:val="ca-ES"/>
        </w:rPr>
        <w:t>aqueste</w:t>
      </w:r>
      <w:r w:rsidRPr="00FC74AB">
        <w:rPr>
          <w:lang w:val="ca-ES"/>
        </w:rPr>
        <w:t xml:space="preserve">s </w:t>
      </w:r>
      <w:r w:rsidR="00B127EF" w:rsidRPr="00FC74AB">
        <w:rPr>
          <w:lang w:val="ca-ES"/>
        </w:rPr>
        <w:t>situacions</w:t>
      </w:r>
      <w:r w:rsidRPr="00FC74AB">
        <w:rPr>
          <w:lang w:val="ca-ES"/>
        </w:rPr>
        <w:t>. Dur</w:t>
      </w:r>
      <w:r w:rsidR="00C76D57" w:rsidRPr="00FC74AB">
        <w:rPr>
          <w:lang w:val="ca-ES"/>
        </w:rPr>
        <w:t>ant la crisi</w:t>
      </w:r>
      <w:r w:rsidRPr="00FC74AB">
        <w:rPr>
          <w:lang w:val="ca-ES"/>
        </w:rPr>
        <w:t xml:space="preserve"> </w:t>
      </w:r>
      <w:r w:rsidR="0048735E" w:rsidRPr="00FC74AB">
        <w:rPr>
          <w:lang w:val="ca-ES"/>
        </w:rPr>
        <w:t>de l’aigua</w:t>
      </w:r>
      <w:r w:rsidRPr="00FC74AB">
        <w:rPr>
          <w:lang w:val="ca-ES"/>
        </w:rPr>
        <w:t xml:space="preserve"> de 2014 que </w:t>
      </w:r>
      <w:r w:rsidR="00C76D57" w:rsidRPr="00FC74AB">
        <w:rPr>
          <w:lang w:val="ca-ES"/>
        </w:rPr>
        <w:t xml:space="preserve">va </w:t>
      </w:r>
      <w:r w:rsidRPr="00FC74AB">
        <w:rPr>
          <w:lang w:val="ca-ES"/>
        </w:rPr>
        <w:t>as</w:t>
      </w:r>
      <w:r w:rsidR="00C76D57" w:rsidRPr="00FC74AB">
        <w:rPr>
          <w:lang w:val="ca-ES"/>
        </w:rPr>
        <w:t>solar la regió</w:t>
      </w:r>
      <w:r w:rsidRPr="00FC74AB">
        <w:rPr>
          <w:lang w:val="ca-ES"/>
        </w:rPr>
        <w:t xml:space="preserve"> metropolitana de São Paulo (Brasil), l</w:t>
      </w:r>
      <w:r w:rsidR="00C76D57" w:rsidRPr="00FC74AB">
        <w:rPr>
          <w:lang w:val="ca-ES"/>
        </w:rPr>
        <w:t>’</w:t>
      </w:r>
      <w:r w:rsidRPr="00FC74AB">
        <w:rPr>
          <w:lang w:val="ca-ES"/>
        </w:rPr>
        <w:t>empresa encar</w:t>
      </w:r>
      <w:r w:rsidR="00C76D57" w:rsidRPr="00FC74AB">
        <w:rPr>
          <w:lang w:val="ca-ES"/>
        </w:rPr>
        <w:t>re</w:t>
      </w:r>
      <w:r w:rsidRPr="00FC74AB">
        <w:rPr>
          <w:lang w:val="ca-ES"/>
        </w:rPr>
        <w:t>gada sa</w:t>
      </w:r>
      <w:r w:rsidR="00C76D57" w:rsidRPr="00FC74AB">
        <w:rPr>
          <w:lang w:val="ca-ES"/>
        </w:rPr>
        <w:t>bi</w:t>
      </w:r>
      <w:r w:rsidRPr="00FC74AB">
        <w:rPr>
          <w:lang w:val="ca-ES"/>
        </w:rPr>
        <w:t xml:space="preserve">a </w:t>
      </w:r>
      <w:r w:rsidR="00C76D57" w:rsidRPr="00FC74AB">
        <w:rPr>
          <w:lang w:val="ca-ES"/>
        </w:rPr>
        <w:t xml:space="preserve">com a mínim </w:t>
      </w:r>
      <w:r w:rsidRPr="00FC74AB">
        <w:rPr>
          <w:lang w:val="ca-ES"/>
        </w:rPr>
        <w:t>des</w:t>
      </w:r>
      <w:r w:rsidR="00C76D57" w:rsidRPr="00FC74AB">
        <w:rPr>
          <w:lang w:val="ca-ES"/>
        </w:rPr>
        <w:t xml:space="preserve"> </w:t>
      </w:r>
      <w:r w:rsidRPr="00FC74AB">
        <w:rPr>
          <w:lang w:val="ca-ES"/>
        </w:rPr>
        <w:t>del 2009 que p</w:t>
      </w:r>
      <w:r w:rsidR="00C76D57" w:rsidRPr="00FC74AB">
        <w:rPr>
          <w:lang w:val="ca-ES"/>
        </w:rPr>
        <w:t>el</w:t>
      </w:r>
      <w:r w:rsidRPr="00FC74AB">
        <w:rPr>
          <w:lang w:val="ca-ES"/>
        </w:rPr>
        <w:t xml:space="preserve"> 2015 </w:t>
      </w:r>
      <w:r w:rsidR="00C76D57" w:rsidRPr="00FC74AB">
        <w:rPr>
          <w:lang w:val="ca-ES"/>
        </w:rPr>
        <w:t>caldrien nove</w:t>
      </w:r>
      <w:r w:rsidRPr="00FC74AB">
        <w:rPr>
          <w:lang w:val="ca-ES"/>
        </w:rPr>
        <w:t>s f</w:t>
      </w:r>
      <w:r w:rsidR="00C76D57" w:rsidRPr="00FC74AB">
        <w:rPr>
          <w:lang w:val="ca-ES"/>
        </w:rPr>
        <w:t>ont</w:t>
      </w:r>
      <w:r w:rsidRPr="00FC74AB">
        <w:rPr>
          <w:lang w:val="ca-ES"/>
        </w:rPr>
        <w:t xml:space="preserve">s </w:t>
      </w:r>
      <w:r w:rsidR="003A58C9" w:rsidRPr="00FC74AB">
        <w:rPr>
          <w:lang w:val="ca-ES"/>
        </w:rPr>
        <w:t>d’aigua</w:t>
      </w:r>
      <w:r w:rsidR="00C76D57" w:rsidRPr="00FC74AB">
        <w:rPr>
          <w:lang w:val="ca-ES"/>
        </w:rPr>
        <w:t xml:space="preserve"> pe</w:t>
      </w:r>
      <w:r w:rsidRPr="00FC74AB">
        <w:rPr>
          <w:lang w:val="ca-ES"/>
        </w:rPr>
        <w:t>r</w:t>
      </w:r>
      <w:r w:rsidR="00C76D57" w:rsidRPr="00FC74AB">
        <w:rPr>
          <w:lang w:val="ca-ES"/>
        </w:rPr>
        <w:t xml:space="preserve"> </w:t>
      </w:r>
      <w:r w:rsidRPr="00FC74AB">
        <w:rPr>
          <w:lang w:val="ca-ES"/>
        </w:rPr>
        <w:t>garanti</w:t>
      </w:r>
      <w:r w:rsidR="00C76D57" w:rsidRPr="00FC74AB">
        <w:rPr>
          <w:lang w:val="ca-ES"/>
        </w:rPr>
        <w:t>r</w:t>
      </w:r>
      <w:r w:rsidRPr="00FC74AB">
        <w:rPr>
          <w:lang w:val="ca-ES"/>
        </w:rPr>
        <w:t xml:space="preserve"> la </w:t>
      </w:r>
      <w:r w:rsidR="00C76D57" w:rsidRPr="00FC74AB">
        <w:rPr>
          <w:lang w:val="ca-ES"/>
        </w:rPr>
        <w:t>continuïtat</w:t>
      </w:r>
      <w:r w:rsidRPr="00FC74AB">
        <w:rPr>
          <w:lang w:val="ca-ES"/>
        </w:rPr>
        <w:t xml:space="preserve"> del serv</w:t>
      </w:r>
      <w:r w:rsidR="00C76D57" w:rsidRPr="00FC74AB">
        <w:rPr>
          <w:lang w:val="ca-ES"/>
        </w:rPr>
        <w:t>ei</w:t>
      </w:r>
      <w:r w:rsidRPr="00FC74AB">
        <w:rPr>
          <w:lang w:val="ca-ES"/>
        </w:rPr>
        <w:t>.</w:t>
      </w:r>
      <w:r w:rsidR="00C76D57" w:rsidRPr="00FC74AB">
        <w:rPr>
          <w:lang w:val="ca-ES"/>
        </w:rPr>
        <w:t xml:space="preserve"> Malgrat això, </w:t>
      </w:r>
      <w:r w:rsidRPr="00FC74AB">
        <w:rPr>
          <w:lang w:val="ca-ES"/>
        </w:rPr>
        <w:t>l</w:t>
      </w:r>
      <w:r w:rsidR="00C76D57" w:rsidRPr="00FC74AB">
        <w:rPr>
          <w:lang w:val="ca-ES"/>
        </w:rPr>
        <w:t>’</w:t>
      </w:r>
      <w:r w:rsidRPr="00FC74AB">
        <w:rPr>
          <w:lang w:val="ca-ES"/>
        </w:rPr>
        <w:t xml:space="preserve">empresa no </w:t>
      </w:r>
      <w:r w:rsidR="00C76D57" w:rsidRPr="00FC74AB">
        <w:rPr>
          <w:lang w:val="ca-ES"/>
        </w:rPr>
        <w:t>va inve</w:t>
      </w:r>
      <w:r w:rsidRPr="00FC74AB">
        <w:rPr>
          <w:lang w:val="ca-ES"/>
        </w:rPr>
        <w:t>rti</w:t>
      </w:r>
      <w:r w:rsidR="00C76D57" w:rsidRPr="00FC74AB">
        <w:rPr>
          <w:lang w:val="ca-ES"/>
        </w:rPr>
        <w:t>r</w:t>
      </w:r>
      <w:r w:rsidRPr="00FC74AB">
        <w:rPr>
          <w:lang w:val="ca-ES"/>
        </w:rPr>
        <w:t xml:space="preserve"> de manera </w:t>
      </w:r>
      <w:r w:rsidR="00C76D57" w:rsidRPr="00FC74AB">
        <w:rPr>
          <w:lang w:val="ca-ES"/>
        </w:rPr>
        <w:t>preventiva en infraestructura pe</w:t>
      </w:r>
      <w:r w:rsidRPr="00FC74AB">
        <w:rPr>
          <w:lang w:val="ca-ES"/>
        </w:rPr>
        <w:t>r</w:t>
      </w:r>
      <w:r w:rsidR="00C76D57" w:rsidRPr="00FC74AB">
        <w:rPr>
          <w:lang w:val="ca-ES"/>
        </w:rPr>
        <w:t xml:space="preserve"> </w:t>
      </w:r>
      <w:r w:rsidRPr="00FC74AB">
        <w:rPr>
          <w:lang w:val="ca-ES"/>
        </w:rPr>
        <w:t>a la segur</w:t>
      </w:r>
      <w:r w:rsidR="00C76D57" w:rsidRPr="00FC74AB">
        <w:rPr>
          <w:lang w:val="ca-ES"/>
        </w:rPr>
        <w:t>etat</w:t>
      </w:r>
      <w:r w:rsidRPr="00FC74AB">
        <w:rPr>
          <w:lang w:val="ca-ES"/>
        </w:rPr>
        <w:t xml:space="preserve"> hídrica, </w:t>
      </w:r>
      <w:r w:rsidR="00C76D57" w:rsidRPr="00FC74AB">
        <w:rPr>
          <w:lang w:val="ca-ES"/>
        </w:rPr>
        <w:t>amb conseqüències per a milion</w:t>
      </w:r>
      <w:r w:rsidRPr="00FC74AB">
        <w:rPr>
          <w:lang w:val="ca-ES"/>
        </w:rPr>
        <w:t>s d</w:t>
      </w:r>
      <w:r w:rsidR="00C76D57" w:rsidRPr="00FC74AB">
        <w:rPr>
          <w:lang w:val="ca-ES"/>
        </w:rPr>
        <w:t>’usuari</w:t>
      </w:r>
      <w:r w:rsidRPr="00FC74AB">
        <w:rPr>
          <w:lang w:val="ca-ES"/>
        </w:rPr>
        <w:t>s</w:t>
      </w:r>
      <w:r w:rsidRPr="00FC74AB">
        <w:rPr>
          <w:rStyle w:val="FootnoteReference"/>
          <w:lang w:val="ca-ES"/>
        </w:rPr>
        <w:footnoteReference w:id="92"/>
      </w:r>
      <w:r w:rsidRPr="00FC74AB">
        <w:rPr>
          <w:lang w:val="ca-ES"/>
        </w:rPr>
        <w:t xml:space="preserve">. </w:t>
      </w:r>
      <w:r w:rsidR="00C76D57" w:rsidRPr="00FC74AB">
        <w:rPr>
          <w:lang w:val="ca-ES"/>
        </w:rPr>
        <w:t>Tot i així</w:t>
      </w:r>
      <w:r w:rsidRPr="00FC74AB">
        <w:rPr>
          <w:lang w:val="ca-ES"/>
        </w:rPr>
        <w:t>,</w:t>
      </w:r>
      <w:r w:rsidR="005214BF" w:rsidRPr="00FC74AB">
        <w:rPr>
          <w:lang w:val="ca-ES"/>
        </w:rPr>
        <w:t xml:space="preserve"> </w:t>
      </w:r>
      <w:r w:rsidR="00C76D57" w:rsidRPr="00FC74AB">
        <w:rPr>
          <w:lang w:val="ca-ES"/>
        </w:rPr>
        <w:t>durant</w:t>
      </w:r>
      <w:r w:rsidRPr="00FC74AB">
        <w:rPr>
          <w:lang w:val="ca-ES"/>
        </w:rPr>
        <w:t xml:space="preserve"> </w:t>
      </w:r>
      <w:r w:rsidR="00C76D57" w:rsidRPr="00FC74AB">
        <w:rPr>
          <w:lang w:val="ca-ES"/>
        </w:rPr>
        <w:t>aqu</w:t>
      </w:r>
      <w:r w:rsidRPr="00FC74AB">
        <w:rPr>
          <w:lang w:val="ca-ES"/>
        </w:rPr>
        <w:t>es</w:t>
      </w:r>
      <w:r w:rsidR="00C76D57" w:rsidRPr="00FC74AB">
        <w:rPr>
          <w:lang w:val="ca-ES"/>
        </w:rPr>
        <w:t>t període els accionistes van cobrar dividends s</w:t>
      </w:r>
      <w:r w:rsidRPr="00FC74AB">
        <w:rPr>
          <w:lang w:val="ca-ES"/>
        </w:rPr>
        <w:t xml:space="preserve">empre </w:t>
      </w:r>
      <w:r w:rsidR="00C76D57" w:rsidRPr="00FC74AB">
        <w:rPr>
          <w:lang w:val="ca-ES"/>
        </w:rPr>
        <w:t>superior</w:t>
      </w:r>
      <w:r w:rsidRPr="00FC74AB">
        <w:rPr>
          <w:lang w:val="ca-ES"/>
        </w:rPr>
        <w:t xml:space="preserve">s al </w:t>
      </w:r>
      <w:r w:rsidR="00C76D57" w:rsidRPr="00FC74AB">
        <w:rPr>
          <w:lang w:val="ca-ES"/>
        </w:rPr>
        <w:t>llindar mínim</w:t>
      </w:r>
      <w:r w:rsidRPr="00FC74AB">
        <w:rPr>
          <w:lang w:val="ca-ES"/>
        </w:rPr>
        <w:t xml:space="preserve"> estable</w:t>
      </w:r>
      <w:r w:rsidR="00C76D57" w:rsidRPr="00FC74AB">
        <w:rPr>
          <w:lang w:val="ca-ES"/>
        </w:rPr>
        <w:t>rt per llei (el 25 % del superà</w:t>
      </w:r>
      <w:r w:rsidRPr="00FC74AB">
        <w:rPr>
          <w:lang w:val="ca-ES"/>
        </w:rPr>
        <w:t>vit anual)</w:t>
      </w:r>
      <w:r w:rsidR="007E4E7F" w:rsidRPr="00FC74AB">
        <w:rPr>
          <w:lang w:val="ca-ES"/>
        </w:rPr>
        <w:t xml:space="preserve"> i </w:t>
      </w:r>
      <w:r w:rsidR="00C76D57" w:rsidRPr="00FC74AB">
        <w:rPr>
          <w:lang w:val="ca-ES"/>
        </w:rPr>
        <w:t xml:space="preserve">van arribar a </w:t>
      </w:r>
      <w:r w:rsidRPr="00FC74AB">
        <w:rPr>
          <w:lang w:val="ca-ES"/>
        </w:rPr>
        <w:t xml:space="preserve">un </w:t>
      </w:r>
      <w:r w:rsidR="009F581B" w:rsidRPr="00FC74AB">
        <w:rPr>
          <w:lang w:val="ca-ES"/>
        </w:rPr>
        <w:t>màxim</w:t>
      </w:r>
      <w:r w:rsidR="00C76D57" w:rsidRPr="00FC74AB">
        <w:rPr>
          <w:lang w:val="ca-ES"/>
        </w:rPr>
        <w:t xml:space="preserve"> del 43,9 % el </w:t>
      </w:r>
      <w:r w:rsidRPr="00FC74AB">
        <w:rPr>
          <w:lang w:val="ca-ES"/>
        </w:rPr>
        <w:t>2011</w:t>
      </w:r>
      <w:r w:rsidRPr="00FC74AB">
        <w:rPr>
          <w:rStyle w:val="FootnoteReference"/>
          <w:lang w:val="ca-ES"/>
        </w:rPr>
        <w:footnoteReference w:id="93"/>
      </w:r>
      <w:r w:rsidRPr="00FC74AB">
        <w:rPr>
          <w:lang w:val="ca-ES"/>
        </w:rPr>
        <w:t>.</w:t>
      </w:r>
    </w:p>
    <w:p w14:paraId="236DFA86" w14:textId="77777777" w:rsidR="007E16DC" w:rsidRPr="00FC74AB" w:rsidRDefault="007E16DC" w:rsidP="007E16DC">
      <w:pPr>
        <w:pStyle w:val="SingleTxt"/>
        <w:spacing w:after="0" w:line="120" w:lineRule="exact"/>
        <w:rPr>
          <w:sz w:val="10"/>
          <w:lang w:val="ca-ES"/>
        </w:rPr>
      </w:pPr>
    </w:p>
    <w:p w14:paraId="4D30BA73" w14:textId="77777777" w:rsidR="007E16DC" w:rsidRPr="00FC74AB" w:rsidRDefault="007E16DC" w:rsidP="007E16DC">
      <w:pPr>
        <w:pStyle w:val="SingleTxt"/>
        <w:spacing w:after="0" w:line="120" w:lineRule="exact"/>
        <w:rPr>
          <w:sz w:val="10"/>
          <w:lang w:val="ca-ES"/>
        </w:rPr>
      </w:pPr>
    </w:p>
    <w:p w14:paraId="616DAA76" w14:textId="6987F585" w:rsidR="007E16DC" w:rsidRPr="00FC74AB" w:rsidRDefault="007E16DC" w:rsidP="00E037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E.</w:t>
      </w:r>
      <w:r w:rsidRPr="00FC74AB">
        <w:rPr>
          <w:lang w:val="ca-ES"/>
        </w:rPr>
        <w:tab/>
      </w:r>
      <w:r w:rsidR="00E037E5" w:rsidRPr="00FC74AB">
        <w:rPr>
          <w:lang w:val="ca-ES"/>
        </w:rPr>
        <w:t>Accés a la informació, participació i rendició de comptes</w:t>
      </w:r>
    </w:p>
    <w:p w14:paraId="47316528" w14:textId="77777777" w:rsidR="007E16DC" w:rsidRPr="00FC74AB" w:rsidRDefault="007E16DC" w:rsidP="007E16DC">
      <w:pPr>
        <w:pStyle w:val="SingleTxt"/>
        <w:spacing w:after="0" w:line="120" w:lineRule="exact"/>
        <w:rPr>
          <w:sz w:val="10"/>
          <w:lang w:val="ca-ES"/>
        </w:rPr>
      </w:pPr>
    </w:p>
    <w:p w14:paraId="4D0285C6" w14:textId="77777777" w:rsidR="007E16DC" w:rsidRPr="00FC74AB" w:rsidRDefault="007E16DC" w:rsidP="007E16DC">
      <w:pPr>
        <w:pStyle w:val="SingleTxt"/>
        <w:spacing w:after="0" w:line="120" w:lineRule="exact"/>
        <w:rPr>
          <w:sz w:val="10"/>
          <w:lang w:val="ca-ES"/>
        </w:rPr>
      </w:pPr>
    </w:p>
    <w:p w14:paraId="74D2D963" w14:textId="7326E5DF" w:rsidR="007E16DC" w:rsidRPr="00FC74AB" w:rsidRDefault="00CC7045" w:rsidP="0012347D">
      <w:pPr>
        <w:pStyle w:val="SingleTxt"/>
        <w:numPr>
          <w:ilvl w:val="2"/>
          <w:numId w:val="49"/>
        </w:numPr>
        <w:spacing w:line="240" w:lineRule="atLeast"/>
        <w:ind w:left="1267" w:firstLine="0"/>
        <w:rPr>
          <w:lang w:val="ca-ES"/>
        </w:rPr>
      </w:pPr>
      <w:r w:rsidRPr="00FC74AB">
        <w:rPr>
          <w:lang w:val="ca-ES"/>
        </w:rPr>
        <w:t xml:space="preserve">La manca de transparència en els processos de privatització sovint comença abans fins i tot del procés oficial de presa de decisions. Hi ha casos de delegacions de serveis adjudicades a porta tancada i </w:t>
      </w:r>
      <w:r w:rsidR="00A21EAC" w:rsidRPr="00FC74AB">
        <w:rPr>
          <w:lang w:val="ca-ES"/>
        </w:rPr>
        <w:t xml:space="preserve">de </w:t>
      </w:r>
      <w:r w:rsidRPr="00FC74AB">
        <w:rPr>
          <w:lang w:val="ca-ES"/>
        </w:rPr>
        <w:t>negociacions secretes entre empreses i autoritats públiques.</w:t>
      </w:r>
      <w:r w:rsidR="00C76D57" w:rsidRPr="00FC74AB">
        <w:rPr>
          <w:lang w:val="ca-ES"/>
        </w:rPr>
        <w:t xml:space="preserve"> A Nigè</w:t>
      </w:r>
      <w:r w:rsidR="007E16DC" w:rsidRPr="00FC74AB">
        <w:rPr>
          <w:lang w:val="ca-ES"/>
        </w:rPr>
        <w:t>ria,</w:t>
      </w:r>
      <w:r w:rsidR="00B3113E" w:rsidRPr="00FC74AB">
        <w:rPr>
          <w:lang w:val="ca-ES"/>
        </w:rPr>
        <w:t xml:space="preserve"> les </w:t>
      </w:r>
      <w:r w:rsidR="00E31C4A" w:rsidRPr="00FC74AB">
        <w:rPr>
          <w:lang w:val="ca-ES"/>
        </w:rPr>
        <w:t>autoritats</w:t>
      </w:r>
      <w:r w:rsidR="007E16DC" w:rsidRPr="00FC74AB">
        <w:rPr>
          <w:lang w:val="ca-ES"/>
        </w:rPr>
        <w:t xml:space="preserve"> de Lagos </w:t>
      </w:r>
      <w:r w:rsidR="00C76D57" w:rsidRPr="00FC74AB">
        <w:rPr>
          <w:lang w:val="ca-ES"/>
        </w:rPr>
        <w:t xml:space="preserve">van </w:t>
      </w:r>
      <w:r w:rsidR="007E16DC" w:rsidRPr="00FC74AB">
        <w:rPr>
          <w:lang w:val="ca-ES"/>
        </w:rPr>
        <w:t>mostrar</w:t>
      </w:r>
      <w:r w:rsidR="00C76D57" w:rsidRPr="00FC74AB">
        <w:rPr>
          <w:lang w:val="ca-ES"/>
        </w:rPr>
        <w:t xml:space="preserve"> preferè</w:t>
      </w:r>
      <w:r w:rsidR="007E16DC" w:rsidRPr="00FC74AB">
        <w:rPr>
          <w:lang w:val="ca-ES"/>
        </w:rPr>
        <w:t xml:space="preserve">ncia por la </w:t>
      </w:r>
      <w:r w:rsidR="007E4E7F" w:rsidRPr="00FC74AB">
        <w:rPr>
          <w:lang w:val="ca-ES"/>
        </w:rPr>
        <w:t>privatització</w:t>
      </w:r>
      <w:r w:rsidR="00C76D57" w:rsidRPr="00FC74AB">
        <w:rPr>
          <w:lang w:val="ca-ES"/>
        </w:rPr>
        <w:t>, però</w:t>
      </w:r>
      <w:r w:rsidR="007E16DC" w:rsidRPr="00FC74AB">
        <w:rPr>
          <w:lang w:val="ca-ES"/>
        </w:rPr>
        <w:t xml:space="preserve">, </w:t>
      </w:r>
      <w:r w:rsidR="00C76D57" w:rsidRPr="00FC74AB">
        <w:rPr>
          <w:lang w:val="ca-ES"/>
        </w:rPr>
        <w:t xml:space="preserve">tot i </w:t>
      </w:r>
      <w:r w:rsidR="007E16DC" w:rsidRPr="00FC74AB">
        <w:rPr>
          <w:lang w:val="ca-ES"/>
        </w:rPr>
        <w:t>que</w:t>
      </w:r>
      <w:r w:rsidR="00B3113E" w:rsidRPr="00FC74AB">
        <w:rPr>
          <w:lang w:val="ca-ES"/>
        </w:rPr>
        <w:t xml:space="preserve"> les </w:t>
      </w:r>
      <w:r w:rsidR="007E16DC" w:rsidRPr="00FC74AB">
        <w:rPr>
          <w:lang w:val="ca-ES"/>
        </w:rPr>
        <w:t>organi</w:t>
      </w:r>
      <w:r w:rsidR="00C76D57" w:rsidRPr="00FC74AB">
        <w:rPr>
          <w:lang w:val="ca-ES"/>
        </w:rPr>
        <w:t>tzacion</w:t>
      </w:r>
      <w:r w:rsidR="007E16DC" w:rsidRPr="00FC74AB">
        <w:rPr>
          <w:lang w:val="ca-ES"/>
        </w:rPr>
        <w:t>s de la socie</w:t>
      </w:r>
      <w:r w:rsidR="00C76D57" w:rsidRPr="00FC74AB">
        <w:rPr>
          <w:lang w:val="ca-ES"/>
        </w:rPr>
        <w:t xml:space="preserve">tat </w:t>
      </w:r>
      <w:r w:rsidR="007E16DC" w:rsidRPr="00FC74AB">
        <w:rPr>
          <w:lang w:val="ca-ES"/>
        </w:rPr>
        <w:t xml:space="preserve">civil </w:t>
      </w:r>
      <w:r w:rsidR="00C76D57" w:rsidRPr="00FC74AB">
        <w:rPr>
          <w:lang w:val="ca-ES"/>
        </w:rPr>
        <w:t>van demanar</w:t>
      </w:r>
      <w:r w:rsidR="000355E2" w:rsidRPr="00FC74AB">
        <w:rPr>
          <w:lang w:val="ca-ES"/>
        </w:rPr>
        <w:t>-los en múltiples ocasion</w:t>
      </w:r>
      <w:r w:rsidR="007E16DC" w:rsidRPr="00FC74AB">
        <w:rPr>
          <w:lang w:val="ca-ES"/>
        </w:rPr>
        <w:t>s que garanti</w:t>
      </w:r>
      <w:r w:rsidR="000355E2" w:rsidRPr="00FC74AB">
        <w:rPr>
          <w:lang w:val="ca-ES"/>
        </w:rPr>
        <w:t xml:space="preserve">ssin </w:t>
      </w:r>
      <w:r w:rsidR="007E16DC" w:rsidRPr="00FC74AB">
        <w:rPr>
          <w:lang w:val="ca-ES"/>
        </w:rPr>
        <w:t xml:space="preserve">la </w:t>
      </w:r>
      <w:r w:rsidR="000355E2" w:rsidRPr="00FC74AB">
        <w:rPr>
          <w:lang w:val="ca-ES"/>
        </w:rPr>
        <w:t>transparència</w:t>
      </w:r>
      <w:r w:rsidR="007E4E7F" w:rsidRPr="00FC74AB">
        <w:rPr>
          <w:lang w:val="ca-ES"/>
        </w:rPr>
        <w:t xml:space="preserve"> i </w:t>
      </w:r>
      <w:r w:rsidR="007E16DC" w:rsidRPr="00FC74AB">
        <w:rPr>
          <w:lang w:val="ca-ES"/>
        </w:rPr>
        <w:t xml:space="preserve">un </w:t>
      </w:r>
      <w:r w:rsidR="000355E2" w:rsidRPr="00FC74AB">
        <w:rPr>
          <w:lang w:val="ca-ES"/>
        </w:rPr>
        <w:t>procés</w:t>
      </w:r>
      <w:r w:rsidR="007E16DC" w:rsidRPr="00FC74AB">
        <w:rPr>
          <w:lang w:val="ca-ES"/>
        </w:rPr>
        <w:t xml:space="preserve"> participati</w:t>
      </w:r>
      <w:r w:rsidR="000355E2" w:rsidRPr="00FC74AB">
        <w:rPr>
          <w:lang w:val="ca-ES"/>
        </w:rPr>
        <w:t>u</w:t>
      </w:r>
      <w:r w:rsidR="007E16DC" w:rsidRPr="00FC74AB">
        <w:rPr>
          <w:lang w:val="ca-ES"/>
        </w:rPr>
        <w:t xml:space="preserve"> que perm</w:t>
      </w:r>
      <w:r w:rsidR="000355E2" w:rsidRPr="00FC74AB">
        <w:rPr>
          <w:lang w:val="ca-ES"/>
        </w:rPr>
        <w:t>etés</w:t>
      </w:r>
      <w:r w:rsidR="007E16DC" w:rsidRPr="00FC74AB">
        <w:rPr>
          <w:lang w:val="ca-ES"/>
        </w:rPr>
        <w:t xml:space="preserve">, en </w:t>
      </w:r>
      <w:r w:rsidR="000355E2" w:rsidRPr="00FC74AB">
        <w:rPr>
          <w:lang w:val="ca-ES"/>
        </w:rPr>
        <w:t>concret</w:t>
      </w:r>
      <w:r w:rsidR="007E16DC" w:rsidRPr="00FC74AB">
        <w:rPr>
          <w:lang w:val="ca-ES"/>
        </w:rPr>
        <w:t>, la participació de</w:t>
      </w:r>
      <w:r w:rsidR="00B3113E" w:rsidRPr="00FC74AB">
        <w:rPr>
          <w:lang w:val="ca-ES"/>
        </w:rPr>
        <w:t xml:space="preserve"> les </w:t>
      </w:r>
      <w:r w:rsidR="000355E2" w:rsidRPr="00FC74AB">
        <w:rPr>
          <w:lang w:val="ca-ES"/>
        </w:rPr>
        <w:t>dones</w:t>
      </w:r>
      <w:r w:rsidR="007E16DC" w:rsidRPr="00FC74AB">
        <w:rPr>
          <w:lang w:val="ca-ES"/>
        </w:rPr>
        <w:t>,</w:t>
      </w:r>
      <w:r w:rsidR="00B3113E" w:rsidRPr="00FC74AB">
        <w:rPr>
          <w:lang w:val="ca-ES"/>
        </w:rPr>
        <w:t xml:space="preserve"> </w:t>
      </w:r>
      <w:r w:rsidR="00A21EAC" w:rsidRPr="00FC74AB">
        <w:rPr>
          <w:lang w:val="ca-ES"/>
        </w:rPr>
        <w:t xml:space="preserve">es van ignorar </w:t>
      </w:r>
      <w:r w:rsidR="00B3113E" w:rsidRPr="00FC74AB">
        <w:rPr>
          <w:lang w:val="ca-ES"/>
        </w:rPr>
        <w:t xml:space="preserve">les </w:t>
      </w:r>
      <w:r w:rsidR="007E16DC" w:rsidRPr="00FC74AB">
        <w:rPr>
          <w:lang w:val="ca-ES"/>
        </w:rPr>
        <w:t xml:space="preserve">peticions </w:t>
      </w:r>
      <w:r w:rsidR="007E4E7F" w:rsidRPr="00FC74AB">
        <w:rPr>
          <w:lang w:val="ca-ES"/>
        </w:rPr>
        <w:t>i</w:t>
      </w:r>
      <w:r w:rsidR="005214BF" w:rsidRPr="00FC74AB">
        <w:rPr>
          <w:lang w:val="ca-ES"/>
        </w:rPr>
        <w:t xml:space="preserve"> els </w:t>
      </w:r>
      <w:r w:rsidR="000355E2" w:rsidRPr="00FC74AB">
        <w:rPr>
          <w:lang w:val="ca-ES"/>
        </w:rPr>
        <w:t>debat</w:t>
      </w:r>
      <w:r w:rsidR="007E16DC" w:rsidRPr="00FC74AB">
        <w:rPr>
          <w:lang w:val="ca-ES"/>
        </w:rPr>
        <w:t xml:space="preserve">s </w:t>
      </w:r>
      <w:r w:rsidR="000355E2" w:rsidRPr="00FC74AB">
        <w:rPr>
          <w:lang w:val="ca-ES"/>
        </w:rPr>
        <w:t xml:space="preserve">van </w:t>
      </w:r>
      <w:r w:rsidR="007E16DC" w:rsidRPr="00FC74AB">
        <w:rPr>
          <w:lang w:val="ca-ES"/>
        </w:rPr>
        <w:t>continuar</w:t>
      </w:r>
      <w:r w:rsidR="000355E2" w:rsidRPr="00FC74AB">
        <w:rPr>
          <w:lang w:val="ca-ES"/>
        </w:rPr>
        <w:t xml:space="preserve"> sense </w:t>
      </w:r>
      <w:r w:rsidR="007E16DC" w:rsidRPr="00FC74AB">
        <w:rPr>
          <w:lang w:val="ca-ES"/>
        </w:rPr>
        <w:t>l</w:t>
      </w:r>
      <w:r w:rsidR="000355E2" w:rsidRPr="00FC74AB">
        <w:rPr>
          <w:lang w:val="ca-ES"/>
        </w:rPr>
        <w:t>’escrutini públic</w:t>
      </w:r>
      <w:r w:rsidR="007E16DC" w:rsidRPr="00FC74AB">
        <w:rPr>
          <w:rStyle w:val="FootnoteReference"/>
          <w:lang w:val="ca-ES"/>
        </w:rPr>
        <w:footnoteReference w:id="94"/>
      </w:r>
      <w:r w:rsidR="007E16DC" w:rsidRPr="00FC74AB">
        <w:rPr>
          <w:lang w:val="ca-ES"/>
        </w:rPr>
        <w:t xml:space="preserve">. </w:t>
      </w:r>
      <w:r w:rsidRPr="00FC74AB">
        <w:rPr>
          <w:lang w:val="ca-ES"/>
        </w:rPr>
        <w:t xml:space="preserve">Tanmateix, sovint no n’hi ha prou amb divulgar informació perquè les decisions siguin participatives. Els </w:t>
      </w:r>
      <w:r w:rsidR="000355E2" w:rsidRPr="00FC74AB">
        <w:rPr>
          <w:lang w:val="ca-ES"/>
        </w:rPr>
        <w:t>acords contractual</w:t>
      </w:r>
      <w:r w:rsidRPr="00FC74AB">
        <w:rPr>
          <w:lang w:val="ca-ES"/>
        </w:rPr>
        <w:t xml:space="preserve">s i les licitacions públiques són processos molt complexos. Per als no experts, amb les dades tècniques sobre objectius, costos i metodologies d’ajust de les tarifes no n’hi prou per a una participació informada. </w:t>
      </w:r>
      <w:r w:rsidR="0048735E" w:rsidRPr="00FC74AB">
        <w:rPr>
          <w:lang w:val="ca-ES"/>
        </w:rPr>
        <w:t>Per exemple</w:t>
      </w:r>
      <w:r w:rsidR="007E16DC" w:rsidRPr="00FC74AB">
        <w:rPr>
          <w:lang w:val="ca-ES"/>
        </w:rPr>
        <w:t xml:space="preserve">, </w:t>
      </w:r>
      <w:r w:rsidR="000355E2" w:rsidRPr="00FC74AB">
        <w:rPr>
          <w:lang w:val="ca-ES"/>
        </w:rPr>
        <w:t>a</w:t>
      </w:r>
      <w:r w:rsidR="007E16DC" w:rsidRPr="00FC74AB">
        <w:rPr>
          <w:lang w:val="ca-ES"/>
        </w:rPr>
        <w:t xml:space="preserve"> Katmandú,</w:t>
      </w:r>
      <w:r w:rsidR="005214BF" w:rsidRPr="00FC74AB">
        <w:rPr>
          <w:lang w:val="ca-ES"/>
        </w:rPr>
        <w:t xml:space="preserve"> els </w:t>
      </w:r>
      <w:r w:rsidR="007E16DC" w:rsidRPr="00FC74AB">
        <w:rPr>
          <w:lang w:val="ca-ES"/>
        </w:rPr>
        <w:t>documents relaciona</w:t>
      </w:r>
      <w:r w:rsidR="000355E2" w:rsidRPr="00FC74AB">
        <w:rPr>
          <w:lang w:val="ca-ES"/>
        </w:rPr>
        <w:t xml:space="preserve">ts amb </w:t>
      </w:r>
      <w:r w:rsidR="007E16DC" w:rsidRPr="00FC74AB">
        <w:rPr>
          <w:lang w:val="ca-ES"/>
        </w:rPr>
        <w:t>el proc</w:t>
      </w:r>
      <w:r w:rsidR="000355E2" w:rsidRPr="00FC74AB">
        <w:rPr>
          <w:lang w:val="ca-ES"/>
        </w:rPr>
        <w:t>és</w:t>
      </w:r>
      <w:r w:rsidR="007E16DC" w:rsidRPr="00FC74AB">
        <w:rPr>
          <w:lang w:val="ca-ES"/>
        </w:rPr>
        <w:t xml:space="preserve"> de </w:t>
      </w:r>
      <w:r w:rsidR="007E4E7F" w:rsidRPr="00FC74AB">
        <w:rPr>
          <w:lang w:val="ca-ES"/>
        </w:rPr>
        <w:t>privatització</w:t>
      </w:r>
      <w:r w:rsidR="000355E2" w:rsidRPr="00FC74AB">
        <w:rPr>
          <w:lang w:val="ca-ES"/>
        </w:rPr>
        <w:t xml:space="preserve"> </w:t>
      </w:r>
      <w:r w:rsidR="007E16DC" w:rsidRPr="00FC74AB">
        <w:rPr>
          <w:lang w:val="ca-ES"/>
        </w:rPr>
        <w:t>e</w:t>
      </w:r>
      <w:r w:rsidR="000355E2" w:rsidRPr="00FC74AB">
        <w:rPr>
          <w:lang w:val="ca-ES"/>
        </w:rPr>
        <w:t>s van</w:t>
      </w:r>
      <w:r w:rsidR="007E16DC" w:rsidRPr="00FC74AB">
        <w:rPr>
          <w:lang w:val="ca-ES"/>
        </w:rPr>
        <w:t xml:space="preserve"> publicar</w:t>
      </w:r>
      <w:r w:rsidR="000355E2" w:rsidRPr="00FC74AB">
        <w:rPr>
          <w:lang w:val="ca-ES"/>
        </w:rPr>
        <w:t xml:space="preserve"> en anglè</w:t>
      </w:r>
      <w:r w:rsidR="007E16DC" w:rsidRPr="00FC74AB">
        <w:rPr>
          <w:lang w:val="ca-ES"/>
        </w:rPr>
        <w:t>s</w:t>
      </w:r>
      <w:r w:rsidR="007E4E7F" w:rsidRPr="00FC74AB">
        <w:rPr>
          <w:lang w:val="ca-ES"/>
        </w:rPr>
        <w:t xml:space="preserve"> i </w:t>
      </w:r>
      <w:r w:rsidR="007E16DC" w:rsidRPr="00FC74AB">
        <w:rPr>
          <w:lang w:val="ca-ES"/>
        </w:rPr>
        <w:t xml:space="preserve">ni </w:t>
      </w:r>
      <w:r w:rsidR="000355E2" w:rsidRPr="00FC74AB">
        <w:rPr>
          <w:lang w:val="ca-ES"/>
        </w:rPr>
        <w:t xml:space="preserve">tan </w:t>
      </w:r>
      <w:r w:rsidR="007E16DC" w:rsidRPr="00FC74AB">
        <w:rPr>
          <w:lang w:val="ca-ES"/>
        </w:rPr>
        <w:t>s</w:t>
      </w:r>
      <w:r w:rsidR="000355E2" w:rsidRPr="00FC74AB">
        <w:rPr>
          <w:lang w:val="ca-ES"/>
        </w:rPr>
        <w:t xml:space="preserve">ols </w:t>
      </w:r>
      <w:r w:rsidR="007E16DC" w:rsidRPr="00FC74AB">
        <w:rPr>
          <w:lang w:val="ca-ES"/>
        </w:rPr>
        <w:t>e</w:t>
      </w:r>
      <w:r w:rsidR="000355E2" w:rsidRPr="00FC74AB">
        <w:rPr>
          <w:lang w:val="ca-ES"/>
        </w:rPr>
        <w:t>s van</w:t>
      </w:r>
      <w:r w:rsidR="007E16DC" w:rsidRPr="00FC74AB">
        <w:rPr>
          <w:lang w:val="ca-ES"/>
        </w:rPr>
        <w:t xml:space="preserve"> tradu</w:t>
      </w:r>
      <w:r w:rsidR="000355E2" w:rsidRPr="00FC74AB">
        <w:rPr>
          <w:lang w:val="ca-ES"/>
        </w:rPr>
        <w:t>ir al nepalè</w:t>
      </w:r>
      <w:r w:rsidR="007E16DC" w:rsidRPr="00FC74AB">
        <w:rPr>
          <w:lang w:val="ca-ES"/>
        </w:rPr>
        <w:t>s</w:t>
      </w:r>
      <w:r w:rsidR="007E16DC" w:rsidRPr="00FC74AB">
        <w:rPr>
          <w:rStyle w:val="FootnoteReference"/>
          <w:lang w:val="ca-ES"/>
        </w:rPr>
        <w:footnoteReference w:id="95"/>
      </w:r>
      <w:r w:rsidR="007E16DC" w:rsidRPr="00FC74AB">
        <w:rPr>
          <w:lang w:val="ca-ES"/>
        </w:rPr>
        <w:t xml:space="preserve">. </w:t>
      </w:r>
      <w:r w:rsidR="000355E2" w:rsidRPr="00FC74AB">
        <w:rPr>
          <w:lang w:val="ca-ES"/>
        </w:rPr>
        <w:t>A</w:t>
      </w:r>
      <w:r w:rsidR="005214BF" w:rsidRPr="00FC74AB">
        <w:rPr>
          <w:lang w:val="ca-ES"/>
        </w:rPr>
        <w:t xml:space="preserve">ls </w:t>
      </w:r>
      <w:r w:rsidR="00B127EF" w:rsidRPr="00FC74AB">
        <w:rPr>
          <w:lang w:val="ca-ES"/>
        </w:rPr>
        <w:t>Estats Units</w:t>
      </w:r>
      <w:r w:rsidR="007E16DC" w:rsidRPr="00FC74AB">
        <w:rPr>
          <w:lang w:val="ca-ES"/>
        </w:rPr>
        <w:t>,</w:t>
      </w:r>
      <w:r w:rsidR="005214BF" w:rsidRPr="00FC74AB">
        <w:rPr>
          <w:lang w:val="ca-ES"/>
        </w:rPr>
        <w:t xml:space="preserve"> els </w:t>
      </w:r>
      <w:r w:rsidR="007E16DC" w:rsidRPr="00FC74AB">
        <w:rPr>
          <w:lang w:val="ca-ES"/>
        </w:rPr>
        <w:t>go</w:t>
      </w:r>
      <w:r w:rsidR="000355E2" w:rsidRPr="00FC74AB">
        <w:rPr>
          <w:lang w:val="ca-ES"/>
        </w:rPr>
        <w:t>verns estatal</w:t>
      </w:r>
      <w:r w:rsidR="007E16DC" w:rsidRPr="00FC74AB">
        <w:rPr>
          <w:lang w:val="ca-ES"/>
        </w:rPr>
        <w:t xml:space="preserve">s </w:t>
      </w:r>
      <w:r w:rsidR="000355E2" w:rsidRPr="00FC74AB">
        <w:rPr>
          <w:lang w:val="ca-ES"/>
        </w:rPr>
        <w:t xml:space="preserve">van </w:t>
      </w:r>
      <w:r w:rsidR="007E16DC" w:rsidRPr="00FC74AB">
        <w:rPr>
          <w:lang w:val="ca-ES"/>
        </w:rPr>
        <w:t>restringir</w:t>
      </w:r>
      <w:r w:rsidR="000355E2" w:rsidRPr="00FC74AB">
        <w:rPr>
          <w:lang w:val="ca-ES"/>
        </w:rPr>
        <w:t xml:space="preserve"> l’accés públic</w:t>
      </w:r>
      <w:r w:rsidR="007E16DC" w:rsidRPr="00FC74AB">
        <w:rPr>
          <w:lang w:val="ca-ES"/>
        </w:rPr>
        <w:t xml:space="preserve"> a la </w:t>
      </w:r>
      <w:r w:rsidR="000355E2" w:rsidRPr="00FC74AB">
        <w:rPr>
          <w:lang w:val="ca-ES"/>
        </w:rPr>
        <w:t>informació</w:t>
      </w:r>
      <w:r w:rsidR="007E16DC" w:rsidRPr="00FC74AB">
        <w:rPr>
          <w:lang w:val="ca-ES"/>
        </w:rPr>
        <w:t xml:space="preserve"> sobre</w:t>
      </w:r>
      <w:r w:rsidR="00B3113E" w:rsidRPr="00FC74AB">
        <w:rPr>
          <w:lang w:val="ca-ES"/>
        </w:rPr>
        <w:t xml:space="preserve"> les </w:t>
      </w:r>
      <w:r w:rsidR="000355E2" w:rsidRPr="00FC74AB">
        <w:rPr>
          <w:lang w:val="ca-ES"/>
        </w:rPr>
        <w:t>licitacions pe</w:t>
      </w:r>
      <w:r w:rsidR="007E16DC" w:rsidRPr="00FC74AB">
        <w:rPr>
          <w:lang w:val="ca-ES"/>
        </w:rPr>
        <w:t>r</w:t>
      </w:r>
      <w:r w:rsidR="000355E2" w:rsidRPr="00FC74AB">
        <w:rPr>
          <w:lang w:val="ca-ES"/>
        </w:rPr>
        <w:t xml:space="preserve"> </w:t>
      </w:r>
      <w:r w:rsidR="007E16DC" w:rsidRPr="00FC74AB">
        <w:rPr>
          <w:lang w:val="ca-ES"/>
        </w:rPr>
        <w:t xml:space="preserve">a la </w:t>
      </w:r>
      <w:r w:rsidR="007E4E7F" w:rsidRPr="00FC74AB">
        <w:rPr>
          <w:lang w:val="ca-ES"/>
        </w:rPr>
        <w:t>privatització</w:t>
      </w:r>
      <w:r w:rsidR="007E16DC" w:rsidRPr="00FC74AB">
        <w:rPr>
          <w:lang w:val="ca-ES"/>
        </w:rPr>
        <w:t xml:space="preserve"> a</w:t>
      </w:r>
      <w:r w:rsidR="000355E2" w:rsidRPr="00FC74AB">
        <w:rPr>
          <w:lang w:val="ca-ES"/>
        </w:rPr>
        <w:t>bans de signar un contracte</w:t>
      </w:r>
      <w:r w:rsidR="007E16DC" w:rsidRPr="00FC74AB">
        <w:rPr>
          <w:lang w:val="ca-ES"/>
        </w:rPr>
        <w:t>,</w:t>
      </w:r>
      <w:r w:rsidR="007E4E7F" w:rsidRPr="00FC74AB">
        <w:rPr>
          <w:lang w:val="ca-ES"/>
        </w:rPr>
        <w:t xml:space="preserve"> i</w:t>
      </w:r>
      <w:r w:rsidR="00B3113E" w:rsidRPr="00FC74AB">
        <w:rPr>
          <w:lang w:val="ca-ES"/>
        </w:rPr>
        <w:t xml:space="preserve"> les </w:t>
      </w:r>
      <w:r w:rsidR="00E31C4A" w:rsidRPr="00FC74AB">
        <w:rPr>
          <w:lang w:val="ca-ES"/>
        </w:rPr>
        <w:t>empreses</w:t>
      </w:r>
      <w:r w:rsidR="007E16DC" w:rsidRPr="00FC74AB">
        <w:rPr>
          <w:lang w:val="ca-ES"/>
        </w:rPr>
        <w:t xml:space="preserve"> d</w:t>
      </w:r>
      <w:r w:rsidR="00AD3462" w:rsidRPr="00FC74AB">
        <w:rPr>
          <w:lang w:val="ca-ES"/>
        </w:rPr>
        <w:t>’</w:t>
      </w:r>
      <w:r w:rsidR="000355E2" w:rsidRPr="00FC74AB">
        <w:rPr>
          <w:lang w:val="ca-ES"/>
        </w:rPr>
        <w:t>abastament</w:t>
      </w:r>
      <w:r w:rsidR="007E16DC" w:rsidRPr="00FC74AB">
        <w:rPr>
          <w:lang w:val="ca-ES"/>
        </w:rPr>
        <w:t xml:space="preserve"> </w:t>
      </w:r>
      <w:r w:rsidR="003A58C9" w:rsidRPr="00FC74AB">
        <w:rPr>
          <w:lang w:val="ca-ES"/>
        </w:rPr>
        <w:t>d’aigua</w:t>
      </w:r>
      <w:r w:rsidR="007E16DC" w:rsidRPr="00FC74AB">
        <w:rPr>
          <w:lang w:val="ca-ES"/>
        </w:rPr>
        <w:t xml:space="preserve"> </w:t>
      </w:r>
      <w:r w:rsidR="0012347D" w:rsidRPr="00FC74AB">
        <w:rPr>
          <w:lang w:val="ca-ES"/>
        </w:rPr>
        <w:t xml:space="preserve">procuren </w:t>
      </w:r>
      <w:r w:rsidR="007E16DC" w:rsidRPr="00FC74AB">
        <w:rPr>
          <w:lang w:val="ca-ES"/>
        </w:rPr>
        <w:t>activament modificar</w:t>
      </w:r>
      <w:r w:rsidR="00B3113E" w:rsidRPr="00FC74AB">
        <w:rPr>
          <w:lang w:val="ca-ES"/>
        </w:rPr>
        <w:t xml:space="preserve"> les </w:t>
      </w:r>
      <w:r w:rsidR="007E16DC" w:rsidRPr="00FC74AB">
        <w:rPr>
          <w:lang w:val="ca-ES"/>
        </w:rPr>
        <w:t>l</w:t>
      </w:r>
      <w:r w:rsidR="000355E2" w:rsidRPr="00FC74AB">
        <w:rPr>
          <w:lang w:val="ca-ES"/>
        </w:rPr>
        <w:t>leis estatals pe</w:t>
      </w:r>
      <w:r w:rsidR="007E16DC" w:rsidRPr="00FC74AB">
        <w:rPr>
          <w:lang w:val="ca-ES"/>
        </w:rPr>
        <w:t>r excl</w:t>
      </w:r>
      <w:r w:rsidR="000355E2" w:rsidRPr="00FC74AB">
        <w:rPr>
          <w:lang w:val="ca-ES"/>
        </w:rPr>
        <w:t>oure els</w:t>
      </w:r>
      <w:r w:rsidR="005214BF" w:rsidRPr="00FC74AB">
        <w:rPr>
          <w:lang w:val="ca-ES"/>
        </w:rPr>
        <w:t xml:space="preserve"> </w:t>
      </w:r>
      <w:r w:rsidR="000355E2" w:rsidRPr="00FC74AB">
        <w:rPr>
          <w:lang w:val="ca-ES"/>
        </w:rPr>
        <w:t>participant</w:t>
      </w:r>
      <w:r w:rsidR="007E16DC" w:rsidRPr="00FC74AB">
        <w:rPr>
          <w:lang w:val="ca-ES"/>
        </w:rPr>
        <w:t xml:space="preserve">s del </w:t>
      </w:r>
      <w:r w:rsidR="000355E2" w:rsidRPr="00FC74AB">
        <w:rPr>
          <w:lang w:val="ca-ES"/>
        </w:rPr>
        <w:t>procés</w:t>
      </w:r>
      <w:r w:rsidR="007E16DC" w:rsidRPr="00FC74AB">
        <w:rPr>
          <w:lang w:val="ca-ES"/>
        </w:rPr>
        <w:t xml:space="preserve"> de </w:t>
      </w:r>
      <w:r w:rsidR="003C5AF4" w:rsidRPr="00FC74AB">
        <w:rPr>
          <w:lang w:val="ca-ES"/>
        </w:rPr>
        <w:t xml:space="preserve">presa </w:t>
      </w:r>
      <w:r w:rsidR="007E16DC" w:rsidRPr="00FC74AB">
        <w:rPr>
          <w:lang w:val="ca-ES"/>
        </w:rPr>
        <w:t xml:space="preserve">de </w:t>
      </w:r>
      <w:r w:rsidR="000355E2" w:rsidRPr="00FC74AB">
        <w:rPr>
          <w:lang w:val="ca-ES"/>
        </w:rPr>
        <w:t>decisions</w:t>
      </w:r>
      <w:r w:rsidR="007E16DC" w:rsidRPr="00FC74AB">
        <w:rPr>
          <w:rStyle w:val="FootnoteReference"/>
          <w:lang w:val="ca-ES"/>
        </w:rPr>
        <w:footnoteReference w:id="96"/>
      </w:r>
      <w:r w:rsidR="007E16DC" w:rsidRPr="00FC74AB">
        <w:rPr>
          <w:lang w:val="ca-ES"/>
        </w:rPr>
        <w:t>.</w:t>
      </w:r>
    </w:p>
    <w:p w14:paraId="57EAB0B6" w14:textId="0B950D71" w:rsidR="007E16DC" w:rsidRPr="00FC74AB" w:rsidRDefault="00CC7045" w:rsidP="00353B97">
      <w:pPr>
        <w:pStyle w:val="SingleTxt"/>
        <w:numPr>
          <w:ilvl w:val="2"/>
          <w:numId w:val="49"/>
        </w:numPr>
        <w:spacing w:line="240" w:lineRule="atLeast"/>
        <w:ind w:left="1267" w:firstLine="0"/>
        <w:rPr>
          <w:lang w:val="ca-ES"/>
        </w:rPr>
      </w:pPr>
      <w:r w:rsidRPr="00FC74AB">
        <w:rPr>
          <w:lang w:val="ca-ES"/>
        </w:rPr>
        <w:t xml:space="preserve">De vegades la supervisió de l’actuació dels proveïdors en serveis que presten empreses privades es veu compromesa a causa de l’asimetria de la informació. </w:t>
      </w:r>
      <w:r w:rsidR="0012347D" w:rsidRPr="00FC74AB">
        <w:rPr>
          <w:lang w:val="ca-ES"/>
        </w:rPr>
        <w:t>A Sudà</w:t>
      </w:r>
      <w:r w:rsidR="007E16DC" w:rsidRPr="00FC74AB">
        <w:rPr>
          <w:lang w:val="ca-ES"/>
        </w:rPr>
        <w:t>frica,</w:t>
      </w:r>
      <w:r w:rsidR="00B3113E" w:rsidRPr="00FC74AB">
        <w:rPr>
          <w:lang w:val="ca-ES"/>
        </w:rPr>
        <w:t xml:space="preserve"> les </w:t>
      </w:r>
      <w:r w:rsidR="0012347D" w:rsidRPr="00FC74AB">
        <w:rPr>
          <w:lang w:val="ca-ES"/>
        </w:rPr>
        <w:t>organitzacions</w:t>
      </w:r>
      <w:r w:rsidR="007E16DC" w:rsidRPr="00FC74AB">
        <w:rPr>
          <w:lang w:val="ca-ES"/>
        </w:rPr>
        <w:t xml:space="preserve"> de la </w:t>
      </w:r>
      <w:r w:rsidR="0012347D" w:rsidRPr="00FC74AB">
        <w:rPr>
          <w:lang w:val="ca-ES"/>
        </w:rPr>
        <w:t xml:space="preserve">societat civil </w:t>
      </w:r>
      <w:r w:rsidR="007E16DC" w:rsidRPr="00FC74AB">
        <w:rPr>
          <w:lang w:val="ca-ES"/>
        </w:rPr>
        <w:t>e</w:t>
      </w:r>
      <w:r w:rsidR="0012347D" w:rsidRPr="00FC74AB">
        <w:rPr>
          <w:lang w:val="ca-ES"/>
        </w:rPr>
        <w:t>s van</w:t>
      </w:r>
      <w:r w:rsidR="007E16DC" w:rsidRPr="00FC74AB">
        <w:rPr>
          <w:lang w:val="ca-ES"/>
        </w:rPr>
        <w:t xml:space="preserve"> que</w:t>
      </w:r>
      <w:r w:rsidR="0012347D" w:rsidRPr="00FC74AB">
        <w:rPr>
          <w:lang w:val="ca-ES"/>
        </w:rPr>
        <w:t xml:space="preserve">ixar </w:t>
      </w:r>
      <w:r w:rsidR="0028726C" w:rsidRPr="00FC74AB">
        <w:rPr>
          <w:lang w:val="ca-ES"/>
        </w:rPr>
        <w:t xml:space="preserve">perquè </w:t>
      </w:r>
      <w:r w:rsidR="007E16DC" w:rsidRPr="00FC74AB">
        <w:rPr>
          <w:lang w:val="ca-ES"/>
        </w:rPr>
        <w:t>no sab</w:t>
      </w:r>
      <w:r w:rsidR="0012347D" w:rsidRPr="00FC74AB">
        <w:rPr>
          <w:lang w:val="ca-ES"/>
        </w:rPr>
        <w:t>ien si el consorci</w:t>
      </w:r>
      <w:r w:rsidR="007E16DC" w:rsidRPr="00FC74AB">
        <w:rPr>
          <w:lang w:val="ca-ES"/>
        </w:rPr>
        <w:t xml:space="preserve"> </w:t>
      </w:r>
      <w:r w:rsidR="003A58C9" w:rsidRPr="00FC74AB">
        <w:rPr>
          <w:lang w:val="ca-ES"/>
        </w:rPr>
        <w:t>d’aigua</w:t>
      </w:r>
      <w:r w:rsidR="007E4E7F" w:rsidRPr="00FC74AB">
        <w:rPr>
          <w:lang w:val="ca-ES"/>
        </w:rPr>
        <w:t xml:space="preserve"> i sanejament</w:t>
      </w:r>
      <w:r w:rsidR="007E16DC" w:rsidRPr="00FC74AB">
        <w:rPr>
          <w:lang w:val="ca-ES"/>
        </w:rPr>
        <w:t xml:space="preserve"> de </w:t>
      </w:r>
      <w:r w:rsidR="0012347D" w:rsidRPr="00FC74AB">
        <w:rPr>
          <w:lang w:val="ca-ES"/>
        </w:rPr>
        <w:t>Sudàfrica estav</w:t>
      </w:r>
      <w:r w:rsidR="007E16DC" w:rsidRPr="00FC74AB">
        <w:rPr>
          <w:lang w:val="ca-ES"/>
        </w:rPr>
        <w:t>a supervisan</w:t>
      </w:r>
      <w:r w:rsidR="0012347D" w:rsidRPr="00FC74AB">
        <w:rPr>
          <w:lang w:val="ca-ES"/>
        </w:rPr>
        <w:t>t</w:t>
      </w:r>
      <w:r w:rsidR="007E16DC" w:rsidRPr="00FC74AB">
        <w:rPr>
          <w:lang w:val="ca-ES"/>
        </w:rPr>
        <w:t xml:space="preserve"> la </w:t>
      </w:r>
      <w:r w:rsidR="00AB0260" w:rsidRPr="00FC74AB">
        <w:rPr>
          <w:lang w:val="ca-ES"/>
        </w:rPr>
        <w:t>qualitat</w:t>
      </w:r>
      <w:r w:rsidR="007E16DC" w:rsidRPr="00FC74AB">
        <w:rPr>
          <w:lang w:val="ca-ES"/>
        </w:rPr>
        <w:t xml:space="preserve"> </w:t>
      </w:r>
      <w:r w:rsidR="0048735E" w:rsidRPr="00FC74AB">
        <w:rPr>
          <w:lang w:val="ca-ES"/>
        </w:rPr>
        <w:t>de l’aigua</w:t>
      </w:r>
      <w:r w:rsidR="007E16DC" w:rsidRPr="00FC74AB">
        <w:rPr>
          <w:lang w:val="ca-ES"/>
        </w:rPr>
        <w:t>,</w:t>
      </w:r>
      <w:r w:rsidR="007E4E7F" w:rsidRPr="00FC74AB">
        <w:rPr>
          <w:lang w:val="ca-ES"/>
        </w:rPr>
        <w:t xml:space="preserve"> i </w:t>
      </w:r>
      <w:r w:rsidR="0012347D" w:rsidRPr="00FC74AB">
        <w:rPr>
          <w:lang w:val="ca-ES"/>
        </w:rPr>
        <w:t>també</w:t>
      </w:r>
      <w:r w:rsidR="007E16DC" w:rsidRPr="00FC74AB">
        <w:rPr>
          <w:lang w:val="ca-ES"/>
        </w:rPr>
        <w:t xml:space="preserve"> </w:t>
      </w:r>
      <w:r w:rsidR="0028726C" w:rsidRPr="00FC74AB">
        <w:rPr>
          <w:lang w:val="ca-ES"/>
        </w:rPr>
        <w:t>mantenien</w:t>
      </w:r>
      <w:r w:rsidR="0012347D" w:rsidRPr="00FC74AB">
        <w:rPr>
          <w:lang w:val="ca-ES"/>
        </w:rPr>
        <w:t xml:space="preserve"> </w:t>
      </w:r>
      <w:r w:rsidR="007E16DC" w:rsidRPr="00FC74AB">
        <w:rPr>
          <w:lang w:val="ca-ES"/>
        </w:rPr>
        <w:t>que</w:t>
      </w:r>
      <w:r w:rsidR="003C5AF4" w:rsidRPr="00FC74AB">
        <w:rPr>
          <w:lang w:val="ca-ES"/>
        </w:rPr>
        <w:t xml:space="preserve"> no s’havi</w:t>
      </w:r>
      <w:r w:rsidR="00353B97" w:rsidRPr="00FC74AB">
        <w:rPr>
          <w:lang w:val="ca-ES"/>
        </w:rPr>
        <w:t xml:space="preserve">a informat de </w:t>
      </w:r>
      <w:r w:rsidR="00B3113E" w:rsidRPr="00FC74AB">
        <w:rPr>
          <w:lang w:val="ca-ES"/>
        </w:rPr>
        <w:t xml:space="preserve">les </w:t>
      </w:r>
      <w:r w:rsidR="0012347D" w:rsidRPr="00FC74AB">
        <w:rPr>
          <w:lang w:val="ca-ES"/>
        </w:rPr>
        <w:t>clàusule</w:t>
      </w:r>
      <w:r w:rsidR="007E16DC" w:rsidRPr="00FC74AB">
        <w:rPr>
          <w:lang w:val="ca-ES"/>
        </w:rPr>
        <w:t xml:space="preserve">s </w:t>
      </w:r>
      <w:r w:rsidR="0012347D" w:rsidRPr="00FC74AB">
        <w:rPr>
          <w:lang w:val="ca-ES"/>
        </w:rPr>
        <w:t>fonamentals</w:t>
      </w:r>
      <w:r w:rsidR="007E16DC" w:rsidRPr="00FC74AB">
        <w:rPr>
          <w:lang w:val="ca-ES"/>
        </w:rPr>
        <w:t xml:space="preserve"> del </w:t>
      </w:r>
      <w:r w:rsidR="000355E2" w:rsidRPr="00FC74AB">
        <w:rPr>
          <w:lang w:val="ca-ES"/>
        </w:rPr>
        <w:t>contracte</w:t>
      </w:r>
      <w:r w:rsidR="007E16DC" w:rsidRPr="00FC74AB">
        <w:rPr>
          <w:lang w:val="ca-ES"/>
        </w:rPr>
        <w:t xml:space="preserve"> de conce</w:t>
      </w:r>
      <w:r w:rsidR="0012347D" w:rsidRPr="00FC74AB">
        <w:rPr>
          <w:lang w:val="ca-ES"/>
        </w:rPr>
        <w:t>s</w:t>
      </w:r>
      <w:r w:rsidR="007E16DC" w:rsidRPr="00FC74AB">
        <w:rPr>
          <w:lang w:val="ca-ES"/>
        </w:rPr>
        <w:t>sió</w:t>
      </w:r>
      <w:r w:rsidR="007E16DC" w:rsidRPr="00FC74AB">
        <w:rPr>
          <w:rStyle w:val="FootnoteReference"/>
          <w:lang w:val="ca-ES"/>
        </w:rPr>
        <w:footnoteReference w:id="97"/>
      </w:r>
      <w:r w:rsidR="007E16DC" w:rsidRPr="00FC74AB">
        <w:rPr>
          <w:lang w:val="ca-ES"/>
        </w:rPr>
        <w:t>.</w:t>
      </w:r>
    </w:p>
    <w:p w14:paraId="618A18CC" w14:textId="3B6FE9D9" w:rsidR="007E16DC" w:rsidRPr="00FC74AB" w:rsidRDefault="007E16DC" w:rsidP="009404CF">
      <w:pPr>
        <w:pStyle w:val="SingleTxt"/>
        <w:numPr>
          <w:ilvl w:val="2"/>
          <w:numId w:val="49"/>
        </w:numPr>
        <w:spacing w:line="240" w:lineRule="atLeast"/>
        <w:ind w:left="1267" w:firstLine="0"/>
        <w:rPr>
          <w:spacing w:val="2"/>
          <w:w w:val="102"/>
          <w:lang w:val="ca-ES"/>
        </w:rPr>
      </w:pPr>
      <w:r w:rsidRPr="00FC74AB">
        <w:rPr>
          <w:lang w:val="ca-ES"/>
        </w:rPr>
        <w:t>L</w:t>
      </w:r>
      <w:r w:rsidR="0012347D" w:rsidRPr="00FC74AB">
        <w:rPr>
          <w:lang w:val="ca-ES"/>
        </w:rPr>
        <w:t>’escassa</w:t>
      </w:r>
      <w:r w:rsidRPr="00FC74AB">
        <w:rPr>
          <w:lang w:val="ca-ES"/>
        </w:rPr>
        <w:t xml:space="preserve"> </w:t>
      </w:r>
      <w:r w:rsidR="0012347D" w:rsidRPr="00FC74AB">
        <w:rPr>
          <w:lang w:val="ca-ES"/>
        </w:rPr>
        <w:t>transparència</w:t>
      </w:r>
      <w:r w:rsidRPr="00FC74AB">
        <w:rPr>
          <w:lang w:val="ca-ES"/>
        </w:rPr>
        <w:t xml:space="preserve"> </w:t>
      </w:r>
      <w:r w:rsidR="0012347D" w:rsidRPr="00FC74AB">
        <w:rPr>
          <w:lang w:val="ca-ES"/>
        </w:rPr>
        <w:t>financera</w:t>
      </w:r>
      <w:r w:rsidR="007E4E7F" w:rsidRPr="00FC74AB">
        <w:rPr>
          <w:lang w:val="ca-ES"/>
        </w:rPr>
        <w:t xml:space="preserve"> i </w:t>
      </w:r>
      <w:r w:rsidRPr="00FC74AB">
        <w:rPr>
          <w:lang w:val="ca-ES"/>
        </w:rPr>
        <w:t xml:space="preserve">comercial </w:t>
      </w:r>
      <w:r w:rsidR="0012347D" w:rsidRPr="00FC74AB">
        <w:rPr>
          <w:lang w:val="ca-ES"/>
        </w:rPr>
        <w:t>també</w:t>
      </w:r>
      <w:r w:rsidRPr="00FC74AB">
        <w:rPr>
          <w:lang w:val="ca-ES"/>
        </w:rPr>
        <w:t xml:space="preserve"> </w:t>
      </w:r>
      <w:r w:rsidR="0012347D" w:rsidRPr="00FC74AB">
        <w:rPr>
          <w:lang w:val="ca-ES"/>
        </w:rPr>
        <w:t>pot</w:t>
      </w:r>
      <w:r w:rsidRPr="00FC74AB">
        <w:rPr>
          <w:lang w:val="ca-ES"/>
        </w:rPr>
        <w:t xml:space="preserve"> resultar </w:t>
      </w:r>
      <w:r w:rsidR="002452E7" w:rsidRPr="00FC74AB">
        <w:rPr>
          <w:lang w:val="ca-ES"/>
        </w:rPr>
        <w:t>problemàtica</w:t>
      </w:r>
      <w:r w:rsidRPr="00FC74AB">
        <w:rPr>
          <w:lang w:val="ca-ES"/>
        </w:rPr>
        <w:t xml:space="preserve">. </w:t>
      </w:r>
      <w:r w:rsidR="0012347D" w:rsidRPr="00FC74AB">
        <w:rPr>
          <w:lang w:val="ca-ES"/>
        </w:rPr>
        <w:t>A</w:t>
      </w:r>
      <w:r w:rsidRPr="00FC74AB">
        <w:rPr>
          <w:lang w:val="ca-ES"/>
        </w:rPr>
        <w:t xml:space="preserve"> Sof</w:t>
      </w:r>
      <w:r w:rsidR="002452E7" w:rsidRPr="00FC74AB">
        <w:rPr>
          <w:lang w:val="ca-ES"/>
        </w:rPr>
        <w:t>i</w:t>
      </w:r>
      <w:r w:rsidRPr="00FC74AB">
        <w:rPr>
          <w:lang w:val="ca-ES"/>
        </w:rPr>
        <w:t>a</w:t>
      </w:r>
      <w:r w:rsidR="0028726C" w:rsidRPr="00FC74AB">
        <w:rPr>
          <w:lang w:val="ca-ES"/>
        </w:rPr>
        <w:t xml:space="preserve"> (Bulgària)</w:t>
      </w:r>
      <w:r w:rsidRPr="00FC74AB">
        <w:rPr>
          <w:lang w:val="ca-ES"/>
        </w:rPr>
        <w:t>,</w:t>
      </w:r>
      <w:r w:rsidR="00B3113E" w:rsidRPr="00FC74AB">
        <w:rPr>
          <w:lang w:val="ca-ES"/>
        </w:rPr>
        <w:t xml:space="preserve"> les </w:t>
      </w:r>
      <w:r w:rsidR="0012347D" w:rsidRPr="00FC74AB">
        <w:rPr>
          <w:lang w:val="ca-ES"/>
        </w:rPr>
        <w:t>organitzacions</w:t>
      </w:r>
      <w:r w:rsidRPr="00FC74AB">
        <w:rPr>
          <w:lang w:val="ca-ES"/>
        </w:rPr>
        <w:t xml:space="preserve"> de la </w:t>
      </w:r>
      <w:r w:rsidR="0012347D" w:rsidRPr="00FC74AB">
        <w:rPr>
          <w:lang w:val="ca-ES"/>
        </w:rPr>
        <w:t>societat</w:t>
      </w:r>
      <w:r w:rsidRPr="00FC74AB">
        <w:rPr>
          <w:lang w:val="ca-ES"/>
        </w:rPr>
        <w:t xml:space="preserve"> civil </w:t>
      </w:r>
      <w:r w:rsidR="002452E7" w:rsidRPr="00FC74AB">
        <w:rPr>
          <w:lang w:val="ca-ES"/>
        </w:rPr>
        <w:t>van recoll</w:t>
      </w:r>
      <w:r w:rsidRPr="00FC74AB">
        <w:rPr>
          <w:lang w:val="ca-ES"/>
        </w:rPr>
        <w:t>ir</w:t>
      </w:r>
      <w:r w:rsidR="002452E7" w:rsidRPr="00FC74AB">
        <w:rPr>
          <w:lang w:val="ca-ES"/>
        </w:rPr>
        <w:t xml:space="preserve"> signatures pe</w:t>
      </w:r>
      <w:r w:rsidRPr="00FC74AB">
        <w:rPr>
          <w:lang w:val="ca-ES"/>
        </w:rPr>
        <w:t>r</w:t>
      </w:r>
      <w:r w:rsidR="002452E7" w:rsidRPr="00FC74AB">
        <w:rPr>
          <w:lang w:val="ca-ES"/>
        </w:rPr>
        <w:t xml:space="preserve"> </w:t>
      </w:r>
      <w:r w:rsidRPr="00FC74AB">
        <w:rPr>
          <w:lang w:val="ca-ES"/>
        </w:rPr>
        <w:t xml:space="preserve">avaluar un </w:t>
      </w:r>
      <w:r w:rsidR="000355E2" w:rsidRPr="00FC74AB">
        <w:rPr>
          <w:lang w:val="ca-ES"/>
        </w:rPr>
        <w:t>contracte</w:t>
      </w:r>
      <w:r w:rsidRPr="00FC74AB">
        <w:rPr>
          <w:lang w:val="ca-ES"/>
        </w:rPr>
        <w:t xml:space="preserve"> </w:t>
      </w:r>
      <w:r w:rsidR="004879F7" w:rsidRPr="00FC74AB">
        <w:rPr>
          <w:lang w:val="ca-ES"/>
        </w:rPr>
        <w:t>privat</w:t>
      </w:r>
      <w:r w:rsidRPr="00FC74AB">
        <w:rPr>
          <w:lang w:val="ca-ES"/>
        </w:rPr>
        <w:t xml:space="preserve"> </w:t>
      </w:r>
      <w:r w:rsidR="002452E7" w:rsidRPr="00FC74AB">
        <w:rPr>
          <w:lang w:val="ca-ES"/>
        </w:rPr>
        <w:t xml:space="preserve">amb </w:t>
      </w:r>
      <w:r w:rsidRPr="00FC74AB">
        <w:rPr>
          <w:lang w:val="ca-ES"/>
        </w:rPr>
        <w:t xml:space="preserve">Sofiyska Voda, filial de Veolia, </w:t>
      </w:r>
      <w:r w:rsidR="0028726C" w:rsidRPr="00FC74AB">
        <w:rPr>
          <w:lang w:val="ca-ES"/>
        </w:rPr>
        <w:t xml:space="preserve">per </w:t>
      </w:r>
      <w:r w:rsidR="002452E7" w:rsidRPr="00FC74AB">
        <w:rPr>
          <w:lang w:val="ca-ES"/>
        </w:rPr>
        <w:t>manca</w:t>
      </w:r>
      <w:r w:rsidRPr="00FC74AB">
        <w:rPr>
          <w:lang w:val="ca-ES"/>
        </w:rPr>
        <w:t xml:space="preserve"> de </w:t>
      </w:r>
      <w:r w:rsidR="0012347D" w:rsidRPr="00FC74AB">
        <w:rPr>
          <w:lang w:val="ca-ES"/>
        </w:rPr>
        <w:t>transparència</w:t>
      </w:r>
      <w:r w:rsidRPr="00FC74AB">
        <w:rPr>
          <w:lang w:val="ca-ES"/>
        </w:rPr>
        <w:t xml:space="preserve">, </w:t>
      </w:r>
      <w:r w:rsidR="002452E7" w:rsidRPr="00FC74AB">
        <w:rPr>
          <w:lang w:val="ca-ES"/>
        </w:rPr>
        <w:t>salari</w:t>
      </w:r>
      <w:r w:rsidRPr="00FC74AB">
        <w:rPr>
          <w:lang w:val="ca-ES"/>
        </w:rPr>
        <w:t>s desproporciona</w:t>
      </w:r>
      <w:r w:rsidR="002452E7" w:rsidRPr="00FC74AB">
        <w:rPr>
          <w:lang w:val="ca-ES"/>
        </w:rPr>
        <w:t>t</w:t>
      </w:r>
      <w:r w:rsidRPr="00FC74AB">
        <w:rPr>
          <w:lang w:val="ca-ES"/>
        </w:rPr>
        <w:t>s</w:t>
      </w:r>
      <w:r w:rsidR="007E4E7F" w:rsidRPr="00FC74AB">
        <w:rPr>
          <w:lang w:val="ca-ES"/>
        </w:rPr>
        <w:t xml:space="preserve"> i </w:t>
      </w:r>
      <w:r w:rsidR="002452E7" w:rsidRPr="00FC74AB">
        <w:rPr>
          <w:lang w:val="ca-ES"/>
        </w:rPr>
        <w:t>pèrdue</w:t>
      </w:r>
      <w:r w:rsidRPr="00FC74AB">
        <w:rPr>
          <w:lang w:val="ca-ES"/>
        </w:rPr>
        <w:t xml:space="preserve">s </w:t>
      </w:r>
      <w:r w:rsidR="002452E7" w:rsidRPr="00FC74AB">
        <w:rPr>
          <w:lang w:val="ca-ES"/>
        </w:rPr>
        <w:t>financere</w:t>
      </w:r>
      <w:r w:rsidRPr="00FC74AB">
        <w:rPr>
          <w:lang w:val="ca-ES"/>
        </w:rPr>
        <w:t>s</w:t>
      </w:r>
      <w:r w:rsidRPr="00FC74AB">
        <w:rPr>
          <w:rStyle w:val="FootnoteReference"/>
          <w:spacing w:val="2"/>
          <w:w w:val="102"/>
          <w:lang w:val="ca-ES"/>
        </w:rPr>
        <w:footnoteReference w:id="98"/>
      </w:r>
      <w:r w:rsidRPr="00FC74AB">
        <w:rPr>
          <w:lang w:val="ca-ES"/>
        </w:rPr>
        <w:t xml:space="preserve">. </w:t>
      </w:r>
      <w:r w:rsidR="002452E7" w:rsidRPr="00FC74AB">
        <w:rPr>
          <w:lang w:val="ca-ES"/>
        </w:rPr>
        <w:t>A</w:t>
      </w:r>
      <w:r w:rsidRPr="00FC74AB">
        <w:rPr>
          <w:lang w:val="ca-ES"/>
        </w:rPr>
        <w:t xml:space="preserve"> Espa</w:t>
      </w:r>
      <w:r w:rsidR="002452E7" w:rsidRPr="00FC74AB">
        <w:rPr>
          <w:lang w:val="ca-ES"/>
        </w:rPr>
        <w:t>nya</w:t>
      </w:r>
      <w:r w:rsidRPr="00FC74AB">
        <w:rPr>
          <w:lang w:val="ca-ES"/>
        </w:rPr>
        <w:t xml:space="preserve">, </w:t>
      </w:r>
      <w:r w:rsidR="002452E7" w:rsidRPr="00FC74AB">
        <w:rPr>
          <w:lang w:val="ca-ES"/>
        </w:rPr>
        <w:t>q</w:t>
      </w:r>
      <w:r w:rsidRPr="00FC74AB">
        <w:rPr>
          <w:lang w:val="ca-ES"/>
        </w:rPr>
        <w:t>uan e</w:t>
      </w:r>
      <w:r w:rsidR="002452E7" w:rsidRPr="00FC74AB">
        <w:rPr>
          <w:lang w:val="ca-ES"/>
        </w:rPr>
        <w:t>s va</w:t>
      </w:r>
      <w:r w:rsidRPr="00FC74AB">
        <w:rPr>
          <w:lang w:val="ca-ES"/>
        </w:rPr>
        <w:t xml:space="preserve"> produ</w:t>
      </w:r>
      <w:r w:rsidR="002452E7" w:rsidRPr="00FC74AB">
        <w:rPr>
          <w:lang w:val="ca-ES"/>
        </w:rPr>
        <w:t xml:space="preserve">ir </w:t>
      </w:r>
      <w:r w:rsidRPr="00FC74AB">
        <w:rPr>
          <w:lang w:val="ca-ES"/>
        </w:rPr>
        <w:t>la crisi</w:t>
      </w:r>
      <w:r w:rsidR="002452E7" w:rsidRPr="00FC74AB">
        <w:rPr>
          <w:lang w:val="ca-ES"/>
        </w:rPr>
        <w:t xml:space="preserve"> econò</w:t>
      </w:r>
      <w:r w:rsidRPr="00FC74AB">
        <w:rPr>
          <w:lang w:val="ca-ES"/>
        </w:rPr>
        <w:t>mica de</w:t>
      </w:r>
      <w:r w:rsidR="002452E7" w:rsidRPr="00FC74AB">
        <w:rPr>
          <w:lang w:val="ca-ES"/>
        </w:rPr>
        <w:t>l</w:t>
      </w:r>
      <w:r w:rsidRPr="00FC74AB">
        <w:rPr>
          <w:lang w:val="ca-ES"/>
        </w:rPr>
        <w:t xml:space="preserve"> 2008, s</w:t>
      </w:r>
      <w:r w:rsidR="002452E7" w:rsidRPr="00FC74AB">
        <w:rPr>
          <w:lang w:val="ca-ES"/>
        </w:rPr>
        <w:t>uposadament es va tallar el servei a unes 500.000 persones, però</w:t>
      </w:r>
      <w:r w:rsidRPr="00FC74AB">
        <w:rPr>
          <w:lang w:val="ca-ES"/>
        </w:rPr>
        <w:t xml:space="preserve"> en reali</w:t>
      </w:r>
      <w:r w:rsidR="002452E7" w:rsidRPr="00FC74AB">
        <w:rPr>
          <w:lang w:val="ca-ES"/>
        </w:rPr>
        <w:t>tat aqu</w:t>
      </w:r>
      <w:r w:rsidRPr="00FC74AB">
        <w:rPr>
          <w:lang w:val="ca-ES"/>
        </w:rPr>
        <w:t>es</w:t>
      </w:r>
      <w:r w:rsidR="002452E7" w:rsidRPr="00FC74AB">
        <w:rPr>
          <w:lang w:val="ca-ES"/>
        </w:rPr>
        <w:t>ta x</w:t>
      </w:r>
      <w:r w:rsidRPr="00FC74AB">
        <w:rPr>
          <w:lang w:val="ca-ES"/>
        </w:rPr>
        <w:t>ifra</w:t>
      </w:r>
      <w:r w:rsidR="0028726C" w:rsidRPr="00FC74AB">
        <w:rPr>
          <w:lang w:val="ca-ES"/>
        </w:rPr>
        <w:t xml:space="preserve"> es considera una subestimació</w:t>
      </w:r>
      <w:r w:rsidRPr="00FC74AB">
        <w:rPr>
          <w:lang w:val="ca-ES"/>
        </w:rPr>
        <w:t xml:space="preserve"> </w:t>
      </w:r>
      <w:r w:rsidR="002452E7" w:rsidRPr="00FC74AB">
        <w:rPr>
          <w:lang w:val="ca-ES"/>
        </w:rPr>
        <w:t xml:space="preserve">perquè </w:t>
      </w:r>
      <w:r w:rsidRPr="00FC74AB">
        <w:rPr>
          <w:lang w:val="ca-ES"/>
        </w:rPr>
        <w:t xml:space="preserve">el </w:t>
      </w:r>
      <w:r w:rsidR="002452E7" w:rsidRPr="00FC74AB">
        <w:rPr>
          <w:lang w:val="ca-ES"/>
        </w:rPr>
        <w:t xml:space="preserve">subministrador </w:t>
      </w:r>
      <w:r w:rsidR="004879F7" w:rsidRPr="00FC74AB">
        <w:rPr>
          <w:lang w:val="ca-ES"/>
        </w:rPr>
        <w:t>privat</w:t>
      </w:r>
      <w:r w:rsidRPr="00FC74AB">
        <w:rPr>
          <w:lang w:val="ca-ES"/>
        </w:rPr>
        <w:t xml:space="preserve"> </w:t>
      </w:r>
      <w:r w:rsidR="003C5AF4" w:rsidRPr="00FC74AB">
        <w:rPr>
          <w:lang w:val="ca-ES"/>
        </w:rPr>
        <w:t xml:space="preserve">es </w:t>
      </w:r>
      <w:r w:rsidR="002452E7" w:rsidRPr="00FC74AB">
        <w:rPr>
          <w:lang w:val="ca-ES"/>
        </w:rPr>
        <w:t>va</w:t>
      </w:r>
      <w:r w:rsidRPr="00FC74AB">
        <w:rPr>
          <w:lang w:val="ca-ES"/>
        </w:rPr>
        <w:t xml:space="preserve"> resisti</w:t>
      </w:r>
      <w:r w:rsidR="002452E7" w:rsidRPr="00FC74AB">
        <w:rPr>
          <w:lang w:val="ca-ES"/>
        </w:rPr>
        <w:t>r</w:t>
      </w:r>
      <w:r w:rsidRPr="00FC74AB">
        <w:rPr>
          <w:lang w:val="ca-ES"/>
        </w:rPr>
        <w:t xml:space="preserve"> a revelar la </w:t>
      </w:r>
      <w:r w:rsidR="000355E2" w:rsidRPr="00FC74AB">
        <w:rPr>
          <w:lang w:val="ca-ES"/>
        </w:rPr>
        <w:t>informació</w:t>
      </w:r>
      <w:r w:rsidRPr="00FC74AB">
        <w:rPr>
          <w:rStyle w:val="FootnoteReference"/>
          <w:spacing w:val="2"/>
          <w:w w:val="102"/>
          <w:lang w:val="ca-ES"/>
        </w:rPr>
        <w:footnoteReference w:id="99"/>
      </w:r>
      <w:r w:rsidRPr="00FC74AB">
        <w:rPr>
          <w:lang w:val="ca-ES"/>
        </w:rPr>
        <w:t>.</w:t>
      </w:r>
    </w:p>
    <w:p w14:paraId="09E62C6B" w14:textId="044628FA" w:rsidR="007E16DC" w:rsidRPr="00FC74AB" w:rsidRDefault="007E16DC" w:rsidP="00ED78FF">
      <w:pPr>
        <w:pStyle w:val="SingleTxt"/>
        <w:numPr>
          <w:ilvl w:val="2"/>
          <w:numId w:val="49"/>
        </w:numPr>
        <w:spacing w:line="240" w:lineRule="atLeast"/>
        <w:ind w:left="1267" w:firstLine="0"/>
        <w:rPr>
          <w:lang w:val="ca-ES"/>
        </w:rPr>
      </w:pPr>
      <w:r w:rsidRPr="00FC74AB">
        <w:rPr>
          <w:lang w:val="ca-ES"/>
        </w:rPr>
        <w:t xml:space="preserve">La </w:t>
      </w:r>
      <w:r w:rsidR="002452E7" w:rsidRPr="00FC74AB">
        <w:rPr>
          <w:lang w:val="ca-ES"/>
        </w:rPr>
        <w:t xml:space="preserve">manca </w:t>
      </w:r>
      <w:r w:rsidRPr="00FC74AB">
        <w:rPr>
          <w:lang w:val="ca-ES"/>
        </w:rPr>
        <w:t xml:space="preserve">de </w:t>
      </w:r>
      <w:r w:rsidR="0012347D" w:rsidRPr="00FC74AB">
        <w:rPr>
          <w:lang w:val="ca-ES"/>
        </w:rPr>
        <w:t>transparència</w:t>
      </w:r>
      <w:r w:rsidR="007E4E7F" w:rsidRPr="00FC74AB">
        <w:rPr>
          <w:lang w:val="ca-ES"/>
        </w:rPr>
        <w:t xml:space="preserve"> i </w:t>
      </w:r>
      <w:r w:rsidR="002452E7" w:rsidRPr="00FC74AB">
        <w:rPr>
          <w:lang w:val="ca-ES"/>
        </w:rPr>
        <w:t>de rendició</w:t>
      </w:r>
      <w:r w:rsidRPr="00FC74AB">
        <w:rPr>
          <w:lang w:val="ca-ES"/>
        </w:rPr>
        <w:t xml:space="preserve"> de </w:t>
      </w:r>
      <w:r w:rsidR="00E31C4A" w:rsidRPr="00FC74AB">
        <w:rPr>
          <w:lang w:val="ca-ES"/>
        </w:rPr>
        <w:t>comptes</w:t>
      </w:r>
      <w:r w:rsidRPr="00FC74AB">
        <w:rPr>
          <w:lang w:val="ca-ES"/>
        </w:rPr>
        <w:t xml:space="preserve"> </w:t>
      </w:r>
      <w:r w:rsidR="0012347D" w:rsidRPr="00FC74AB">
        <w:rPr>
          <w:lang w:val="ca-ES"/>
        </w:rPr>
        <w:t>també</w:t>
      </w:r>
      <w:r w:rsidRPr="00FC74AB">
        <w:rPr>
          <w:lang w:val="ca-ES"/>
        </w:rPr>
        <w:t xml:space="preserve"> </w:t>
      </w:r>
      <w:r w:rsidR="002452E7" w:rsidRPr="00FC74AB">
        <w:rPr>
          <w:lang w:val="ca-ES"/>
        </w:rPr>
        <w:t xml:space="preserve">genera </w:t>
      </w:r>
      <w:r w:rsidRPr="00FC74AB">
        <w:rPr>
          <w:lang w:val="ca-ES"/>
        </w:rPr>
        <w:t>dificulta</w:t>
      </w:r>
      <w:r w:rsidR="002452E7" w:rsidRPr="00FC74AB">
        <w:rPr>
          <w:lang w:val="ca-ES"/>
        </w:rPr>
        <w:t>ts pe</w:t>
      </w:r>
      <w:r w:rsidRPr="00FC74AB">
        <w:rPr>
          <w:lang w:val="ca-ES"/>
        </w:rPr>
        <w:t>r</w:t>
      </w:r>
      <w:r w:rsidR="002452E7" w:rsidRPr="00FC74AB">
        <w:rPr>
          <w:lang w:val="ca-ES"/>
        </w:rPr>
        <w:t xml:space="preserve"> </w:t>
      </w:r>
      <w:r w:rsidRPr="00FC74AB">
        <w:rPr>
          <w:lang w:val="ca-ES"/>
        </w:rPr>
        <w:t>a</w:t>
      </w:r>
      <w:r w:rsidR="00B3113E" w:rsidRPr="00FC74AB">
        <w:rPr>
          <w:lang w:val="ca-ES"/>
        </w:rPr>
        <w:t xml:space="preserve"> les </w:t>
      </w:r>
      <w:r w:rsidR="002452E7" w:rsidRPr="00FC74AB">
        <w:rPr>
          <w:lang w:val="ca-ES"/>
        </w:rPr>
        <w:t>iniciative</w:t>
      </w:r>
      <w:r w:rsidRPr="00FC74AB">
        <w:rPr>
          <w:lang w:val="ca-ES"/>
        </w:rPr>
        <w:t>s de des</w:t>
      </w:r>
      <w:r w:rsidR="007E4E7F" w:rsidRPr="00FC74AB">
        <w:rPr>
          <w:lang w:val="ca-ES"/>
        </w:rPr>
        <w:t>privatització</w:t>
      </w:r>
      <w:r w:rsidRPr="00FC74AB">
        <w:rPr>
          <w:lang w:val="ca-ES"/>
        </w:rPr>
        <w:t xml:space="preserve">. </w:t>
      </w:r>
      <w:r w:rsidR="002452E7" w:rsidRPr="00FC74AB">
        <w:rPr>
          <w:lang w:val="ca-ES"/>
        </w:rPr>
        <w:t>A</w:t>
      </w:r>
      <w:r w:rsidRPr="00FC74AB">
        <w:rPr>
          <w:lang w:val="ca-ES"/>
        </w:rPr>
        <w:t xml:space="preserve"> Terrassa (</w:t>
      </w:r>
      <w:r w:rsidR="002452E7" w:rsidRPr="00FC74AB">
        <w:rPr>
          <w:lang w:val="ca-ES"/>
        </w:rPr>
        <w:t>Espanya</w:t>
      </w:r>
      <w:r w:rsidRPr="00FC74AB">
        <w:rPr>
          <w:lang w:val="ca-ES"/>
        </w:rPr>
        <w:t xml:space="preserve">), </w:t>
      </w:r>
      <w:r w:rsidR="00BF2DB3" w:rsidRPr="00FC74AB">
        <w:rPr>
          <w:lang w:val="ca-ES"/>
        </w:rPr>
        <w:t xml:space="preserve">es va </w:t>
      </w:r>
      <w:r w:rsidR="00ED78FF" w:rsidRPr="00FC74AB">
        <w:rPr>
          <w:lang w:val="ca-ES"/>
        </w:rPr>
        <w:t xml:space="preserve">adjudicar </w:t>
      </w:r>
      <w:r w:rsidR="00BF2DB3" w:rsidRPr="00FC74AB">
        <w:rPr>
          <w:lang w:val="ca-ES"/>
        </w:rPr>
        <w:t xml:space="preserve">al subministrador </w:t>
      </w:r>
      <w:r w:rsidRPr="00FC74AB">
        <w:rPr>
          <w:lang w:val="ca-ES"/>
        </w:rPr>
        <w:t>una conce</w:t>
      </w:r>
      <w:r w:rsidR="00BF2DB3" w:rsidRPr="00FC74AB">
        <w:rPr>
          <w:lang w:val="ca-ES"/>
        </w:rPr>
        <w:t>s</w:t>
      </w:r>
      <w:r w:rsidRPr="00FC74AB">
        <w:rPr>
          <w:lang w:val="ca-ES"/>
        </w:rPr>
        <w:t>sió</w:t>
      </w:r>
      <w:r w:rsidR="00BF2DB3" w:rsidRPr="00FC74AB">
        <w:rPr>
          <w:lang w:val="ca-ES"/>
        </w:rPr>
        <w:t xml:space="preserve"> per </w:t>
      </w:r>
      <w:r w:rsidRPr="00FC74AB">
        <w:rPr>
          <w:lang w:val="ca-ES"/>
        </w:rPr>
        <w:t>75 a</w:t>
      </w:r>
      <w:r w:rsidR="00BF2DB3" w:rsidRPr="00FC74AB">
        <w:rPr>
          <w:lang w:val="ca-ES"/>
        </w:rPr>
        <w:t xml:space="preserve">nys </w:t>
      </w:r>
      <w:r w:rsidR="007E4E7F" w:rsidRPr="00FC74AB">
        <w:rPr>
          <w:lang w:val="ca-ES"/>
        </w:rPr>
        <w:t xml:space="preserve">i </w:t>
      </w:r>
      <w:r w:rsidR="00BF2DB3" w:rsidRPr="00FC74AB">
        <w:rPr>
          <w:lang w:val="ca-ES"/>
        </w:rPr>
        <w:t>el municipi</w:t>
      </w:r>
      <w:r w:rsidRPr="00FC74AB">
        <w:rPr>
          <w:lang w:val="ca-ES"/>
        </w:rPr>
        <w:t xml:space="preserve"> </w:t>
      </w:r>
      <w:r w:rsidR="00BF2DB3" w:rsidRPr="00FC74AB">
        <w:rPr>
          <w:lang w:val="ca-ES"/>
        </w:rPr>
        <w:t xml:space="preserve">va </w:t>
      </w:r>
      <w:r w:rsidRPr="00FC74AB">
        <w:rPr>
          <w:lang w:val="ca-ES"/>
        </w:rPr>
        <w:t>decidi</w:t>
      </w:r>
      <w:r w:rsidR="00BF2DB3" w:rsidRPr="00FC74AB">
        <w:rPr>
          <w:lang w:val="ca-ES"/>
        </w:rPr>
        <w:t xml:space="preserve">r reprendre </w:t>
      </w:r>
      <w:r w:rsidR="005214BF" w:rsidRPr="00FC74AB">
        <w:rPr>
          <w:lang w:val="ca-ES"/>
        </w:rPr>
        <w:t xml:space="preserve">els </w:t>
      </w:r>
      <w:r w:rsidR="003B7411" w:rsidRPr="00FC74AB">
        <w:rPr>
          <w:lang w:val="ca-ES"/>
        </w:rPr>
        <w:t>serveis</w:t>
      </w:r>
      <w:r w:rsidRPr="00FC74AB">
        <w:rPr>
          <w:lang w:val="ca-ES"/>
        </w:rPr>
        <w:t xml:space="preserve"> a</w:t>
      </w:r>
      <w:r w:rsidR="00BF2DB3" w:rsidRPr="00FC74AB">
        <w:rPr>
          <w:lang w:val="ca-ES"/>
        </w:rPr>
        <w:t>bans de la finalització</w:t>
      </w:r>
      <w:r w:rsidRPr="00FC74AB">
        <w:rPr>
          <w:lang w:val="ca-ES"/>
        </w:rPr>
        <w:t xml:space="preserve"> del </w:t>
      </w:r>
      <w:r w:rsidR="000355E2" w:rsidRPr="00FC74AB">
        <w:rPr>
          <w:lang w:val="ca-ES"/>
        </w:rPr>
        <w:t>contracte</w:t>
      </w:r>
      <w:r w:rsidRPr="00FC74AB">
        <w:rPr>
          <w:lang w:val="ca-ES"/>
        </w:rPr>
        <w:t>. Desp</w:t>
      </w:r>
      <w:r w:rsidR="00BF2DB3" w:rsidRPr="00FC74AB">
        <w:rPr>
          <w:lang w:val="ca-ES"/>
        </w:rPr>
        <w:t>r</w:t>
      </w:r>
      <w:r w:rsidRPr="00FC74AB">
        <w:rPr>
          <w:lang w:val="ca-ES"/>
        </w:rPr>
        <w:t>és de la remunicipali</w:t>
      </w:r>
      <w:r w:rsidR="00BF2DB3" w:rsidRPr="00FC74AB">
        <w:rPr>
          <w:lang w:val="ca-ES"/>
        </w:rPr>
        <w:t>tzació</w:t>
      </w:r>
      <w:r w:rsidRPr="00FC74AB">
        <w:rPr>
          <w:lang w:val="ca-ES"/>
        </w:rPr>
        <w:t>,</w:t>
      </w:r>
      <w:r w:rsidR="00B3113E" w:rsidRPr="00FC74AB">
        <w:rPr>
          <w:lang w:val="ca-ES"/>
        </w:rPr>
        <w:t xml:space="preserve"> les </w:t>
      </w:r>
      <w:r w:rsidR="00E31C4A" w:rsidRPr="00FC74AB">
        <w:rPr>
          <w:lang w:val="ca-ES"/>
        </w:rPr>
        <w:t>autoritats</w:t>
      </w:r>
      <w:r w:rsidR="00BF2DB3" w:rsidRPr="00FC74AB">
        <w:rPr>
          <w:lang w:val="ca-ES"/>
        </w:rPr>
        <w:t xml:space="preserve"> local</w:t>
      </w:r>
      <w:r w:rsidRPr="00FC74AB">
        <w:rPr>
          <w:lang w:val="ca-ES"/>
        </w:rPr>
        <w:t xml:space="preserve">s </w:t>
      </w:r>
      <w:r w:rsidR="003C5AF4" w:rsidRPr="00FC74AB">
        <w:rPr>
          <w:lang w:val="ca-ES"/>
        </w:rPr>
        <w:t xml:space="preserve">es </w:t>
      </w:r>
      <w:r w:rsidR="00BF2DB3" w:rsidRPr="00FC74AB">
        <w:rPr>
          <w:lang w:val="ca-ES"/>
        </w:rPr>
        <w:t>van adonar</w:t>
      </w:r>
      <w:r w:rsidRPr="00FC74AB">
        <w:rPr>
          <w:lang w:val="ca-ES"/>
        </w:rPr>
        <w:t xml:space="preserve"> que </w:t>
      </w:r>
      <w:r w:rsidR="00BF2DB3" w:rsidRPr="00FC74AB">
        <w:rPr>
          <w:lang w:val="ca-ES"/>
        </w:rPr>
        <w:t xml:space="preserve">s’havien esborrat </w:t>
      </w:r>
      <w:r w:rsidRPr="00FC74AB">
        <w:rPr>
          <w:lang w:val="ca-ES"/>
        </w:rPr>
        <w:t>to</w:t>
      </w:r>
      <w:r w:rsidR="00BF2DB3" w:rsidRPr="00FC74AB">
        <w:rPr>
          <w:lang w:val="ca-ES"/>
        </w:rPr>
        <w:t xml:space="preserve">tes les dades emmagatzemades als ordinadors, cosa que va fer </w:t>
      </w:r>
      <w:r w:rsidRPr="00FC74AB">
        <w:rPr>
          <w:lang w:val="ca-ES"/>
        </w:rPr>
        <w:t>dif</w:t>
      </w:r>
      <w:r w:rsidR="00BF2DB3" w:rsidRPr="00FC74AB">
        <w:rPr>
          <w:lang w:val="ca-ES"/>
        </w:rPr>
        <w:t>ícil buscar i utilitzar</w:t>
      </w:r>
      <w:r w:rsidRPr="00FC74AB">
        <w:rPr>
          <w:lang w:val="ca-ES"/>
        </w:rPr>
        <w:t xml:space="preserve"> </w:t>
      </w:r>
      <w:r w:rsidR="000355E2" w:rsidRPr="00FC74AB">
        <w:rPr>
          <w:lang w:val="ca-ES"/>
        </w:rPr>
        <w:t>informació</w:t>
      </w:r>
      <w:r w:rsidR="00BF2DB3" w:rsidRPr="00FC74AB">
        <w:rPr>
          <w:lang w:val="ca-ES"/>
        </w:rPr>
        <w:t xml:space="preserve"> fiable per</w:t>
      </w:r>
      <w:r w:rsidRPr="00FC74AB">
        <w:rPr>
          <w:lang w:val="ca-ES"/>
        </w:rPr>
        <w:t xml:space="preserve"> gestionar </w:t>
      </w:r>
      <w:r w:rsidR="00BF2DB3" w:rsidRPr="00FC74AB">
        <w:rPr>
          <w:lang w:val="ca-ES"/>
        </w:rPr>
        <w:t>adeq</w:t>
      </w:r>
      <w:r w:rsidRPr="00FC74AB">
        <w:rPr>
          <w:lang w:val="ca-ES"/>
        </w:rPr>
        <w:t>uada</w:t>
      </w:r>
      <w:r w:rsidR="00BF2DB3" w:rsidRPr="00FC74AB">
        <w:rPr>
          <w:lang w:val="ca-ES"/>
        </w:rPr>
        <w:t>ment</w:t>
      </w:r>
      <w:r w:rsidR="00B3113E" w:rsidRPr="00FC74AB">
        <w:rPr>
          <w:lang w:val="ca-ES"/>
        </w:rPr>
        <w:t xml:space="preserve"> les </w:t>
      </w:r>
      <w:r w:rsidR="00BF2DB3" w:rsidRPr="00FC74AB">
        <w:rPr>
          <w:lang w:val="ca-ES"/>
        </w:rPr>
        <w:t>operacion</w:t>
      </w:r>
      <w:r w:rsidRPr="00FC74AB">
        <w:rPr>
          <w:lang w:val="ca-ES"/>
        </w:rPr>
        <w:t xml:space="preserve">s </w:t>
      </w:r>
      <w:r w:rsidR="00BF2DB3" w:rsidRPr="00FC74AB">
        <w:rPr>
          <w:lang w:val="ca-ES"/>
        </w:rPr>
        <w:t>tècniques</w:t>
      </w:r>
      <w:r w:rsidR="007E4E7F" w:rsidRPr="00FC74AB">
        <w:rPr>
          <w:lang w:val="ca-ES"/>
        </w:rPr>
        <w:t xml:space="preserve"> i </w:t>
      </w:r>
      <w:r w:rsidRPr="00FC74AB">
        <w:rPr>
          <w:lang w:val="ca-ES"/>
        </w:rPr>
        <w:t xml:space="preserve">la gestió </w:t>
      </w:r>
      <w:r w:rsidR="0012347D" w:rsidRPr="00FC74AB">
        <w:rPr>
          <w:lang w:val="ca-ES"/>
        </w:rPr>
        <w:t>financera</w:t>
      </w:r>
      <w:r w:rsidRPr="00FC74AB">
        <w:rPr>
          <w:rStyle w:val="FootnoteReference"/>
          <w:lang w:val="ca-ES"/>
        </w:rPr>
        <w:footnoteReference w:id="100"/>
      </w:r>
      <w:r w:rsidRPr="00FC74AB">
        <w:rPr>
          <w:lang w:val="ca-ES"/>
        </w:rPr>
        <w:t>.</w:t>
      </w:r>
    </w:p>
    <w:p w14:paraId="5E42C455" w14:textId="77777777" w:rsidR="007E16DC" w:rsidRPr="00FC74AB" w:rsidRDefault="007E16DC" w:rsidP="007E16DC">
      <w:pPr>
        <w:pStyle w:val="SingleTxt"/>
        <w:spacing w:after="0" w:line="120" w:lineRule="exact"/>
        <w:rPr>
          <w:sz w:val="10"/>
          <w:lang w:val="ca-ES"/>
        </w:rPr>
      </w:pPr>
    </w:p>
    <w:p w14:paraId="4272EB50" w14:textId="77777777" w:rsidR="007E16DC" w:rsidRPr="00FC74AB" w:rsidRDefault="007E16DC" w:rsidP="007E16DC">
      <w:pPr>
        <w:pStyle w:val="SingleTxt"/>
        <w:spacing w:after="0" w:line="120" w:lineRule="exact"/>
        <w:rPr>
          <w:sz w:val="10"/>
          <w:lang w:val="ca-ES"/>
        </w:rPr>
      </w:pPr>
    </w:p>
    <w:p w14:paraId="4DBA2E42" w14:textId="181BC8B1" w:rsidR="007E16DC" w:rsidRPr="00FC74AB" w:rsidRDefault="007E16DC" w:rsidP="003754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F.</w:t>
      </w:r>
      <w:r w:rsidRPr="00FC74AB">
        <w:rPr>
          <w:lang w:val="ca-ES"/>
        </w:rPr>
        <w:tab/>
      </w:r>
      <w:r w:rsidR="00375447" w:rsidRPr="00FC74AB">
        <w:rPr>
          <w:lang w:val="ca-ES"/>
        </w:rPr>
        <w:t>Sense deixar ningú enrere</w:t>
      </w:r>
    </w:p>
    <w:p w14:paraId="7A8D7DC7" w14:textId="77777777" w:rsidR="007E16DC" w:rsidRPr="00FC74AB" w:rsidRDefault="007E16DC" w:rsidP="007E16DC">
      <w:pPr>
        <w:pStyle w:val="SingleTxt"/>
        <w:spacing w:after="0" w:line="120" w:lineRule="exact"/>
        <w:rPr>
          <w:sz w:val="10"/>
          <w:lang w:val="ca-ES"/>
        </w:rPr>
      </w:pPr>
    </w:p>
    <w:p w14:paraId="211F3966" w14:textId="77777777" w:rsidR="007E16DC" w:rsidRPr="00FC74AB" w:rsidRDefault="007E16DC" w:rsidP="007E16DC">
      <w:pPr>
        <w:pStyle w:val="SingleTxt"/>
        <w:spacing w:after="0" w:line="120" w:lineRule="exact"/>
        <w:rPr>
          <w:sz w:val="10"/>
          <w:lang w:val="ca-ES"/>
        </w:rPr>
      </w:pPr>
    </w:p>
    <w:p w14:paraId="45E9CC81" w14:textId="364DA282" w:rsidR="007E16DC" w:rsidRPr="00FC74AB" w:rsidRDefault="007E16DC" w:rsidP="00ED78FF">
      <w:pPr>
        <w:pStyle w:val="SingleTxt"/>
        <w:numPr>
          <w:ilvl w:val="2"/>
          <w:numId w:val="49"/>
        </w:numPr>
        <w:spacing w:line="240" w:lineRule="atLeast"/>
        <w:ind w:left="1267" w:firstLine="0"/>
        <w:rPr>
          <w:lang w:val="ca-ES"/>
        </w:rPr>
      </w:pPr>
      <w:r w:rsidRPr="00FC74AB">
        <w:rPr>
          <w:lang w:val="ca-ES"/>
        </w:rPr>
        <w:t xml:space="preserve">La participació del sector </w:t>
      </w:r>
      <w:r w:rsidR="004879F7" w:rsidRPr="00FC74AB">
        <w:rPr>
          <w:lang w:val="ca-ES"/>
        </w:rPr>
        <w:t>privat</w:t>
      </w:r>
      <w:r w:rsidRPr="00FC74AB">
        <w:rPr>
          <w:lang w:val="ca-ES"/>
        </w:rPr>
        <w:t xml:space="preserve"> p</w:t>
      </w:r>
      <w:r w:rsidR="000526A6" w:rsidRPr="00FC74AB">
        <w:rPr>
          <w:lang w:val="ca-ES"/>
        </w:rPr>
        <w:t xml:space="preserve">ot </w:t>
      </w:r>
      <w:r w:rsidRPr="00FC74AB">
        <w:rPr>
          <w:lang w:val="ca-ES"/>
        </w:rPr>
        <w:t>obstaculi</w:t>
      </w:r>
      <w:r w:rsidR="000526A6" w:rsidRPr="00FC74AB">
        <w:rPr>
          <w:lang w:val="ca-ES"/>
        </w:rPr>
        <w:t>t</w:t>
      </w:r>
      <w:r w:rsidRPr="00FC74AB">
        <w:rPr>
          <w:lang w:val="ca-ES"/>
        </w:rPr>
        <w:t>zar la disponibili</w:t>
      </w:r>
      <w:r w:rsidR="000526A6" w:rsidRPr="00FC74AB">
        <w:rPr>
          <w:lang w:val="ca-ES"/>
        </w:rPr>
        <w:t>tat</w:t>
      </w:r>
      <w:r w:rsidR="007E4E7F" w:rsidRPr="00FC74AB">
        <w:rPr>
          <w:lang w:val="ca-ES"/>
        </w:rPr>
        <w:t xml:space="preserve"> </w:t>
      </w:r>
      <w:r w:rsidR="000526A6" w:rsidRPr="00FC74AB">
        <w:rPr>
          <w:lang w:val="ca-ES"/>
        </w:rPr>
        <w:t xml:space="preserve">i </w:t>
      </w:r>
      <w:r w:rsidRPr="00FC74AB">
        <w:rPr>
          <w:lang w:val="ca-ES"/>
        </w:rPr>
        <w:t>l</w:t>
      </w:r>
      <w:r w:rsidR="000526A6" w:rsidRPr="00FC74AB">
        <w:rPr>
          <w:lang w:val="ca-ES"/>
        </w:rPr>
        <w:t>’</w:t>
      </w:r>
      <w:r w:rsidRPr="00FC74AB">
        <w:rPr>
          <w:lang w:val="ca-ES"/>
        </w:rPr>
        <w:t>acces</w:t>
      </w:r>
      <w:r w:rsidR="000526A6" w:rsidRPr="00FC74AB">
        <w:rPr>
          <w:lang w:val="ca-ES"/>
        </w:rPr>
        <w:t>s</w:t>
      </w:r>
      <w:r w:rsidRPr="00FC74AB">
        <w:rPr>
          <w:lang w:val="ca-ES"/>
        </w:rPr>
        <w:t>ibili</w:t>
      </w:r>
      <w:r w:rsidR="000526A6" w:rsidRPr="00FC74AB">
        <w:rPr>
          <w:lang w:val="ca-ES"/>
        </w:rPr>
        <w:t>tat</w:t>
      </w:r>
      <w:r w:rsidRPr="00FC74AB">
        <w:rPr>
          <w:lang w:val="ca-ES"/>
        </w:rPr>
        <w:t xml:space="preserve"> </w:t>
      </w:r>
      <w:r w:rsidR="007E4E7F" w:rsidRPr="00FC74AB">
        <w:rPr>
          <w:lang w:val="ca-ES"/>
        </w:rPr>
        <w:t>dels serveis</w:t>
      </w:r>
      <w:r w:rsidR="000526A6" w:rsidRPr="00FC74AB">
        <w:rPr>
          <w:lang w:val="ca-ES"/>
        </w:rPr>
        <w:t xml:space="preserve"> pe</w:t>
      </w:r>
      <w:r w:rsidRPr="00FC74AB">
        <w:rPr>
          <w:lang w:val="ca-ES"/>
        </w:rPr>
        <w:t>r</w:t>
      </w:r>
      <w:r w:rsidR="000526A6" w:rsidRPr="00FC74AB">
        <w:rPr>
          <w:lang w:val="ca-ES"/>
        </w:rPr>
        <w:t xml:space="preserve"> </w:t>
      </w:r>
      <w:r w:rsidR="009A31D3" w:rsidRPr="00FC74AB">
        <w:rPr>
          <w:lang w:val="ca-ES"/>
        </w:rPr>
        <w:t>als</w:t>
      </w:r>
      <w:r w:rsidR="005214BF" w:rsidRPr="00FC74AB">
        <w:rPr>
          <w:lang w:val="ca-ES"/>
        </w:rPr>
        <w:t xml:space="preserve"> </w:t>
      </w:r>
      <w:r w:rsidR="000526A6" w:rsidRPr="00FC74AB">
        <w:rPr>
          <w:lang w:val="ca-ES"/>
        </w:rPr>
        <w:t>grup</w:t>
      </w:r>
      <w:r w:rsidRPr="00FC74AB">
        <w:rPr>
          <w:lang w:val="ca-ES"/>
        </w:rPr>
        <w:t>s o</w:t>
      </w:r>
      <w:r w:rsidR="00ED78FF" w:rsidRPr="00FC74AB">
        <w:rPr>
          <w:lang w:val="ca-ES"/>
        </w:rPr>
        <w:t xml:space="preserve"> indrets </w:t>
      </w:r>
      <w:r w:rsidR="000526A6" w:rsidRPr="00FC74AB">
        <w:rPr>
          <w:lang w:val="ca-ES"/>
        </w:rPr>
        <w:t xml:space="preserve">que </w:t>
      </w:r>
      <w:r w:rsidRPr="00FC74AB">
        <w:rPr>
          <w:lang w:val="ca-ES"/>
        </w:rPr>
        <w:t>of</w:t>
      </w:r>
      <w:r w:rsidR="000526A6" w:rsidRPr="00FC74AB">
        <w:rPr>
          <w:lang w:val="ca-ES"/>
        </w:rPr>
        <w:t>ereix</w:t>
      </w:r>
      <w:r w:rsidRPr="00FC74AB">
        <w:rPr>
          <w:lang w:val="ca-ES"/>
        </w:rPr>
        <w:t>en men</w:t>
      </w:r>
      <w:r w:rsidR="000526A6" w:rsidRPr="00FC74AB">
        <w:rPr>
          <w:lang w:val="ca-ES"/>
        </w:rPr>
        <w:t>y</w:t>
      </w:r>
      <w:r w:rsidRPr="00FC74AB">
        <w:rPr>
          <w:lang w:val="ca-ES"/>
        </w:rPr>
        <w:t xml:space="preserve">s </w:t>
      </w:r>
      <w:r w:rsidR="000526A6" w:rsidRPr="00FC74AB">
        <w:rPr>
          <w:lang w:val="ca-ES"/>
        </w:rPr>
        <w:t>possibilitats</w:t>
      </w:r>
      <w:r w:rsidRPr="00FC74AB">
        <w:rPr>
          <w:lang w:val="ca-ES"/>
        </w:rPr>
        <w:t xml:space="preserve"> d</w:t>
      </w:r>
      <w:r w:rsidR="000526A6" w:rsidRPr="00FC74AB">
        <w:rPr>
          <w:lang w:val="ca-ES"/>
        </w:rPr>
        <w:t>’obteni</w:t>
      </w:r>
      <w:r w:rsidRPr="00FC74AB">
        <w:rPr>
          <w:lang w:val="ca-ES"/>
        </w:rPr>
        <w:t xml:space="preserve">r un benefici </w:t>
      </w:r>
      <w:r w:rsidR="000526A6" w:rsidRPr="00FC74AB">
        <w:rPr>
          <w:lang w:val="ca-ES"/>
        </w:rPr>
        <w:t>econòmic</w:t>
      </w:r>
      <w:r w:rsidRPr="00FC74AB">
        <w:rPr>
          <w:lang w:val="ca-ES"/>
        </w:rPr>
        <w:t xml:space="preserve">. </w:t>
      </w:r>
      <w:r w:rsidR="00CC7045" w:rsidRPr="00FC74AB">
        <w:rPr>
          <w:lang w:val="ca-ES"/>
        </w:rPr>
        <w:t>Sovint, el sector privat, amb el suport de l'organisme públic contractant, adopta una política de «línia vermella» que exclou els assentaments informals o les zones rurals de la seva àrea de cobertura</w:t>
      </w:r>
      <w:r w:rsidRPr="00FC74AB">
        <w:rPr>
          <w:rStyle w:val="FootnoteReference"/>
          <w:w w:val="102"/>
          <w:lang w:val="ca-ES"/>
        </w:rPr>
        <w:footnoteReference w:id="101"/>
      </w:r>
      <w:r w:rsidRPr="00FC74AB">
        <w:rPr>
          <w:lang w:val="ca-ES"/>
        </w:rPr>
        <w:t xml:space="preserve">. </w:t>
      </w:r>
      <w:r w:rsidR="000526A6" w:rsidRPr="00FC74AB">
        <w:rPr>
          <w:lang w:val="ca-ES"/>
        </w:rPr>
        <w:t>En aquests casos, l’obligació de prestar serveis a aquestes poblacions sol quedar en mans del sector públic, que, generalment, no disposa dels recursos necessaris per complir amb aquesta obligació, especialment perquè la capacitat tècnica de les autoritats públiques es desarticula un cop s’ha produït la delegació</w:t>
      </w:r>
      <w:r w:rsidRPr="00FC74AB">
        <w:rPr>
          <w:rStyle w:val="FootnoteReference"/>
          <w:w w:val="102"/>
          <w:lang w:val="ca-ES"/>
        </w:rPr>
        <w:footnoteReference w:id="102"/>
      </w:r>
      <w:r w:rsidRPr="00FC74AB">
        <w:rPr>
          <w:lang w:val="ca-ES"/>
        </w:rPr>
        <w:t xml:space="preserve">. </w:t>
      </w:r>
      <w:r w:rsidR="000526A6" w:rsidRPr="00FC74AB">
        <w:rPr>
          <w:lang w:val="ca-ES"/>
        </w:rPr>
        <w:t>A</w:t>
      </w:r>
      <w:r w:rsidRPr="00FC74AB">
        <w:rPr>
          <w:lang w:val="ca-ES"/>
        </w:rPr>
        <w:t xml:space="preserve"> </w:t>
      </w:r>
      <w:r w:rsidR="00E94729" w:rsidRPr="00FC74AB">
        <w:rPr>
          <w:lang w:val="ca-ES"/>
        </w:rPr>
        <w:t>França</w:t>
      </w:r>
      <w:r w:rsidRPr="00FC74AB">
        <w:rPr>
          <w:lang w:val="ca-ES"/>
        </w:rPr>
        <w:t xml:space="preserve">, </w:t>
      </w:r>
      <w:r w:rsidR="0048735E" w:rsidRPr="00FC74AB">
        <w:rPr>
          <w:lang w:val="ca-ES"/>
        </w:rPr>
        <w:t>per exemple</w:t>
      </w:r>
      <w:r w:rsidR="000526A6" w:rsidRPr="00FC74AB">
        <w:rPr>
          <w:lang w:val="ca-ES"/>
        </w:rPr>
        <w:t>, alguns municipis no podie</w:t>
      </w:r>
      <w:r w:rsidRPr="00FC74AB">
        <w:rPr>
          <w:lang w:val="ca-ES"/>
        </w:rPr>
        <w:t xml:space="preserve">n obligar </w:t>
      </w:r>
      <w:r w:rsidR="00B3113E" w:rsidRPr="00FC74AB">
        <w:rPr>
          <w:lang w:val="ca-ES"/>
        </w:rPr>
        <w:t xml:space="preserve">les </w:t>
      </w:r>
      <w:r w:rsidR="00E31C4A" w:rsidRPr="00FC74AB">
        <w:rPr>
          <w:lang w:val="ca-ES"/>
        </w:rPr>
        <w:t>empreses</w:t>
      </w:r>
      <w:r w:rsidRPr="00FC74AB">
        <w:rPr>
          <w:lang w:val="ca-ES"/>
        </w:rPr>
        <w:t xml:space="preserve"> </w:t>
      </w:r>
      <w:r w:rsidR="009F581B" w:rsidRPr="00FC74AB">
        <w:rPr>
          <w:lang w:val="ca-ES"/>
        </w:rPr>
        <w:t>privades</w:t>
      </w:r>
      <w:r w:rsidRPr="00FC74AB">
        <w:rPr>
          <w:lang w:val="ca-ES"/>
        </w:rPr>
        <w:t xml:space="preserve"> a reali</w:t>
      </w:r>
      <w:r w:rsidR="000526A6" w:rsidRPr="00FC74AB">
        <w:rPr>
          <w:lang w:val="ca-ES"/>
        </w:rPr>
        <w:t>t</w:t>
      </w:r>
      <w:r w:rsidRPr="00FC74AB">
        <w:rPr>
          <w:lang w:val="ca-ES"/>
        </w:rPr>
        <w:t>zar</w:t>
      </w:r>
      <w:r w:rsidR="00B3113E" w:rsidRPr="00FC74AB">
        <w:rPr>
          <w:lang w:val="ca-ES"/>
        </w:rPr>
        <w:t xml:space="preserve"> les </w:t>
      </w:r>
      <w:r w:rsidR="009F581B" w:rsidRPr="00FC74AB">
        <w:rPr>
          <w:lang w:val="ca-ES"/>
        </w:rPr>
        <w:t>inversions</w:t>
      </w:r>
      <w:r w:rsidRPr="00FC74AB">
        <w:rPr>
          <w:lang w:val="ca-ES"/>
        </w:rPr>
        <w:t xml:space="preserve"> </w:t>
      </w:r>
      <w:r w:rsidR="000526A6" w:rsidRPr="00FC74AB">
        <w:rPr>
          <w:lang w:val="ca-ES"/>
        </w:rPr>
        <w:t>necessàries</w:t>
      </w:r>
      <w:r w:rsidRPr="00FC74AB">
        <w:rPr>
          <w:lang w:val="ca-ES"/>
        </w:rPr>
        <w:t xml:space="preserve"> </w:t>
      </w:r>
      <w:r w:rsidR="000526A6" w:rsidRPr="00FC74AB">
        <w:rPr>
          <w:lang w:val="ca-ES"/>
        </w:rPr>
        <w:t>a</w:t>
      </w:r>
      <w:r w:rsidR="00B3113E" w:rsidRPr="00FC74AB">
        <w:rPr>
          <w:lang w:val="ca-ES"/>
        </w:rPr>
        <w:t xml:space="preserve"> les </w:t>
      </w:r>
      <w:r w:rsidR="000526A6" w:rsidRPr="00FC74AB">
        <w:rPr>
          <w:lang w:val="ca-ES"/>
        </w:rPr>
        <w:t>zones rural</w:t>
      </w:r>
      <w:r w:rsidRPr="00FC74AB">
        <w:rPr>
          <w:lang w:val="ca-ES"/>
        </w:rPr>
        <w:t xml:space="preserve">s </w:t>
      </w:r>
      <w:r w:rsidR="000526A6" w:rsidRPr="00FC74AB">
        <w:rPr>
          <w:lang w:val="ca-ES"/>
        </w:rPr>
        <w:t>i, per tant</w:t>
      </w:r>
      <w:r w:rsidRPr="00FC74AB">
        <w:rPr>
          <w:lang w:val="ca-ES"/>
        </w:rPr>
        <w:t xml:space="preserve">, </w:t>
      </w:r>
      <w:r w:rsidR="000526A6" w:rsidRPr="00FC74AB">
        <w:rPr>
          <w:lang w:val="ca-ES"/>
        </w:rPr>
        <w:t xml:space="preserve">havien de </w:t>
      </w:r>
      <w:r w:rsidRPr="00FC74AB">
        <w:rPr>
          <w:lang w:val="ca-ES"/>
        </w:rPr>
        <w:t xml:space="preserve">formar </w:t>
      </w:r>
      <w:r w:rsidR="00B02930" w:rsidRPr="00FC74AB">
        <w:rPr>
          <w:lang w:val="ca-ES"/>
        </w:rPr>
        <w:t>entitats</w:t>
      </w:r>
      <w:r w:rsidR="000526A6" w:rsidRPr="00FC74AB">
        <w:rPr>
          <w:lang w:val="ca-ES"/>
        </w:rPr>
        <w:t xml:space="preserve"> municipal</w:t>
      </w:r>
      <w:r w:rsidRPr="00FC74AB">
        <w:rPr>
          <w:lang w:val="ca-ES"/>
        </w:rPr>
        <w:t xml:space="preserve">s </w:t>
      </w:r>
      <w:r w:rsidR="000526A6" w:rsidRPr="00FC74AB">
        <w:rPr>
          <w:lang w:val="ca-ES"/>
        </w:rPr>
        <w:t xml:space="preserve">per </w:t>
      </w:r>
      <w:r w:rsidRPr="00FC74AB">
        <w:rPr>
          <w:lang w:val="ca-ES"/>
        </w:rPr>
        <w:t>ampliar</w:t>
      </w:r>
      <w:r w:rsidR="00B3113E" w:rsidRPr="00FC74AB">
        <w:rPr>
          <w:lang w:val="ca-ES"/>
        </w:rPr>
        <w:t xml:space="preserve"> les </w:t>
      </w:r>
      <w:r w:rsidR="000526A6" w:rsidRPr="00FC74AB">
        <w:rPr>
          <w:lang w:val="ca-ES"/>
        </w:rPr>
        <w:t xml:space="preserve">xarxes </w:t>
      </w:r>
      <w:r w:rsidRPr="00FC74AB">
        <w:rPr>
          <w:lang w:val="ca-ES"/>
        </w:rPr>
        <w:t xml:space="preserve">de </w:t>
      </w:r>
      <w:r w:rsidR="000355E2" w:rsidRPr="00FC74AB">
        <w:rPr>
          <w:lang w:val="ca-ES"/>
        </w:rPr>
        <w:t>abastament</w:t>
      </w:r>
      <w:r w:rsidRPr="00FC74AB">
        <w:rPr>
          <w:lang w:val="ca-ES"/>
        </w:rPr>
        <w:t xml:space="preserve"> </w:t>
      </w:r>
      <w:r w:rsidR="003A58C9" w:rsidRPr="00FC74AB">
        <w:rPr>
          <w:lang w:val="ca-ES"/>
        </w:rPr>
        <w:t>d’aigua</w:t>
      </w:r>
      <w:r w:rsidRPr="00FC74AB">
        <w:rPr>
          <w:rStyle w:val="FootnoteReference"/>
          <w:w w:val="102"/>
          <w:lang w:val="ca-ES"/>
        </w:rPr>
        <w:footnoteReference w:id="103"/>
      </w:r>
      <w:r w:rsidRPr="00FC74AB">
        <w:rPr>
          <w:lang w:val="ca-ES"/>
        </w:rPr>
        <w:t xml:space="preserve">. </w:t>
      </w:r>
      <w:r w:rsidR="000526A6" w:rsidRPr="00FC74AB">
        <w:rPr>
          <w:lang w:val="ca-ES"/>
        </w:rPr>
        <w:t>A</w:t>
      </w:r>
      <w:r w:rsidR="005214BF" w:rsidRPr="00FC74AB">
        <w:rPr>
          <w:lang w:val="ca-ES"/>
        </w:rPr>
        <w:t xml:space="preserve">ls </w:t>
      </w:r>
      <w:r w:rsidR="00E94729" w:rsidRPr="00FC74AB">
        <w:rPr>
          <w:lang w:val="ca-ES"/>
        </w:rPr>
        <w:t>països</w:t>
      </w:r>
      <w:r w:rsidRPr="00FC74AB">
        <w:rPr>
          <w:lang w:val="ca-ES"/>
        </w:rPr>
        <w:t xml:space="preserve"> d</w:t>
      </w:r>
      <w:r w:rsidR="000526A6" w:rsidRPr="00FC74AB">
        <w:rPr>
          <w:lang w:val="ca-ES"/>
        </w:rPr>
        <w:t>e l’Àfrica</w:t>
      </w:r>
      <w:r w:rsidRPr="00FC74AB">
        <w:rPr>
          <w:lang w:val="ca-ES"/>
        </w:rPr>
        <w:t xml:space="preserve"> Subsahariana, l</w:t>
      </w:r>
      <w:r w:rsidR="000526A6" w:rsidRPr="00FC74AB">
        <w:rPr>
          <w:lang w:val="ca-ES"/>
        </w:rPr>
        <w:t xml:space="preserve">’onada </w:t>
      </w:r>
      <w:r w:rsidRPr="00FC74AB">
        <w:rPr>
          <w:lang w:val="ca-ES"/>
        </w:rPr>
        <w:t xml:space="preserve">de </w:t>
      </w:r>
      <w:r w:rsidR="007E4E7F" w:rsidRPr="00FC74AB">
        <w:rPr>
          <w:lang w:val="ca-ES"/>
        </w:rPr>
        <w:t>privatització</w:t>
      </w:r>
      <w:r w:rsidRPr="00FC74AB">
        <w:rPr>
          <w:lang w:val="ca-ES"/>
        </w:rPr>
        <w:t xml:space="preserve"> </w:t>
      </w:r>
      <w:r w:rsidR="007E4E7F" w:rsidRPr="00FC74AB">
        <w:rPr>
          <w:lang w:val="ca-ES"/>
        </w:rPr>
        <w:t>dels serveis d’aigua i sanejament</w:t>
      </w:r>
      <w:r w:rsidRPr="00FC74AB">
        <w:rPr>
          <w:lang w:val="ca-ES"/>
        </w:rPr>
        <w:t xml:space="preserve"> </w:t>
      </w:r>
      <w:r w:rsidR="000526A6" w:rsidRPr="00FC74AB">
        <w:rPr>
          <w:lang w:val="ca-ES"/>
        </w:rPr>
        <w:t>a la dè</w:t>
      </w:r>
      <w:r w:rsidRPr="00FC74AB">
        <w:rPr>
          <w:lang w:val="ca-ES"/>
        </w:rPr>
        <w:t>cada de</w:t>
      </w:r>
      <w:r w:rsidR="000526A6" w:rsidRPr="00FC74AB">
        <w:rPr>
          <w:lang w:val="ca-ES"/>
        </w:rPr>
        <w:t>ls</w:t>
      </w:r>
      <w:r w:rsidRPr="00FC74AB">
        <w:rPr>
          <w:lang w:val="ca-ES"/>
        </w:rPr>
        <w:t xml:space="preserve"> 90</w:t>
      </w:r>
      <w:r w:rsidR="007E4E7F" w:rsidRPr="00FC74AB">
        <w:rPr>
          <w:lang w:val="ca-ES"/>
        </w:rPr>
        <w:t xml:space="preserve"> </w:t>
      </w:r>
      <w:r w:rsidR="00B42E77" w:rsidRPr="00FC74AB">
        <w:rPr>
          <w:lang w:val="ca-ES"/>
        </w:rPr>
        <w:t xml:space="preserve">enfocada a </w:t>
      </w:r>
      <w:r w:rsidR="000526A6" w:rsidRPr="00FC74AB">
        <w:rPr>
          <w:lang w:val="ca-ES"/>
        </w:rPr>
        <w:t>la recuperació</w:t>
      </w:r>
      <w:r w:rsidRPr="00FC74AB">
        <w:rPr>
          <w:lang w:val="ca-ES"/>
        </w:rPr>
        <w:t xml:space="preserve"> total de costos ha </w:t>
      </w:r>
      <w:r w:rsidR="000526A6" w:rsidRPr="00FC74AB">
        <w:rPr>
          <w:lang w:val="ca-ES"/>
        </w:rPr>
        <w:t>«</w:t>
      </w:r>
      <w:r w:rsidR="00B42E77" w:rsidRPr="00FC74AB">
        <w:rPr>
          <w:lang w:val="ca-ES"/>
        </w:rPr>
        <w:t xml:space="preserve">fet créixer </w:t>
      </w:r>
      <w:r w:rsidRPr="00FC74AB">
        <w:rPr>
          <w:lang w:val="ca-ES"/>
        </w:rPr>
        <w:t>(...)</w:t>
      </w:r>
      <w:r w:rsidR="00B3113E" w:rsidRPr="00FC74AB">
        <w:rPr>
          <w:lang w:val="ca-ES"/>
        </w:rPr>
        <w:t xml:space="preserve"> les </w:t>
      </w:r>
      <w:r w:rsidRPr="00FC74AB">
        <w:rPr>
          <w:lang w:val="ca-ES"/>
        </w:rPr>
        <w:t>desigual</w:t>
      </w:r>
      <w:r w:rsidR="000526A6" w:rsidRPr="00FC74AB">
        <w:rPr>
          <w:lang w:val="ca-ES"/>
        </w:rPr>
        <w:t xml:space="preserve">tats </w:t>
      </w:r>
      <w:r w:rsidRPr="00FC74AB">
        <w:rPr>
          <w:lang w:val="ca-ES"/>
        </w:rPr>
        <w:t>en la prestaci</w:t>
      </w:r>
      <w:r w:rsidR="000526A6" w:rsidRPr="00FC74AB">
        <w:rPr>
          <w:lang w:val="ca-ES"/>
        </w:rPr>
        <w:t>ó</w:t>
      </w:r>
      <w:r w:rsidRPr="00FC74AB">
        <w:rPr>
          <w:lang w:val="ca-ES"/>
        </w:rPr>
        <w:t xml:space="preserve"> </w:t>
      </w:r>
      <w:r w:rsidR="00B42E77" w:rsidRPr="00FC74AB">
        <w:rPr>
          <w:lang w:val="ca-ES"/>
        </w:rPr>
        <w:t xml:space="preserve">d’aquests </w:t>
      </w:r>
      <w:r w:rsidR="003B7411" w:rsidRPr="00FC74AB">
        <w:rPr>
          <w:lang w:val="ca-ES"/>
        </w:rPr>
        <w:t>serveis</w:t>
      </w:r>
      <w:r w:rsidRPr="00FC74AB">
        <w:rPr>
          <w:lang w:val="ca-ES"/>
        </w:rPr>
        <w:t xml:space="preserve"> en detriment </w:t>
      </w:r>
      <w:r w:rsidR="009A31D3" w:rsidRPr="00FC74AB">
        <w:rPr>
          <w:lang w:val="ca-ES"/>
        </w:rPr>
        <w:t>de</w:t>
      </w:r>
      <w:r w:rsidR="000526A6" w:rsidRPr="00FC74AB">
        <w:rPr>
          <w:lang w:val="ca-ES"/>
        </w:rPr>
        <w:t xml:space="preserve"> </w:t>
      </w:r>
      <w:r w:rsidR="009A31D3" w:rsidRPr="00FC74AB">
        <w:rPr>
          <w:lang w:val="ca-ES"/>
        </w:rPr>
        <w:t>l</w:t>
      </w:r>
      <w:r w:rsidR="000526A6" w:rsidRPr="00FC74AB">
        <w:rPr>
          <w:lang w:val="ca-ES"/>
        </w:rPr>
        <w:t>e</w:t>
      </w:r>
      <w:r w:rsidR="009A31D3" w:rsidRPr="00FC74AB">
        <w:rPr>
          <w:lang w:val="ca-ES"/>
        </w:rPr>
        <w:t>s</w:t>
      </w:r>
      <w:r w:rsidR="005214BF" w:rsidRPr="00FC74AB">
        <w:rPr>
          <w:lang w:val="ca-ES"/>
        </w:rPr>
        <w:t xml:space="preserve"> </w:t>
      </w:r>
      <w:r w:rsidR="000526A6" w:rsidRPr="00FC74AB">
        <w:rPr>
          <w:lang w:val="ca-ES"/>
        </w:rPr>
        <w:t xml:space="preserve">llars amb menys </w:t>
      </w:r>
      <w:r w:rsidR="003A7E50" w:rsidRPr="00FC74AB">
        <w:rPr>
          <w:lang w:val="ca-ES"/>
        </w:rPr>
        <w:t>ingressos</w:t>
      </w:r>
      <w:r w:rsidR="000526A6" w:rsidRPr="00FC74AB">
        <w:rPr>
          <w:lang w:val="ca-ES"/>
        </w:rPr>
        <w:t>»</w:t>
      </w:r>
      <w:r w:rsidRPr="00FC74AB">
        <w:rPr>
          <w:rStyle w:val="FootnoteReference"/>
          <w:w w:val="102"/>
          <w:lang w:val="ca-ES"/>
        </w:rPr>
        <w:footnoteReference w:id="104"/>
      </w:r>
      <w:r w:rsidRPr="00FC74AB">
        <w:rPr>
          <w:lang w:val="ca-ES"/>
        </w:rPr>
        <w:t>.</w:t>
      </w:r>
    </w:p>
    <w:p w14:paraId="35575186" w14:textId="0699657D" w:rsidR="007E16DC" w:rsidRPr="00FC74AB" w:rsidRDefault="00B42E77" w:rsidP="00791745">
      <w:pPr>
        <w:pStyle w:val="SingleTxt"/>
        <w:numPr>
          <w:ilvl w:val="2"/>
          <w:numId w:val="49"/>
        </w:numPr>
        <w:spacing w:line="240" w:lineRule="atLeast"/>
        <w:ind w:left="1267" w:firstLine="0"/>
        <w:rPr>
          <w:lang w:val="ca-ES"/>
        </w:rPr>
      </w:pPr>
      <w:r w:rsidRPr="00FC74AB">
        <w:rPr>
          <w:lang w:val="ca-ES"/>
        </w:rPr>
        <w:t xml:space="preserve">Quan l’accessibilitat és en perill, es poden veure afectats altres </w:t>
      </w:r>
      <w:r w:rsidR="001F671C" w:rsidRPr="00FC74AB">
        <w:rPr>
          <w:lang w:val="ca-ES"/>
        </w:rPr>
        <w:t xml:space="preserve">drets de les persones que viuen en condicions de vulnerabilitat, </w:t>
      </w:r>
      <w:r w:rsidR="00541444" w:rsidRPr="00FC74AB">
        <w:rPr>
          <w:lang w:val="ca-ES"/>
        </w:rPr>
        <w:t>per exemple</w:t>
      </w:r>
      <w:r w:rsidR="001F671C" w:rsidRPr="00FC74AB">
        <w:rPr>
          <w:lang w:val="ca-ES"/>
        </w:rPr>
        <w:t xml:space="preserve">, </w:t>
      </w:r>
      <w:r w:rsidRPr="00FC74AB">
        <w:rPr>
          <w:lang w:val="ca-ES"/>
        </w:rPr>
        <w:t>per les</w:t>
      </w:r>
      <w:r w:rsidR="001F671C" w:rsidRPr="00FC74AB">
        <w:rPr>
          <w:lang w:val="ca-ES"/>
        </w:rPr>
        <w:t xml:space="preserve"> pujades de les tarifes o </w:t>
      </w:r>
      <w:r w:rsidRPr="00FC74AB">
        <w:rPr>
          <w:lang w:val="ca-ES"/>
        </w:rPr>
        <w:t xml:space="preserve">els </w:t>
      </w:r>
      <w:r w:rsidR="00541444" w:rsidRPr="00FC74AB">
        <w:rPr>
          <w:lang w:val="ca-ES"/>
        </w:rPr>
        <w:t>talls</w:t>
      </w:r>
      <w:r w:rsidR="001F671C" w:rsidRPr="00FC74AB">
        <w:rPr>
          <w:lang w:val="ca-ES"/>
        </w:rPr>
        <w:t xml:space="preserve">. A Madagascar, un estudi va revelar que els </w:t>
      </w:r>
      <w:r w:rsidRPr="00FC74AB">
        <w:rPr>
          <w:lang w:val="ca-ES"/>
        </w:rPr>
        <w:t xml:space="preserve">lleugers </w:t>
      </w:r>
      <w:r w:rsidR="001F671C" w:rsidRPr="00FC74AB">
        <w:rPr>
          <w:lang w:val="ca-ES"/>
        </w:rPr>
        <w:t xml:space="preserve">canvis </w:t>
      </w:r>
      <w:r w:rsidRPr="00FC74AB">
        <w:rPr>
          <w:lang w:val="ca-ES"/>
        </w:rPr>
        <w:t xml:space="preserve">del </w:t>
      </w:r>
      <w:r w:rsidR="00541444" w:rsidRPr="00FC74AB">
        <w:rPr>
          <w:lang w:val="ca-ES"/>
        </w:rPr>
        <w:t xml:space="preserve">preu de l’aigua </w:t>
      </w:r>
      <w:r w:rsidR="001F671C" w:rsidRPr="00FC74AB">
        <w:rPr>
          <w:lang w:val="ca-ES"/>
        </w:rPr>
        <w:t xml:space="preserve">que es van produir després de la privatització podien </w:t>
      </w:r>
      <w:r w:rsidR="00EE63E1" w:rsidRPr="00FC74AB">
        <w:rPr>
          <w:lang w:val="ca-ES"/>
        </w:rPr>
        <w:t xml:space="preserve">haver induït </w:t>
      </w:r>
      <w:r w:rsidR="001F671C" w:rsidRPr="00FC74AB">
        <w:rPr>
          <w:lang w:val="ca-ES"/>
        </w:rPr>
        <w:t xml:space="preserve">les persones en situació de pobresa a recórrer a fonts alternatives i insegures, amb el consegüent augment dels </w:t>
      </w:r>
      <w:r w:rsidR="00541444" w:rsidRPr="00FC74AB">
        <w:rPr>
          <w:lang w:val="ca-ES"/>
        </w:rPr>
        <w:t xml:space="preserve">riscos </w:t>
      </w:r>
      <w:r w:rsidR="001F671C" w:rsidRPr="00FC74AB">
        <w:rPr>
          <w:lang w:val="ca-ES"/>
        </w:rPr>
        <w:t>per a la salut</w:t>
      </w:r>
      <w:r w:rsidR="007E16DC" w:rsidRPr="00FC74AB">
        <w:rPr>
          <w:rStyle w:val="FootnoteReference"/>
          <w:spacing w:val="2"/>
          <w:w w:val="102"/>
          <w:lang w:val="ca-ES"/>
        </w:rPr>
        <w:footnoteReference w:id="105"/>
      </w:r>
      <w:r w:rsidR="007E16DC" w:rsidRPr="00FC74AB">
        <w:rPr>
          <w:lang w:val="ca-ES"/>
        </w:rPr>
        <w:t xml:space="preserve">. </w:t>
      </w:r>
      <w:r w:rsidR="00A144C9" w:rsidRPr="00FC74AB">
        <w:rPr>
          <w:lang w:val="ca-ES"/>
        </w:rPr>
        <w:t>A Mbombela (Sudàfrica), l’empresa privada va realitzar tall</w:t>
      </w:r>
      <w:r w:rsidR="00791745" w:rsidRPr="00FC74AB">
        <w:rPr>
          <w:lang w:val="ca-ES"/>
        </w:rPr>
        <w:t>s de subministrament</w:t>
      </w:r>
      <w:r w:rsidR="00A144C9" w:rsidRPr="00FC74AB">
        <w:rPr>
          <w:lang w:val="ca-ES"/>
        </w:rPr>
        <w:t xml:space="preserve"> fins i tot </w:t>
      </w:r>
      <w:r w:rsidR="00EE63E1" w:rsidRPr="00FC74AB">
        <w:rPr>
          <w:lang w:val="ca-ES"/>
        </w:rPr>
        <w:t xml:space="preserve">en plena </w:t>
      </w:r>
      <w:r w:rsidR="00A144C9" w:rsidRPr="00FC74AB">
        <w:rPr>
          <w:lang w:val="ca-ES"/>
        </w:rPr>
        <w:t>epidèmia de còlera</w:t>
      </w:r>
      <w:r w:rsidR="007E16DC" w:rsidRPr="00FC74AB">
        <w:rPr>
          <w:rStyle w:val="FootnoteReference"/>
          <w:spacing w:val="2"/>
          <w:w w:val="102"/>
          <w:lang w:val="ca-ES"/>
        </w:rPr>
        <w:footnoteReference w:id="106"/>
      </w:r>
      <w:r w:rsidR="007E16DC" w:rsidRPr="00FC74AB">
        <w:rPr>
          <w:lang w:val="ca-ES"/>
        </w:rPr>
        <w:t xml:space="preserve">. </w:t>
      </w:r>
      <w:r w:rsidR="00A144C9" w:rsidRPr="00FC74AB">
        <w:rPr>
          <w:lang w:val="ca-ES"/>
        </w:rPr>
        <w:t>Durant la pandèmia de</w:t>
      </w:r>
      <w:r w:rsidR="00EE63E1" w:rsidRPr="00FC74AB">
        <w:rPr>
          <w:lang w:val="ca-ES"/>
        </w:rPr>
        <w:t xml:space="preserve"> la</w:t>
      </w:r>
      <w:r w:rsidR="00A144C9" w:rsidRPr="00FC74AB">
        <w:rPr>
          <w:lang w:val="ca-ES"/>
        </w:rPr>
        <w:t xml:space="preserve"> COVID-19, les associacions de </w:t>
      </w:r>
      <w:r w:rsidR="007F3D09" w:rsidRPr="00FC74AB">
        <w:rPr>
          <w:lang w:val="ca-ES"/>
        </w:rPr>
        <w:t xml:space="preserve">subministradors </w:t>
      </w:r>
      <w:r w:rsidR="00A144C9" w:rsidRPr="00FC74AB">
        <w:rPr>
          <w:lang w:val="ca-ES"/>
        </w:rPr>
        <w:t>de serveis d’aigua del Brasil i d’Espanya, impulsades en gran mesura per empreses privades, van expressar la seva preocupació per la sostenibilitat econòmica de les empreses i el seu dret a mantenir polítiques de talls en els casos d’impagament de les factures</w:t>
      </w:r>
      <w:r w:rsidR="007E16DC" w:rsidRPr="00FC74AB">
        <w:rPr>
          <w:rStyle w:val="FootnoteReference"/>
          <w:spacing w:val="2"/>
          <w:w w:val="102"/>
          <w:lang w:val="ca-ES"/>
        </w:rPr>
        <w:footnoteReference w:id="107"/>
      </w:r>
      <w:r w:rsidR="007E16DC" w:rsidRPr="00FC74AB">
        <w:rPr>
          <w:lang w:val="ca-ES"/>
        </w:rPr>
        <w:t>. En ca</w:t>
      </w:r>
      <w:r w:rsidR="00A144C9" w:rsidRPr="00FC74AB">
        <w:rPr>
          <w:lang w:val="ca-ES"/>
        </w:rPr>
        <w:t>nvi</w:t>
      </w:r>
      <w:r w:rsidR="007E16DC" w:rsidRPr="00FC74AB">
        <w:rPr>
          <w:lang w:val="ca-ES"/>
        </w:rPr>
        <w:t>,</w:t>
      </w:r>
      <w:r w:rsidR="005214BF" w:rsidRPr="00FC74AB">
        <w:rPr>
          <w:lang w:val="ca-ES"/>
        </w:rPr>
        <w:t xml:space="preserve"> </w:t>
      </w:r>
      <w:r w:rsidR="00A144C9" w:rsidRPr="00FC74AB">
        <w:rPr>
          <w:lang w:val="ca-ES"/>
        </w:rPr>
        <w:t xml:space="preserve">les organitzacions de la societat civil van </w:t>
      </w:r>
      <w:r w:rsidR="00330872" w:rsidRPr="00FC74AB">
        <w:rPr>
          <w:lang w:val="ca-ES"/>
        </w:rPr>
        <w:t xml:space="preserve">defensar que es protegissin degudament </w:t>
      </w:r>
      <w:r w:rsidR="00B3113E" w:rsidRPr="00FC74AB">
        <w:rPr>
          <w:lang w:val="ca-ES"/>
        </w:rPr>
        <w:t xml:space="preserve">les </w:t>
      </w:r>
      <w:r w:rsidR="00A144C9" w:rsidRPr="00FC74AB">
        <w:rPr>
          <w:lang w:val="ca-ES"/>
        </w:rPr>
        <w:t>persone</w:t>
      </w:r>
      <w:r w:rsidR="007E16DC" w:rsidRPr="00FC74AB">
        <w:rPr>
          <w:lang w:val="ca-ES"/>
        </w:rPr>
        <w:t xml:space="preserve">s en </w:t>
      </w:r>
      <w:r w:rsidR="00B127EF" w:rsidRPr="00FC74AB">
        <w:rPr>
          <w:lang w:val="ca-ES"/>
        </w:rPr>
        <w:t>situacions</w:t>
      </w:r>
      <w:r w:rsidR="007E16DC" w:rsidRPr="00FC74AB">
        <w:rPr>
          <w:lang w:val="ca-ES"/>
        </w:rPr>
        <w:t xml:space="preserve"> de </w:t>
      </w:r>
      <w:r w:rsidR="00A144C9" w:rsidRPr="00FC74AB">
        <w:rPr>
          <w:lang w:val="ca-ES"/>
        </w:rPr>
        <w:t xml:space="preserve">vulnerabilitat </w:t>
      </w:r>
      <w:r w:rsidR="00330872" w:rsidRPr="00FC74AB">
        <w:rPr>
          <w:lang w:val="ca-ES"/>
        </w:rPr>
        <w:t>subministrant</w:t>
      </w:r>
      <w:r w:rsidR="007E16DC" w:rsidRPr="00FC74AB">
        <w:rPr>
          <w:lang w:val="ca-ES"/>
        </w:rPr>
        <w:t xml:space="preserve"> </w:t>
      </w:r>
      <w:r w:rsidR="003A58C9" w:rsidRPr="00FC74AB">
        <w:rPr>
          <w:lang w:val="ca-ES"/>
        </w:rPr>
        <w:t>d’aigua</w:t>
      </w:r>
      <w:r w:rsidR="007E16DC" w:rsidRPr="00FC74AB">
        <w:rPr>
          <w:lang w:val="ca-ES"/>
        </w:rPr>
        <w:t xml:space="preserve"> </w:t>
      </w:r>
      <w:r w:rsidR="00244A47" w:rsidRPr="00FC74AB">
        <w:rPr>
          <w:lang w:val="ca-ES"/>
        </w:rPr>
        <w:t xml:space="preserve">a </w:t>
      </w:r>
      <w:r w:rsidR="00A144C9" w:rsidRPr="00FC74AB">
        <w:rPr>
          <w:lang w:val="ca-ES"/>
        </w:rPr>
        <w:t>tothom</w:t>
      </w:r>
      <w:r w:rsidR="007E16DC" w:rsidRPr="00FC74AB">
        <w:rPr>
          <w:lang w:val="ca-ES"/>
        </w:rPr>
        <w:t xml:space="preserve">, </w:t>
      </w:r>
      <w:r w:rsidR="00A144C9" w:rsidRPr="00FC74AB">
        <w:rPr>
          <w:lang w:val="ca-ES"/>
        </w:rPr>
        <w:t>independentment</w:t>
      </w:r>
      <w:r w:rsidR="007E16DC" w:rsidRPr="00FC74AB">
        <w:rPr>
          <w:lang w:val="ca-ES"/>
        </w:rPr>
        <w:t xml:space="preserve"> de la </w:t>
      </w:r>
      <w:r w:rsidR="00A144C9" w:rsidRPr="00FC74AB">
        <w:rPr>
          <w:lang w:val="ca-ES"/>
        </w:rPr>
        <w:t>capacitat</w:t>
      </w:r>
      <w:r w:rsidR="007E16DC" w:rsidRPr="00FC74AB">
        <w:rPr>
          <w:lang w:val="ca-ES"/>
        </w:rPr>
        <w:t xml:space="preserve"> </w:t>
      </w:r>
      <w:r w:rsidR="00A144C9" w:rsidRPr="00FC74AB">
        <w:rPr>
          <w:lang w:val="ca-ES"/>
        </w:rPr>
        <w:t>econòmica</w:t>
      </w:r>
      <w:r w:rsidR="007E16DC" w:rsidRPr="00FC74AB">
        <w:rPr>
          <w:lang w:val="ca-ES"/>
        </w:rPr>
        <w:t xml:space="preserve"> de cada</w:t>
      </w:r>
      <w:r w:rsidR="00A144C9" w:rsidRPr="00FC74AB">
        <w:rPr>
          <w:lang w:val="ca-ES"/>
        </w:rPr>
        <w:t>scú</w:t>
      </w:r>
      <w:r w:rsidR="007E16DC" w:rsidRPr="00FC74AB">
        <w:rPr>
          <w:lang w:val="ca-ES"/>
        </w:rPr>
        <w:t>,</w:t>
      </w:r>
      <w:r w:rsidR="007E4E7F" w:rsidRPr="00FC74AB">
        <w:rPr>
          <w:lang w:val="ca-ES"/>
        </w:rPr>
        <w:t xml:space="preserve"> i</w:t>
      </w:r>
      <w:r w:rsidR="00330872" w:rsidRPr="00FC74AB">
        <w:rPr>
          <w:lang w:val="ca-ES"/>
        </w:rPr>
        <w:t>, en general,</w:t>
      </w:r>
      <w:r w:rsidR="00B3113E" w:rsidRPr="00FC74AB">
        <w:rPr>
          <w:lang w:val="ca-ES"/>
        </w:rPr>
        <w:t xml:space="preserve"> </w:t>
      </w:r>
      <w:r w:rsidR="00330872" w:rsidRPr="00FC74AB">
        <w:rPr>
          <w:lang w:val="ca-ES"/>
        </w:rPr>
        <w:t>les administracions públiques ho van aprovar</w:t>
      </w:r>
      <w:r w:rsidR="007E16DC" w:rsidRPr="00FC74AB">
        <w:rPr>
          <w:rStyle w:val="FootnoteReference"/>
          <w:spacing w:val="2"/>
          <w:w w:val="102"/>
          <w:lang w:val="ca-ES"/>
        </w:rPr>
        <w:footnoteReference w:id="108"/>
      </w:r>
      <w:r w:rsidR="007E16DC" w:rsidRPr="00FC74AB">
        <w:rPr>
          <w:lang w:val="ca-ES"/>
        </w:rPr>
        <w:t>.</w:t>
      </w:r>
    </w:p>
    <w:p w14:paraId="71DF414B" w14:textId="77777777" w:rsidR="007E16DC" w:rsidRPr="00FC74AB" w:rsidRDefault="007E16DC" w:rsidP="007E16DC">
      <w:pPr>
        <w:pStyle w:val="SingleTxt"/>
        <w:spacing w:after="0" w:line="120" w:lineRule="exact"/>
        <w:rPr>
          <w:sz w:val="10"/>
          <w:lang w:val="ca-ES"/>
        </w:rPr>
      </w:pPr>
    </w:p>
    <w:p w14:paraId="1CD8BC41" w14:textId="77777777" w:rsidR="007E16DC" w:rsidRPr="00FC74AB" w:rsidRDefault="007E16DC" w:rsidP="007E16DC">
      <w:pPr>
        <w:pStyle w:val="SingleTxt"/>
        <w:spacing w:after="0" w:line="120" w:lineRule="exact"/>
        <w:rPr>
          <w:sz w:val="10"/>
          <w:lang w:val="ca-ES"/>
        </w:rPr>
      </w:pPr>
    </w:p>
    <w:p w14:paraId="41BAD391" w14:textId="679F72E1" w:rsidR="007E16DC" w:rsidRPr="00FC74AB" w:rsidRDefault="007E16DC" w:rsidP="0079440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sidRPr="00FC74AB">
        <w:rPr>
          <w:lang w:val="ca-ES"/>
        </w:rPr>
        <w:tab/>
        <w:t>V.</w:t>
      </w:r>
      <w:r w:rsidRPr="00FC74AB">
        <w:rPr>
          <w:lang w:val="ca-ES"/>
        </w:rPr>
        <w:tab/>
        <w:t xml:space="preserve">Abordar </w:t>
      </w:r>
      <w:r w:rsidR="00195395" w:rsidRPr="00FC74AB">
        <w:rPr>
          <w:lang w:val="ca-ES"/>
        </w:rPr>
        <w:t>els riscos</w:t>
      </w:r>
      <w:r w:rsidR="007E4E7F" w:rsidRPr="00FC74AB">
        <w:rPr>
          <w:lang w:val="ca-ES"/>
        </w:rPr>
        <w:t xml:space="preserve"> i </w:t>
      </w:r>
      <w:r w:rsidR="00195395" w:rsidRPr="00FC74AB">
        <w:rPr>
          <w:lang w:val="ca-ES"/>
        </w:rPr>
        <w:t>establir salvaguardes</w:t>
      </w:r>
    </w:p>
    <w:p w14:paraId="3753463B" w14:textId="77777777" w:rsidR="007E16DC" w:rsidRPr="00FC74AB" w:rsidRDefault="007E16DC" w:rsidP="007E16DC">
      <w:pPr>
        <w:pStyle w:val="SingleTxt"/>
        <w:spacing w:after="0" w:line="120" w:lineRule="exact"/>
        <w:rPr>
          <w:sz w:val="10"/>
          <w:lang w:val="ca-ES"/>
        </w:rPr>
      </w:pPr>
    </w:p>
    <w:p w14:paraId="10BA1622" w14:textId="77777777" w:rsidR="007E16DC" w:rsidRPr="00FC74AB" w:rsidRDefault="007E16DC" w:rsidP="007E16DC">
      <w:pPr>
        <w:pStyle w:val="SingleTxt"/>
        <w:spacing w:after="0" w:line="120" w:lineRule="exact"/>
        <w:rPr>
          <w:sz w:val="10"/>
          <w:lang w:val="ca-ES"/>
        </w:rPr>
      </w:pPr>
    </w:p>
    <w:p w14:paraId="4DEFE1E1" w14:textId="0986736D" w:rsidR="007E16DC" w:rsidRPr="00FC74AB" w:rsidRDefault="00CC7045" w:rsidP="003C42F4">
      <w:pPr>
        <w:pStyle w:val="SingleTxt"/>
        <w:numPr>
          <w:ilvl w:val="2"/>
          <w:numId w:val="49"/>
        </w:numPr>
        <w:spacing w:line="240" w:lineRule="atLeast"/>
        <w:ind w:left="1267" w:firstLine="0"/>
        <w:rPr>
          <w:lang w:val="ca-ES"/>
        </w:rPr>
      </w:pPr>
      <w:r w:rsidRPr="00FC74AB">
        <w:rPr>
          <w:lang w:val="ca-ES"/>
        </w:rPr>
        <w:t>Segons el dret internacional de</w:t>
      </w:r>
      <w:r w:rsidR="00917C3D" w:rsidRPr="00FC74AB">
        <w:rPr>
          <w:lang w:val="ca-ES"/>
        </w:rPr>
        <w:t>ls</w:t>
      </w:r>
      <w:r w:rsidRPr="00FC74AB">
        <w:rPr>
          <w:lang w:val="ca-ES"/>
        </w:rPr>
        <w:t xml:space="preserve"> drets humans, els Estats tenen l’obligació de respectar</w:t>
      </w:r>
      <w:r w:rsidR="004F1F54" w:rsidRPr="00FC74AB">
        <w:rPr>
          <w:lang w:val="ca-ES"/>
        </w:rPr>
        <w:t>-los</w:t>
      </w:r>
      <w:r w:rsidRPr="00FC74AB">
        <w:rPr>
          <w:lang w:val="ca-ES"/>
        </w:rPr>
        <w:t>, protegir</w:t>
      </w:r>
      <w:r w:rsidR="004F1F54" w:rsidRPr="00FC74AB">
        <w:rPr>
          <w:lang w:val="ca-ES"/>
        </w:rPr>
        <w:t>-los</w:t>
      </w:r>
      <w:r w:rsidRPr="00FC74AB">
        <w:rPr>
          <w:lang w:val="ca-ES"/>
        </w:rPr>
        <w:t xml:space="preserve"> i fer</w:t>
      </w:r>
      <w:r w:rsidR="004F1F54" w:rsidRPr="00FC74AB">
        <w:rPr>
          <w:lang w:val="ca-ES"/>
        </w:rPr>
        <w:t>-los</w:t>
      </w:r>
      <w:r w:rsidRPr="00FC74AB">
        <w:rPr>
          <w:lang w:val="ca-ES"/>
        </w:rPr>
        <w:t xml:space="preserve"> complir a tots els nivells al llarg de totes les etapes del procés de privatitza</w:t>
      </w:r>
      <w:r w:rsidR="004F1F54" w:rsidRPr="00FC74AB">
        <w:rPr>
          <w:lang w:val="ca-ES"/>
        </w:rPr>
        <w:t>ció. Quan una empresa opera a l’</w:t>
      </w:r>
      <w:r w:rsidRPr="00FC74AB">
        <w:rPr>
          <w:lang w:val="ca-ES"/>
        </w:rPr>
        <w:t>estranger, aquestes obligaci</w:t>
      </w:r>
      <w:r w:rsidR="004F1F54" w:rsidRPr="00FC74AB">
        <w:rPr>
          <w:lang w:val="ca-ES"/>
        </w:rPr>
        <w:t>ons s’</w:t>
      </w:r>
      <w:r w:rsidRPr="00FC74AB">
        <w:rPr>
          <w:lang w:val="ca-ES"/>
        </w:rPr>
        <w:t>apliquen tant als Est</w:t>
      </w:r>
      <w:r w:rsidR="004F1F54" w:rsidRPr="00FC74AB">
        <w:rPr>
          <w:lang w:val="ca-ES"/>
        </w:rPr>
        <w:t>ats d'origen com als d'acollida</w:t>
      </w:r>
      <w:r w:rsidR="007E16DC" w:rsidRPr="00FC74AB">
        <w:rPr>
          <w:rStyle w:val="FootnoteReference"/>
          <w:lang w:val="ca-ES"/>
        </w:rPr>
        <w:footnoteReference w:id="109"/>
      </w:r>
      <w:r w:rsidR="007E16DC" w:rsidRPr="00FC74AB">
        <w:rPr>
          <w:lang w:val="ca-ES"/>
        </w:rPr>
        <w:t xml:space="preserve">. </w:t>
      </w:r>
      <w:r w:rsidR="00656B8B" w:rsidRPr="00FC74AB">
        <w:rPr>
          <w:lang w:val="ca-ES"/>
        </w:rPr>
        <w:t>L</w:t>
      </w:r>
      <w:r w:rsidR="004F1F54" w:rsidRPr="00FC74AB">
        <w:rPr>
          <w:lang w:val="ca-ES"/>
        </w:rPr>
        <w:t>’</w:t>
      </w:r>
      <w:r w:rsidR="00656B8B" w:rsidRPr="00FC74AB">
        <w:rPr>
          <w:lang w:val="ca-ES"/>
        </w:rPr>
        <w:t xml:space="preserve">obligació de respectar-los requereix que els Estats identifiquin els possibles conflictes entre les obligacions en matèria de drets humans i els tractats o contractes comercials amb entitats privades, i </w:t>
      </w:r>
      <w:r w:rsidR="004F1F54" w:rsidRPr="00FC74AB">
        <w:rPr>
          <w:lang w:val="ca-ES"/>
        </w:rPr>
        <w:t xml:space="preserve">que s’abstinguin </w:t>
      </w:r>
      <w:r w:rsidR="00656B8B" w:rsidRPr="00FC74AB">
        <w:rPr>
          <w:lang w:val="ca-ES"/>
        </w:rPr>
        <w:t xml:space="preserve">d’adherir-se a tractats i de signar contractes si es detecten aquests conflictes. En aquest context, el dret mercantil, el dret internacional d’inversions i els arbitratges internacionals han de complir amb la legislació sobre drets humans, no estar-hi per sobre. L’obligació de protegir-los requereix que els Estats considerin </w:t>
      </w:r>
      <w:r w:rsidR="003C1D1B" w:rsidRPr="00FC74AB">
        <w:rPr>
          <w:lang w:val="ca-ES"/>
        </w:rPr>
        <w:t xml:space="preserve">la possibilitat d’imposar </w:t>
      </w:r>
      <w:r w:rsidR="00656B8B" w:rsidRPr="00FC74AB">
        <w:rPr>
          <w:lang w:val="ca-ES"/>
        </w:rPr>
        <w:t>sancion</w:t>
      </w:r>
      <w:r w:rsidR="003C1D1B" w:rsidRPr="00FC74AB">
        <w:rPr>
          <w:lang w:val="ca-ES"/>
        </w:rPr>
        <w:t>s</w:t>
      </w:r>
      <w:r w:rsidR="00656B8B" w:rsidRPr="00FC74AB">
        <w:rPr>
          <w:lang w:val="ca-ES"/>
        </w:rPr>
        <w:t xml:space="preserve"> i mult</w:t>
      </w:r>
      <w:r w:rsidR="003C1D1B" w:rsidRPr="00FC74AB">
        <w:rPr>
          <w:lang w:val="ca-ES"/>
        </w:rPr>
        <w:t>es</w:t>
      </w:r>
      <w:r w:rsidR="00656B8B" w:rsidRPr="00FC74AB">
        <w:rPr>
          <w:lang w:val="ca-ES"/>
        </w:rPr>
        <w:t>, permet que les víctimes interpos</w:t>
      </w:r>
      <w:r w:rsidR="003C1D1B" w:rsidRPr="00FC74AB">
        <w:rPr>
          <w:lang w:val="ca-ES"/>
        </w:rPr>
        <w:t>in</w:t>
      </w:r>
      <w:r w:rsidR="00656B8B" w:rsidRPr="00FC74AB">
        <w:rPr>
          <w:lang w:val="ca-ES"/>
        </w:rPr>
        <w:t xml:space="preserve"> demandes civils, i que es puguin revocar llicències i contractes públics, entre altres accions, quan l’activitat empresarial vulnera els drets h</w:t>
      </w:r>
      <w:r w:rsidR="003C1D1B" w:rsidRPr="00FC74AB">
        <w:rPr>
          <w:lang w:val="ca-ES"/>
        </w:rPr>
        <w:t>umans a l’aigua i al sanejament</w:t>
      </w:r>
      <w:r w:rsidR="007E16DC" w:rsidRPr="00FC74AB">
        <w:rPr>
          <w:rStyle w:val="FootnoteReference"/>
          <w:lang w:val="ca-ES"/>
        </w:rPr>
        <w:footnoteReference w:id="110"/>
      </w:r>
      <w:r w:rsidR="007E16DC" w:rsidRPr="00FC74AB">
        <w:rPr>
          <w:lang w:val="ca-ES"/>
        </w:rPr>
        <w:t xml:space="preserve">. </w:t>
      </w:r>
      <w:r w:rsidR="00656B8B" w:rsidRPr="00FC74AB">
        <w:rPr>
          <w:lang w:val="ca-ES"/>
        </w:rPr>
        <w:t>L</w:t>
      </w:r>
      <w:r w:rsidR="00D733A6" w:rsidRPr="00FC74AB">
        <w:rPr>
          <w:lang w:val="ca-ES"/>
        </w:rPr>
        <w:t>’</w:t>
      </w:r>
      <w:r w:rsidR="00656B8B" w:rsidRPr="00FC74AB">
        <w:rPr>
          <w:lang w:val="ca-ES"/>
        </w:rPr>
        <w:t xml:space="preserve">obligació de fer-los complir requereix que els Estats orientin els esforços de les entitats </w:t>
      </w:r>
      <w:r w:rsidR="00D733A6" w:rsidRPr="00FC74AB">
        <w:rPr>
          <w:lang w:val="ca-ES"/>
        </w:rPr>
        <w:t xml:space="preserve">comercials </w:t>
      </w:r>
      <w:r w:rsidR="00656B8B" w:rsidRPr="00FC74AB">
        <w:rPr>
          <w:lang w:val="ca-ES"/>
        </w:rPr>
        <w:t>cap a l’acompliment p</w:t>
      </w:r>
      <w:r w:rsidR="00D733A6" w:rsidRPr="00FC74AB">
        <w:rPr>
          <w:lang w:val="ca-ES"/>
        </w:rPr>
        <w:t>rogressiu dels drets humans a l’</w:t>
      </w:r>
      <w:r w:rsidR="00656B8B" w:rsidRPr="00FC74AB">
        <w:rPr>
          <w:lang w:val="ca-ES"/>
        </w:rPr>
        <w:t>aigua i el sanejament, i que impedeixin que les emprese</w:t>
      </w:r>
      <w:r w:rsidR="00D733A6" w:rsidRPr="00FC74AB">
        <w:rPr>
          <w:lang w:val="ca-ES"/>
        </w:rPr>
        <w:t>s els violin en d’altres països</w:t>
      </w:r>
      <w:r w:rsidR="007E16DC" w:rsidRPr="00FC74AB">
        <w:rPr>
          <w:rStyle w:val="FootnoteReference"/>
          <w:lang w:val="ca-ES"/>
        </w:rPr>
        <w:footnoteReference w:id="111"/>
      </w:r>
      <w:r w:rsidR="007E16DC" w:rsidRPr="00FC74AB">
        <w:rPr>
          <w:lang w:val="ca-ES"/>
        </w:rPr>
        <w:t xml:space="preserve">. </w:t>
      </w:r>
      <w:r w:rsidR="00D733A6" w:rsidRPr="00FC74AB">
        <w:rPr>
          <w:lang w:val="ca-ES"/>
        </w:rPr>
        <w:t>Aquestes obligacions exigeixen que els Estats adoptin diverses mesures abans, durant i després dels processos de privatització</w:t>
      </w:r>
      <w:r w:rsidR="007E16DC" w:rsidRPr="00FC74AB">
        <w:rPr>
          <w:lang w:val="ca-ES"/>
        </w:rPr>
        <w:t>.</w:t>
      </w:r>
    </w:p>
    <w:p w14:paraId="06B9522D" w14:textId="0606D2C6" w:rsidR="007E16DC" w:rsidRPr="00FC74AB" w:rsidRDefault="00656B8B" w:rsidP="00B02222">
      <w:pPr>
        <w:pStyle w:val="SingleTxt"/>
        <w:numPr>
          <w:ilvl w:val="2"/>
          <w:numId w:val="49"/>
        </w:numPr>
        <w:spacing w:line="240" w:lineRule="atLeast"/>
        <w:ind w:left="1267" w:firstLine="0"/>
        <w:rPr>
          <w:spacing w:val="2"/>
          <w:w w:val="101"/>
          <w:lang w:val="ca-ES"/>
        </w:rPr>
      </w:pPr>
      <w:r w:rsidRPr="00FC74AB">
        <w:rPr>
          <w:lang w:val="ca-ES"/>
        </w:rPr>
        <w:t xml:space="preserve">Delegar serveis d’aigua i sanejament a </w:t>
      </w:r>
      <w:r w:rsidR="00201C39" w:rsidRPr="00FC74AB">
        <w:rPr>
          <w:lang w:val="ca-ES"/>
        </w:rPr>
        <w:t xml:space="preserve">entitats del sector privat </w:t>
      </w:r>
      <w:r w:rsidRPr="00FC74AB">
        <w:rPr>
          <w:lang w:val="ca-ES"/>
        </w:rPr>
        <w:t>vol dir que els Estats confiaran a un tercer el compliment de les obligacions legals que tenen de fer efectius els drets humans a l’aigua i al sanejament. Tot i que no prohibeix que les empreses privades prenguin part en la prestació de serveis, el marc de drets humans insta els Estats a establir mesures preventives per evitar que la seva capacitat per complir les obligacions en matèria de drets humans es vegi afectada. Atès que la prestació de serveis és una activitat clau per a l’acompliment dels drets a l’aigua i el sanejament, el Relator Especial considera que la decisió sobre privatitza</w:t>
      </w:r>
      <w:r w:rsidR="00244A47" w:rsidRPr="00FC74AB">
        <w:rPr>
          <w:lang w:val="ca-ES"/>
        </w:rPr>
        <w:t xml:space="preserve">r o no </w:t>
      </w:r>
      <w:r w:rsidRPr="00FC74AB">
        <w:rPr>
          <w:lang w:val="ca-ES"/>
        </w:rPr>
        <w:t xml:space="preserve">els serveis ha de formar part d’una estratègia general per fer realitat aquests drets, tot prioritzant l’accés de les persones desateses i garantint que els serveis siguin assequibles per a tothom. </w:t>
      </w:r>
      <w:r w:rsidR="00244A47" w:rsidRPr="00FC74AB">
        <w:rPr>
          <w:lang w:val="ca-ES"/>
        </w:rPr>
        <w:t>Pe</w:t>
      </w:r>
      <w:r w:rsidR="007E16DC" w:rsidRPr="00FC74AB">
        <w:rPr>
          <w:lang w:val="ca-ES"/>
        </w:rPr>
        <w:t xml:space="preserve">r </w:t>
      </w:r>
      <w:r w:rsidR="00244A47" w:rsidRPr="00FC74AB">
        <w:rPr>
          <w:lang w:val="ca-ES"/>
        </w:rPr>
        <w:t>tant</w:t>
      </w:r>
      <w:r w:rsidR="007E16DC" w:rsidRPr="00FC74AB">
        <w:rPr>
          <w:lang w:val="ca-ES"/>
        </w:rPr>
        <w:t>,</w:t>
      </w:r>
      <w:r w:rsidR="005214BF" w:rsidRPr="00FC74AB">
        <w:rPr>
          <w:lang w:val="ca-ES"/>
        </w:rPr>
        <w:t xml:space="preserve"> els </w:t>
      </w:r>
      <w:r w:rsidR="00195395" w:rsidRPr="00FC74AB">
        <w:rPr>
          <w:lang w:val="ca-ES"/>
        </w:rPr>
        <w:t>Estats</w:t>
      </w:r>
      <w:r w:rsidR="007E16DC" w:rsidRPr="00FC74AB">
        <w:rPr>
          <w:lang w:val="ca-ES"/>
        </w:rPr>
        <w:t xml:space="preserve"> </w:t>
      </w:r>
      <w:r w:rsidR="00244A47" w:rsidRPr="00FC74AB">
        <w:rPr>
          <w:lang w:val="ca-ES"/>
        </w:rPr>
        <w:t xml:space="preserve">han d’avaluar </w:t>
      </w:r>
      <w:r w:rsidR="00B02222" w:rsidRPr="00FC74AB">
        <w:rPr>
          <w:lang w:val="ca-ES"/>
        </w:rPr>
        <w:t>a fons</w:t>
      </w:r>
      <w:r w:rsidR="007E16DC" w:rsidRPr="00FC74AB">
        <w:rPr>
          <w:lang w:val="ca-ES"/>
        </w:rPr>
        <w:t xml:space="preserve"> </w:t>
      </w:r>
      <w:r w:rsidR="00195395" w:rsidRPr="00FC74AB">
        <w:rPr>
          <w:lang w:val="ca-ES"/>
        </w:rPr>
        <w:t>els riscos</w:t>
      </w:r>
      <w:r w:rsidR="00244A47" w:rsidRPr="00FC74AB">
        <w:rPr>
          <w:lang w:val="ca-ES"/>
        </w:rPr>
        <w:t xml:space="preserve"> descrit</w:t>
      </w:r>
      <w:r w:rsidR="007E16DC" w:rsidRPr="00FC74AB">
        <w:rPr>
          <w:lang w:val="ca-ES"/>
        </w:rPr>
        <w:t xml:space="preserve">s </w:t>
      </w:r>
      <w:r w:rsidR="00244A47" w:rsidRPr="00FC74AB">
        <w:rPr>
          <w:lang w:val="ca-ES"/>
        </w:rPr>
        <w:t>a</w:t>
      </w:r>
      <w:r w:rsidR="007E16DC" w:rsidRPr="00FC74AB">
        <w:rPr>
          <w:lang w:val="ca-ES"/>
        </w:rPr>
        <w:t xml:space="preserve"> la secció</w:t>
      </w:r>
      <w:r w:rsidR="00244A47" w:rsidRPr="00FC74AB">
        <w:rPr>
          <w:lang w:val="ca-ES"/>
        </w:rPr>
        <w:t xml:space="preserve"> </w:t>
      </w:r>
      <w:r w:rsidR="007E16DC" w:rsidRPr="00FC74AB">
        <w:rPr>
          <w:lang w:val="ca-ES"/>
        </w:rPr>
        <w:t>IV</w:t>
      </w:r>
      <w:r w:rsidR="007E4E7F" w:rsidRPr="00FC74AB">
        <w:rPr>
          <w:lang w:val="ca-ES"/>
        </w:rPr>
        <w:t xml:space="preserve"> i </w:t>
      </w:r>
      <w:r w:rsidR="007E16DC" w:rsidRPr="00FC74AB">
        <w:rPr>
          <w:lang w:val="ca-ES"/>
        </w:rPr>
        <w:t>establ</w:t>
      </w:r>
      <w:r w:rsidR="00244A47" w:rsidRPr="00FC74AB">
        <w:rPr>
          <w:lang w:val="ca-ES"/>
        </w:rPr>
        <w:t>ir</w:t>
      </w:r>
      <w:r w:rsidR="00B3113E" w:rsidRPr="00FC74AB">
        <w:rPr>
          <w:lang w:val="ca-ES"/>
        </w:rPr>
        <w:t xml:space="preserve"> les </w:t>
      </w:r>
      <w:r w:rsidR="00D85349" w:rsidRPr="00FC74AB">
        <w:rPr>
          <w:lang w:val="ca-ES"/>
        </w:rPr>
        <w:t>salvaguardes</w:t>
      </w:r>
      <w:r w:rsidR="007E16DC" w:rsidRPr="00FC74AB">
        <w:rPr>
          <w:lang w:val="ca-ES"/>
        </w:rPr>
        <w:t xml:space="preserve"> </w:t>
      </w:r>
      <w:r w:rsidR="00244A47" w:rsidRPr="00FC74AB">
        <w:rPr>
          <w:lang w:val="ca-ES"/>
        </w:rPr>
        <w:t>pertinents per</w:t>
      </w:r>
      <w:r w:rsidR="007E16DC" w:rsidRPr="00FC74AB">
        <w:rPr>
          <w:lang w:val="ca-ES"/>
        </w:rPr>
        <w:t xml:space="preserve"> garantir que s</w:t>
      </w:r>
      <w:r w:rsidR="00244A47" w:rsidRPr="00FC74AB">
        <w:rPr>
          <w:lang w:val="ca-ES"/>
        </w:rPr>
        <w:t>’</w:t>
      </w:r>
      <w:r w:rsidR="007E16DC" w:rsidRPr="00FC74AB">
        <w:rPr>
          <w:lang w:val="ca-ES"/>
        </w:rPr>
        <w:t xml:space="preserve">aborden </w:t>
      </w:r>
      <w:r w:rsidR="00244A47" w:rsidRPr="00FC74AB">
        <w:rPr>
          <w:lang w:val="ca-ES"/>
        </w:rPr>
        <w:t>adequadament</w:t>
      </w:r>
      <w:r w:rsidR="007E16DC" w:rsidRPr="00FC74AB">
        <w:rPr>
          <w:lang w:val="ca-ES"/>
        </w:rPr>
        <w:t xml:space="preserve">. </w:t>
      </w:r>
      <w:r w:rsidR="00244A47" w:rsidRPr="00FC74AB">
        <w:rPr>
          <w:lang w:val="ca-ES"/>
        </w:rPr>
        <w:t>A la secció</w:t>
      </w:r>
      <w:r w:rsidR="007E16DC" w:rsidRPr="00FC74AB">
        <w:rPr>
          <w:lang w:val="ca-ES"/>
        </w:rPr>
        <w:t xml:space="preserve"> V, el Relator Especial</w:t>
      </w:r>
      <w:r w:rsidR="00244A47" w:rsidRPr="00FC74AB">
        <w:rPr>
          <w:lang w:val="ca-ES"/>
        </w:rPr>
        <w:t xml:space="preserve">, </w:t>
      </w:r>
      <w:r w:rsidR="00224B5C" w:rsidRPr="00FC74AB">
        <w:rPr>
          <w:lang w:val="ca-ES"/>
        </w:rPr>
        <w:t>partint de les</w:t>
      </w:r>
      <w:r w:rsidR="00244A47" w:rsidRPr="00FC74AB">
        <w:rPr>
          <w:lang w:val="ca-ES"/>
        </w:rPr>
        <w:t xml:space="preserve"> obligacions i responsabilitats establertes,</w:t>
      </w:r>
      <w:r w:rsidR="007E16DC" w:rsidRPr="00FC74AB">
        <w:rPr>
          <w:lang w:val="ca-ES"/>
        </w:rPr>
        <w:t xml:space="preserve"> formula recom</w:t>
      </w:r>
      <w:r w:rsidR="00244A47" w:rsidRPr="00FC74AB">
        <w:rPr>
          <w:lang w:val="ca-ES"/>
        </w:rPr>
        <w:t>anacion</w:t>
      </w:r>
      <w:r w:rsidR="007E16DC" w:rsidRPr="00FC74AB">
        <w:rPr>
          <w:lang w:val="ca-ES"/>
        </w:rPr>
        <w:t xml:space="preserve">s </w:t>
      </w:r>
      <w:r w:rsidR="009A31D3" w:rsidRPr="00FC74AB">
        <w:rPr>
          <w:lang w:val="ca-ES"/>
        </w:rPr>
        <w:t>als</w:t>
      </w:r>
      <w:r w:rsidR="005214BF" w:rsidRPr="00FC74AB">
        <w:rPr>
          <w:lang w:val="ca-ES"/>
        </w:rPr>
        <w:t xml:space="preserve"> </w:t>
      </w:r>
      <w:r w:rsidR="00195395" w:rsidRPr="00FC74AB">
        <w:rPr>
          <w:lang w:val="ca-ES"/>
        </w:rPr>
        <w:t>Estats</w:t>
      </w:r>
      <w:r w:rsidR="007E16DC" w:rsidRPr="00FC74AB">
        <w:rPr>
          <w:lang w:val="ca-ES"/>
        </w:rPr>
        <w:t>,</w:t>
      </w:r>
      <w:r w:rsidR="00B3113E" w:rsidRPr="00FC74AB">
        <w:rPr>
          <w:lang w:val="ca-ES"/>
        </w:rPr>
        <w:t xml:space="preserve"> les </w:t>
      </w:r>
      <w:r w:rsidR="00E31C4A" w:rsidRPr="00FC74AB">
        <w:rPr>
          <w:lang w:val="ca-ES"/>
        </w:rPr>
        <w:t>empreses</w:t>
      </w:r>
      <w:r w:rsidR="007E4E7F" w:rsidRPr="00FC74AB">
        <w:rPr>
          <w:lang w:val="ca-ES"/>
        </w:rPr>
        <w:t xml:space="preserve"> i</w:t>
      </w:r>
      <w:r w:rsidR="00B3113E" w:rsidRPr="00FC74AB">
        <w:rPr>
          <w:lang w:val="ca-ES"/>
        </w:rPr>
        <w:t xml:space="preserve"> les </w:t>
      </w:r>
      <w:r w:rsidR="0012347D" w:rsidRPr="00FC74AB">
        <w:rPr>
          <w:lang w:val="ca-ES"/>
        </w:rPr>
        <w:t>organitzacions</w:t>
      </w:r>
      <w:r w:rsidR="007E16DC" w:rsidRPr="00FC74AB">
        <w:rPr>
          <w:lang w:val="ca-ES"/>
        </w:rPr>
        <w:t xml:space="preserve"> </w:t>
      </w:r>
      <w:r w:rsidR="00F92C3D" w:rsidRPr="00FC74AB">
        <w:rPr>
          <w:lang w:val="ca-ES"/>
        </w:rPr>
        <w:t>internacionals</w:t>
      </w:r>
      <w:r w:rsidR="00244A47" w:rsidRPr="00FC74AB">
        <w:rPr>
          <w:lang w:val="ca-ES"/>
        </w:rPr>
        <w:t xml:space="preserve"> que interv</w:t>
      </w:r>
      <w:r w:rsidR="007E16DC" w:rsidRPr="00FC74AB">
        <w:rPr>
          <w:lang w:val="ca-ES"/>
        </w:rPr>
        <w:t>enen en</w:t>
      </w:r>
      <w:r w:rsidR="005214BF" w:rsidRPr="00FC74AB">
        <w:rPr>
          <w:lang w:val="ca-ES"/>
        </w:rPr>
        <w:t xml:space="preserve"> els </w:t>
      </w:r>
      <w:r w:rsidR="00244A47" w:rsidRPr="00FC74AB">
        <w:rPr>
          <w:lang w:val="ca-ES"/>
        </w:rPr>
        <w:t>processos</w:t>
      </w:r>
      <w:r w:rsidR="007E16DC" w:rsidRPr="00FC74AB">
        <w:rPr>
          <w:lang w:val="ca-ES"/>
        </w:rPr>
        <w:t xml:space="preserve"> de </w:t>
      </w:r>
      <w:r w:rsidR="007E4E7F" w:rsidRPr="00FC74AB">
        <w:rPr>
          <w:lang w:val="ca-ES"/>
        </w:rPr>
        <w:t>privatització</w:t>
      </w:r>
      <w:r w:rsidR="007E16DC" w:rsidRPr="00FC74AB">
        <w:rPr>
          <w:lang w:val="ca-ES"/>
        </w:rPr>
        <w:t>.</w:t>
      </w:r>
    </w:p>
    <w:p w14:paraId="0E924F3C" w14:textId="77777777" w:rsidR="007E16DC" w:rsidRPr="00FC74AB" w:rsidRDefault="007E16DC" w:rsidP="007E16DC">
      <w:pPr>
        <w:pStyle w:val="SingleTxt"/>
        <w:spacing w:after="0" w:line="120" w:lineRule="exact"/>
        <w:rPr>
          <w:sz w:val="10"/>
          <w:lang w:val="ca-ES"/>
        </w:rPr>
      </w:pPr>
    </w:p>
    <w:p w14:paraId="1DF65DD5" w14:textId="77777777" w:rsidR="007E16DC" w:rsidRPr="00FC74AB" w:rsidRDefault="007E16DC" w:rsidP="007E16DC">
      <w:pPr>
        <w:pStyle w:val="SingleTxt"/>
        <w:spacing w:after="0" w:line="120" w:lineRule="exact"/>
        <w:rPr>
          <w:sz w:val="10"/>
          <w:lang w:val="ca-ES"/>
        </w:rPr>
      </w:pPr>
    </w:p>
    <w:p w14:paraId="0F7A6E3A" w14:textId="5FF2BE58" w:rsidR="007E16DC" w:rsidRPr="00FC74AB" w:rsidRDefault="007E16DC" w:rsidP="007944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A.</w:t>
      </w:r>
      <w:r w:rsidRPr="00FC74AB">
        <w:rPr>
          <w:lang w:val="ca-ES"/>
        </w:rPr>
        <w:tab/>
      </w:r>
      <w:r w:rsidR="00195395" w:rsidRPr="00FC74AB">
        <w:rPr>
          <w:lang w:val="ca-ES"/>
        </w:rPr>
        <w:t>Estats</w:t>
      </w:r>
    </w:p>
    <w:p w14:paraId="66E3633C" w14:textId="77777777" w:rsidR="007E16DC" w:rsidRPr="00FC74AB" w:rsidRDefault="007E16DC" w:rsidP="007E16DC">
      <w:pPr>
        <w:pStyle w:val="SingleTxt"/>
        <w:spacing w:after="0" w:line="120" w:lineRule="exact"/>
        <w:rPr>
          <w:sz w:val="10"/>
          <w:lang w:val="ca-ES"/>
        </w:rPr>
      </w:pPr>
    </w:p>
    <w:p w14:paraId="3C62EF88" w14:textId="77777777" w:rsidR="007E16DC" w:rsidRPr="00FC74AB" w:rsidRDefault="007E16DC" w:rsidP="007E16DC">
      <w:pPr>
        <w:pStyle w:val="SingleTxt"/>
        <w:spacing w:after="0" w:line="120" w:lineRule="exact"/>
        <w:rPr>
          <w:sz w:val="10"/>
          <w:lang w:val="ca-ES"/>
        </w:rPr>
      </w:pPr>
    </w:p>
    <w:p w14:paraId="3A8BFC1D" w14:textId="5CABA386" w:rsidR="007E16DC" w:rsidRPr="00FC74AB" w:rsidRDefault="007E16DC" w:rsidP="003654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sidRPr="00FC74AB">
        <w:rPr>
          <w:lang w:val="ca-ES"/>
        </w:rPr>
        <w:tab/>
        <w:t>1.</w:t>
      </w:r>
      <w:r w:rsidRPr="00FC74AB">
        <w:rPr>
          <w:lang w:val="ca-ES"/>
        </w:rPr>
        <w:tab/>
      </w:r>
      <w:r w:rsidR="003654F2" w:rsidRPr="00FC74AB">
        <w:rPr>
          <w:lang w:val="ca-ES"/>
        </w:rPr>
        <w:t>Abans d’apr</w:t>
      </w:r>
      <w:r w:rsidR="00195395" w:rsidRPr="00FC74AB">
        <w:rPr>
          <w:lang w:val="ca-ES"/>
        </w:rPr>
        <w:t>o</w:t>
      </w:r>
      <w:r w:rsidR="003654F2" w:rsidRPr="00FC74AB">
        <w:rPr>
          <w:lang w:val="ca-ES"/>
        </w:rPr>
        <w:t>v</w:t>
      </w:r>
      <w:r w:rsidR="00195395" w:rsidRPr="00FC74AB">
        <w:rPr>
          <w:lang w:val="ca-ES"/>
        </w:rPr>
        <w:t>ar</w:t>
      </w:r>
      <w:r w:rsidRPr="00FC74AB">
        <w:rPr>
          <w:lang w:val="ca-ES"/>
        </w:rPr>
        <w:t xml:space="preserve"> la </w:t>
      </w:r>
      <w:r w:rsidR="007E4E7F" w:rsidRPr="00FC74AB">
        <w:rPr>
          <w:lang w:val="ca-ES"/>
        </w:rPr>
        <w:t>privatització</w:t>
      </w:r>
    </w:p>
    <w:p w14:paraId="2753B7DB" w14:textId="77777777" w:rsidR="007E16DC" w:rsidRPr="00FC74AB" w:rsidRDefault="007E16DC" w:rsidP="007E16DC">
      <w:pPr>
        <w:pStyle w:val="SingleTxt"/>
        <w:spacing w:after="0" w:line="120" w:lineRule="exact"/>
        <w:rPr>
          <w:sz w:val="10"/>
          <w:lang w:val="ca-ES"/>
        </w:rPr>
      </w:pPr>
    </w:p>
    <w:p w14:paraId="51C125CC" w14:textId="0C1A1C7F" w:rsidR="007E16DC" w:rsidRPr="00FC74AB" w:rsidRDefault="00244A47" w:rsidP="00942EB0">
      <w:pPr>
        <w:pStyle w:val="SingleTxt"/>
        <w:numPr>
          <w:ilvl w:val="2"/>
          <w:numId w:val="49"/>
        </w:numPr>
        <w:spacing w:line="240" w:lineRule="atLeast"/>
        <w:ind w:left="1267" w:firstLine="0"/>
        <w:rPr>
          <w:lang w:val="ca-ES"/>
        </w:rPr>
      </w:pPr>
      <w:r w:rsidRPr="00FC74AB">
        <w:rPr>
          <w:lang w:val="ca-ES"/>
        </w:rPr>
        <w:t>Quan es planteja l’adopció d’un model privat de presta</w:t>
      </w:r>
      <w:r w:rsidR="00EF7929" w:rsidRPr="00FC74AB">
        <w:rPr>
          <w:lang w:val="ca-ES"/>
        </w:rPr>
        <w:t>ció de servei, els Estats ha</w:t>
      </w:r>
      <w:r w:rsidRPr="00FC74AB">
        <w:rPr>
          <w:lang w:val="ca-ES"/>
        </w:rPr>
        <w:t xml:space="preserve">n de promoure mecanismes transparents i una rendició de comptes clara per recolzar la presa de decisions i debatre obertament les alternatives amb la societat civil i les comunitats potencialment afectades. </w:t>
      </w:r>
      <w:r w:rsidR="00EF7929" w:rsidRPr="00FC74AB">
        <w:rPr>
          <w:lang w:val="ca-ES"/>
        </w:rPr>
        <w:t>Massa sovint, els proce</w:t>
      </w:r>
      <w:r w:rsidR="00560024" w:rsidRPr="00FC74AB">
        <w:rPr>
          <w:lang w:val="ca-ES"/>
        </w:rPr>
        <w:t>s</w:t>
      </w:r>
      <w:r w:rsidR="00EF7929" w:rsidRPr="00FC74AB">
        <w:rPr>
          <w:lang w:val="ca-ES"/>
        </w:rPr>
        <w:t xml:space="preserve">sos de privatització es duen a terme de manera opaca, </w:t>
      </w:r>
      <w:r w:rsidR="00560024" w:rsidRPr="00FC74AB">
        <w:rPr>
          <w:lang w:val="ca-ES"/>
        </w:rPr>
        <w:t xml:space="preserve">i això limita </w:t>
      </w:r>
      <w:r w:rsidR="00EF7929" w:rsidRPr="00FC74AB">
        <w:rPr>
          <w:lang w:val="ca-ES"/>
        </w:rPr>
        <w:t>la capacitat dels titulars de drets d</w:t>
      </w:r>
      <w:r w:rsidR="00560024" w:rsidRPr="00FC74AB">
        <w:rPr>
          <w:lang w:val="ca-ES"/>
        </w:rPr>
        <w:t>’</w:t>
      </w:r>
      <w:r w:rsidR="00EF7929" w:rsidRPr="00FC74AB">
        <w:rPr>
          <w:lang w:val="ca-ES"/>
        </w:rPr>
        <w:t xml:space="preserve">intervenir </w:t>
      </w:r>
      <w:r w:rsidR="00AC2C31" w:rsidRPr="00FC74AB">
        <w:rPr>
          <w:lang w:val="ca-ES"/>
        </w:rPr>
        <w:t xml:space="preserve">adequadament i en el moment oportú </w:t>
      </w:r>
      <w:r w:rsidR="00EF7929" w:rsidRPr="00FC74AB">
        <w:rPr>
          <w:lang w:val="ca-ES"/>
        </w:rPr>
        <w:t>en la presa de decisions.</w:t>
      </w:r>
      <w:r w:rsidR="007E16DC" w:rsidRPr="00FC74AB">
        <w:rPr>
          <w:lang w:val="ca-ES"/>
        </w:rPr>
        <w:t xml:space="preserve"> </w:t>
      </w:r>
      <w:r w:rsidR="00EF7929" w:rsidRPr="00FC74AB">
        <w:rPr>
          <w:lang w:val="ca-ES"/>
        </w:rPr>
        <w:t>Les salvaguardes necessàries durant l</w:t>
      </w:r>
      <w:r w:rsidR="00942EB0" w:rsidRPr="00FC74AB">
        <w:rPr>
          <w:lang w:val="ca-ES"/>
        </w:rPr>
        <w:t>a fase</w:t>
      </w:r>
      <w:r w:rsidR="00EF7929" w:rsidRPr="00FC74AB">
        <w:rPr>
          <w:lang w:val="ca-ES"/>
        </w:rPr>
        <w:t xml:space="preserve"> de presa de decisions inclouen processos de contractació transparents i ben dissenyats per impedir que les empreses pressionin les autoritats públiques perquè estableixin condicions esbiaixades o participin en una estratègia de licitacions insuficients</w:t>
      </w:r>
      <w:r w:rsidR="007E16DC" w:rsidRPr="00FC74AB">
        <w:rPr>
          <w:rStyle w:val="FootnoteReference"/>
          <w:spacing w:val="3"/>
          <w:w w:val="102"/>
          <w:lang w:val="ca-ES"/>
        </w:rPr>
        <w:footnoteReference w:id="112"/>
      </w:r>
      <w:r w:rsidR="007E16DC" w:rsidRPr="00FC74AB">
        <w:rPr>
          <w:lang w:val="ca-ES"/>
        </w:rPr>
        <w:t xml:space="preserve">. </w:t>
      </w:r>
      <w:r w:rsidR="00EF7929" w:rsidRPr="00FC74AB">
        <w:rPr>
          <w:lang w:val="ca-ES"/>
        </w:rPr>
        <w:t>Els gar</w:t>
      </w:r>
      <w:r w:rsidR="00942EB0" w:rsidRPr="00FC74AB">
        <w:rPr>
          <w:lang w:val="ca-ES"/>
        </w:rPr>
        <w:t>ants de drets han de permetre l’</w:t>
      </w:r>
      <w:r w:rsidR="00EF7929" w:rsidRPr="00FC74AB">
        <w:rPr>
          <w:lang w:val="ca-ES"/>
        </w:rPr>
        <w:t>escrutini públic</w:t>
      </w:r>
      <w:r w:rsidR="00942EB0" w:rsidRPr="00FC74AB">
        <w:rPr>
          <w:lang w:val="ca-ES"/>
        </w:rPr>
        <w:t xml:space="preserve"> de tots</w:t>
      </w:r>
      <w:r w:rsidR="00EF7929" w:rsidRPr="00FC74AB">
        <w:rPr>
          <w:lang w:val="ca-ES"/>
        </w:rPr>
        <w:t xml:space="preserve"> el</w:t>
      </w:r>
      <w:r w:rsidR="00942EB0" w:rsidRPr="00FC74AB">
        <w:rPr>
          <w:lang w:val="ca-ES"/>
        </w:rPr>
        <w:t xml:space="preserve">s documents oficials durant el procés i tenir en compte </w:t>
      </w:r>
      <w:r w:rsidR="00EF7929" w:rsidRPr="00FC74AB">
        <w:rPr>
          <w:lang w:val="ca-ES"/>
        </w:rPr>
        <w:t>l</w:t>
      </w:r>
      <w:r w:rsidR="00942EB0" w:rsidRPr="00FC74AB">
        <w:rPr>
          <w:lang w:val="ca-ES"/>
        </w:rPr>
        <w:t>e</w:t>
      </w:r>
      <w:r w:rsidR="00EF7929" w:rsidRPr="00FC74AB">
        <w:rPr>
          <w:lang w:val="ca-ES"/>
        </w:rPr>
        <w:t>s opinions dels titulars de drets.</w:t>
      </w:r>
    </w:p>
    <w:p w14:paraId="79D3E9C2" w14:textId="77777777" w:rsidR="007E16DC" w:rsidRPr="00FC74AB" w:rsidRDefault="007E16DC" w:rsidP="007E16DC">
      <w:pPr>
        <w:pStyle w:val="SingleTxt"/>
        <w:spacing w:after="0" w:line="120" w:lineRule="exact"/>
        <w:rPr>
          <w:sz w:val="10"/>
          <w:lang w:val="ca-ES"/>
        </w:rPr>
      </w:pPr>
    </w:p>
    <w:p w14:paraId="51BBB1D5" w14:textId="2BB053B2" w:rsidR="007E16DC" w:rsidRPr="00FC74AB" w:rsidRDefault="007E16DC" w:rsidP="00794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sidRPr="00FC74AB">
        <w:rPr>
          <w:lang w:val="ca-ES"/>
        </w:rPr>
        <w:tab/>
        <w:t>2.</w:t>
      </w:r>
      <w:r w:rsidRPr="00FC74AB">
        <w:rPr>
          <w:lang w:val="ca-ES"/>
        </w:rPr>
        <w:tab/>
      </w:r>
      <w:r w:rsidR="00195395" w:rsidRPr="00FC74AB">
        <w:rPr>
          <w:lang w:val="ca-ES"/>
        </w:rPr>
        <w:t>Redacció de contractes</w:t>
      </w:r>
    </w:p>
    <w:p w14:paraId="28A22A0C" w14:textId="77777777" w:rsidR="007E16DC" w:rsidRPr="00FC74AB" w:rsidRDefault="007E16DC" w:rsidP="007E16DC">
      <w:pPr>
        <w:pStyle w:val="SingleTxt"/>
        <w:spacing w:after="0" w:line="120" w:lineRule="exact"/>
        <w:rPr>
          <w:sz w:val="10"/>
          <w:lang w:val="ca-ES"/>
        </w:rPr>
      </w:pPr>
    </w:p>
    <w:p w14:paraId="7033D6E3" w14:textId="088EF919" w:rsidR="007E16DC" w:rsidRPr="00FC74AB" w:rsidRDefault="00244A47" w:rsidP="003F0EA2">
      <w:pPr>
        <w:pStyle w:val="SingleTxt"/>
        <w:numPr>
          <w:ilvl w:val="2"/>
          <w:numId w:val="49"/>
        </w:numPr>
        <w:spacing w:line="240" w:lineRule="atLeast"/>
        <w:ind w:left="1267" w:firstLine="0"/>
        <w:rPr>
          <w:lang w:val="ca-ES"/>
        </w:rPr>
      </w:pPr>
      <w:r w:rsidRPr="00FC74AB">
        <w:rPr>
          <w:lang w:val="ca-ES"/>
        </w:rPr>
        <w:t xml:space="preserve">Si un Estat opta per la privatització, la redacció del contracte és una </w:t>
      </w:r>
      <w:r w:rsidR="00942EB0" w:rsidRPr="00FC74AB">
        <w:rPr>
          <w:lang w:val="ca-ES"/>
        </w:rPr>
        <w:t>etapa</w:t>
      </w:r>
      <w:r w:rsidRPr="00FC74AB">
        <w:rPr>
          <w:lang w:val="ca-ES"/>
        </w:rPr>
        <w:t xml:space="preserve"> clau per mitigar els riscos de deteriorament del servei, discriminació i assequibilitat. </w:t>
      </w:r>
      <w:r w:rsidR="00942EB0" w:rsidRPr="00FC74AB">
        <w:rPr>
          <w:lang w:val="ca-ES"/>
        </w:rPr>
        <w:t>Le</w:t>
      </w:r>
      <w:r w:rsidR="007E16DC" w:rsidRPr="00FC74AB">
        <w:rPr>
          <w:lang w:val="ca-ES"/>
        </w:rPr>
        <w:t xml:space="preserve">s </w:t>
      </w:r>
      <w:r w:rsidR="00942EB0" w:rsidRPr="00FC74AB">
        <w:rPr>
          <w:lang w:val="ca-ES"/>
        </w:rPr>
        <w:t>clàusules</w:t>
      </w:r>
      <w:r w:rsidR="007E16DC" w:rsidRPr="00FC74AB">
        <w:rPr>
          <w:lang w:val="ca-ES"/>
        </w:rPr>
        <w:t xml:space="preserve"> contra</w:t>
      </w:r>
      <w:r w:rsidR="00942EB0" w:rsidRPr="00FC74AB">
        <w:rPr>
          <w:lang w:val="ca-ES"/>
        </w:rPr>
        <w:t>ctual</w:t>
      </w:r>
      <w:r w:rsidR="007E16DC" w:rsidRPr="00FC74AB">
        <w:rPr>
          <w:lang w:val="ca-ES"/>
        </w:rPr>
        <w:t xml:space="preserve">s no </w:t>
      </w:r>
      <w:r w:rsidR="00942EB0" w:rsidRPr="00FC74AB">
        <w:rPr>
          <w:lang w:val="ca-ES"/>
        </w:rPr>
        <w:t xml:space="preserve">han </w:t>
      </w:r>
      <w:r w:rsidR="007E16DC" w:rsidRPr="00FC74AB">
        <w:rPr>
          <w:lang w:val="ca-ES"/>
        </w:rPr>
        <w:t>de</w:t>
      </w:r>
      <w:r w:rsidR="00942EB0" w:rsidRPr="00FC74AB">
        <w:rPr>
          <w:lang w:val="ca-ES"/>
        </w:rPr>
        <w:t xml:space="preserve"> </w:t>
      </w:r>
      <w:r w:rsidR="007E16DC" w:rsidRPr="00FC74AB">
        <w:rPr>
          <w:lang w:val="ca-ES"/>
        </w:rPr>
        <w:t xml:space="preserve">limitar </w:t>
      </w:r>
      <w:r w:rsidR="00942EB0" w:rsidRPr="00FC74AB">
        <w:rPr>
          <w:lang w:val="ca-ES"/>
        </w:rPr>
        <w:t>d</w:t>
      </w:r>
      <w:r w:rsidR="007E16DC" w:rsidRPr="00FC74AB">
        <w:rPr>
          <w:lang w:val="ca-ES"/>
        </w:rPr>
        <w:t>e</w:t>
      </w:r>
      <w:r w:rsidR="00942EB0" w:rsidRPr="00FC74AB">
        <w:rPr>
          <w:lang w:val="ca-ES"/>
        </w:rPr>
        <w:t xml:space="preserve"> cap manera </w:t>
      </w:r>
      <w:r w:rsidR="007E16DC" w:rsidRPr="00FC74AB">
        <w:rPr>
          <w:lang w:val="ca-ES"/>
        </w:rPr>
        <w:t xml:space="preserve">la </w:t>
      </w:r>
      <w:r w:rsidR="00942EB0" w:rsidRPr="00FC74AB">
        <w:rPr>
          <w:lang w:val="ca-ES"/>
        </w:rPr>
        <w:t>capacitat</w:t>
      </w:r>
      <w:r w:rsidR="007E16DC" w:rsidRPr="00FC74AB">
        <w:rPr>
          <w:lang w:val="ca-ES"/>
        </w:rPr>
        <w:t xml:space="preserve"> de</w:t>
      </w:r>
      <w:r w:rsidR="00942EB0" w:rsidRPr="00FC74AB">
        <w:rPr>
          <w:lang w:val="ca-ES"/>
        </w:rPr>
        <w:t xml:space="preserve"> </w:t>
      </w:r>
      <w:r w:rsidR="007E16DC" w:rsidRPr="00FC74AB">
        <w:rPr>
          <w:lang w:val="ca-ES"/>
        </w:rPr>
        <w:t>l</w:t>
      </w:r>
      <w:r w:rsidR="00942EB0" w:rsidRPr="00FC74AB">
        <w:rPr>
          <w:lang w:val="ca-ES"/>
        </w:rPr>
        <w:t>’</w:t>
      </w:r>
      <w:r w:rsidR="007E16DC" w:rsidRPr="00FC74AB">
        <w:rPr>
          <w:lang w:val="ca-ES"/>
        </w:rPr>
        <w:t>Esta</w:t>
      </w:r>
      <w:r w:rsidR="00942EB0" w:rsidRPr="00FC74AB">
        <w:rPr>
          <w:lang w:val="ca-ES"/>
        </w:rPr>
        <w:t>t pe</w:t>
      </w:r>
      <w:r w:rsidR="007E16DC" w:rsidRPr="00FC74AB">
        <w:rPr>
          <w:lang w:val="ca-ES"/>
        </w:rPr>
        <w:t xml:space="preserve">r supervisar, </w:t>
      </w:r>
      <w:r w:rsidR="003F0EA2" w:rsidRPr="00FC74AB">
        <w:rPr>
          <w:lang w:val="ca-ES"/>
        </w:rPr>
        <w:t xml:space="preserve">controlar </w:t>
      </w:r>
      <w:r w:rsidR="007E4E7F" w:rsidRPr="00FC74AB">
        <w:rPr>
          <w:lang w:val="ca-ES"/>
        </w:rPr>
        <w:t xml:space="preserve">i </w:t>
      </w:r>
      <w:r w:rsidR="007E16DC" w:rsidRPr="00FC74AB">
        <w:rPr>
          <w:lang w:val="ca-ES"/>
        </w:rPr>
        <w:t xml:space="preserve">sancionar </w:t>
      </w:r>
      <w:r w:rsidR="00942EB0" w:rsidRPr="00FC74AB">
        <w:rPr>
          <w:lang w:val="ca-ES"/>
        </w:rPr>
        <w:t>e</w:t>
      </w:r>
      <w:r w:rsidR="009A31D3" w:rsidRPr="00FC74AB">
        <w:rPr>
          <w:lang w:val="ca-ES"/>
        </w:rPr>
        <w:t>ls</w:t>
      </w:r>
      <w:r w:rsidR="005214BF" w:rsidRPr="00FC74AB">
        <w:rPr>
          <w:lang w:val="ca-ES"/>
        </w:rPr>
        <w:t xml:space="preserve"> </w:t>
      </w:r>
      <w:r w:rsidR="00942EB0" w:rsidRPr="00FC74AB">
        <w:rPr>
          <w:lang w:val="ca-ES"/>
        </w:rPr>
        <w:t xml:space="preserve">subministradors </w:t>
      </w:r>
      <w:r w:rsidR="004879F7" w:rsidRPr="00FC74AB">
        <w:rPr>
          <w:lang w:val="ca-ES"/>
        </w:rPr>
        <w:t>privat</w:t>
      </w:r>
      <w:r w:rsidR="00942EB0" w:rsidRPr="00FC74AB">
        <w:rPr>
          <w:lang w:val="ca-ES"/>
        </w:rPr>
        <w:t>s per q</w:t>
      </w:r>
      <w:r w:rsidR="007E16DC" w:rsidRPr="00FC74AB">
        <w:rPr>
          <w:lang w:val="ca-ES"/>
        </w:rPr>
        <w:t>ual</w:t>
      </w:r>
      <w:r w:rsidR="00942EB0" w:rsidRPr="00FC74AB">
        <w:rPr>
          <w:lang w:val="ca-ES"/>
        </w:rPr>
        <w:t>sevol vulneració</w:t>
      </w:r>
      <w:r w:rsidR="007E16DC"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007E16DC" w:rsidRPr="00FC74AB">
        <w:rPr>
          <w:lang w:val="ca-ES"/>
        </w:rPr>
        <w:t xml:space="preserve">. </w:t>
      </w:r>
      <w:r w:rsidR="00942EB0" w:rsidRPr="00FC74AB">
        <w:rPr>
          <w:lang w:val="ca-ES"/>
        </w:rPr>
        <w:t>Els contractes s’han de redactar amb molta cura, de manera que els drets humans a l’aigua i al sanejament prevalguin sobre els imperatius comercials en cas de conflicte, fomentant les obligacions internacionals de l’Estat.</w:t>
      </w:r>
    </w:p>
    <w:p w14:paraId="0FC7BC14" w14:textId="237BC632" w:rsidR="007E16DC" w:rsidRPr="00FC74AB" w:rsidRDefault="004723C0" w:rsidP="00E47533">
      <w:pPr>
        <w:pStyle w:val="SingleTxt"/>
        <w:numPr>
          <w:ilvl w:val="2"/>
          <w:numId w:val="49"/>
        </w:numPr>
        <w:spacing w:line="240" w:lineRule="atLeast"/>
        <w:ind w:left="1267" w:firstLine="0"/>
        <w:rPr>
          <w:lang w:val="ca-ES"/>
        </w:rPr>
      </w:pPr>
      <w:r w:rsidRPr="00FC74AB">
        <w:rPr>
          <w:lang w:val="ca-ES"/>
        </w:rPr>
        <w:t>Tot i</w:t>
      </w:r>
      <w:r w:rsidR="00942EB0" w:rsidRPr="00FC74AB">
        <w:rPr>
          <w:lang w:val="ca-ES"/>
        </w:rPr>
        <w:t xml:space="preserve"> </w:t>
      </w:r>
      <w:r w:rsidR="007E16DC" w:rsidRPr="00FC74AB">
        <w:rPr>
          <w:lang w:val="ca-ES"/>
        </w:rPr>
        <w:t>que</w:t>
      </w:r>
      <w:r w:rsidR="005214BF" w:rsidRPr="00FC74AB">
        <w:rPr>
          <w:lang w:val="ca-ES"/>
        </w:rPr>
        <w:t xml:space="preserve"> els </w:t>
      </w:r>
      <w:r w:rsidR="00942EB0" w:rsidRPr="00FC74AB">
        <w:rPr>
          <w:lang w:val="ca-ES"/>
        </w:rPr>
        <w:t>partidari</w:t>
      </w:r>
      <w:r w:rsidR="007E16DC" w:rsidRPr="00FC74AB">
        <w:rPr>
          <w:lang w:val="ca-ES"/>
        </w:rPr>
        <w:t xml:space="preserve">s de la </w:t>
      </w:r>
      <w:r w:rsidR="007E4E7F" w:rsidRPr="00FC74AB">
        <w:rPr>
          <w:lang w:val="ca-ES"/>
        </w:rPr>
        <w:t>privatització</w:t>
      </w:r>
      <w:r w:rsidR="00942EB0" w:rsidRPr="00FC74AB">
        <w:rPr>
          <w:lang w:val="ca-ES"/>
        </w:rPr>
        <w:t xml:space="preserve"> creue</w:t>
      </w:r>
      <w:r w:rsidR="007E16DC" w:rsidRPr="00FC74AB">
        <w:rPr>
          <w:lang w:val="ca-ES"/>
        </w:rPr>
        <w:t>n que</w:t>
      </w:r>
      <w:r w:rsidR="005214BF" w:rsidRPr="00FC74AB">
        <w:rPr>
          <w:lang w:val="ca-ES"/>
        </w:rPr>
        <w:t xml:space="preserve"> els </w:t>
      </w:r>
      <w:r w:rsidR="00E31C4A" w:rsidRPr="00FC74AB">
        <w:rPr>
          <w:lang w:val="ca-ES"/>
        </w:rPr>
        <w:t>contractes</w:t>
      </w:r>
      <w:r w:rsidR="007E16DC" w:rsidRPr="00FC74AB">
        <w:rPr>
          <w:lang w:val="ca-ES"/>
        </w:rPr>
        <w:t xml:space="preserve"> p</w:t>
      </w:r>
      <w:r w:rsidR="00942EB0" w:rsidRPr="00FC74AB">
        <w:rPr>
          <w:lang w:val="ca-ES"/>
        </w:rPr>
        <w:t>o</w:t>
      </w:r>
      <w:r w:rsidR="007E16DC" w:rsidRPr="00FC74AB">
        <w:rPr>
          <w:lang w:val="ca-ES"/>
        </w:rPr>
        <w:t>den contrarestar</w:t>
      </w:r>
      <w:r w:rsidR="005214BF" w:rsidRPr="00FC74AB">
        <w:rPr>
          <w:lang w:val="ca-ES"/>
        </w:rPr>
        <w:t xml:space="preserve"> els </w:t>
      </w:r>
      <w:r w:rsidR="00942EB0" w:rsidRPr="00FC74AB">
        <w:rPr>
          <w:lang w:val="ca-ES"/>
        </w:rPr>
        <w:t>errors</w:t>
      </w:r>
      <w:r w:rsidR="007E16DC" w:rsidRPr="00FC74AB">
        <w:rPr>
          <w:lang w:val="ca-ES"/>
        </w:rPr>
        <w:t xml:space="preserve"> del merca</w:t>
      </w:r>
      <w:r w:rsidR="00942EB0" w:rsidRPr="00FC74AB">
        <w:rPr>
          <w:lang w:val="ca-ES"/>
        </w:rPr>
        <w:t>t</w:t>
      </w:r>
      <w:r w:rsidR="007E4E7F" w:rsidRPr="00FC74AB">
        <w:rPr>
          <w:lang w:val="ca-ES"/>
        </w:rPr>
        <w:t xml:space="preserve"> i </w:t>
      </w:r>
      <w:r w:rsidR="007E16DC" w:rsidRPr="00FC74AB">
        <w:rPr>
          <w:lang w:val="ca-ES"/>
        </w:rPr>
        <w:t>ve</w:t>
      </w:r>
      <w:r w:rsidR="00942EB0" w:rsidRPr="00FC74AB">
        <w:rPr>
          <w:lang w:val="ca-ES"/>
        </w:rPr>
        <w:t>t</w:t>
      </w:r>
      <w:r w:rsidR="007E16DC" w:rsidRPr="00FC74AB">
        <w:rPr>
          <w:lang w:val="ca-ES"/>
        </w:rPr>
        <w:t>l</w:t>
      </w:r>
      <w:r w:rsidR="00942EB0" w:rsidRPr="00FC74AB">
        <w:rPr>
          <w:lang w:val="ca-ES"/>
        </w:rPr>
        <w:t>lar pe</w:t>
      </w:r>
      <w:r w:rsidR="007E16DC" w:rsidRPr="00FC74AB">
        <w:rPr>
          <w:lang w:val="ca-ES"/>
        </w:rPr>
        <w:t xml:space="preserve">r </w:t>
      </w:r>
      <w:r w:rsidR="00942EB0" w:rsidRPr="00FC74AB">
        <w:rPr>
          <w:lang w:val="ca-ES"/>
        </w:rPr>
        <w:t>fer</w:t>
      </w:r>
      <w:r w:rsidR="007E16DC" w:rsidRPr="00FC74AB">
        <w:rPr>
          <w:lang w:val="ca-ES"/>
        </w:rPr>
        <w:t xml:space="preserve"> respe</w:t>
      </w:r>
      <w:r w:rsidR="00942EB0" w:rsidRPr="00FC74AB">
        <w:rPr>
          <w:lang w:val="ca-ES"/>
        </w:rPr>
        <w:t>ctar</w:t>
      </w:r>
      <w:r w:rsidR="007E16DC" w:rsidRPr="00FC74AB">
        <w:rPr>
          <w:lang w:val="ca-ES"/>
        </w:rPr>
        <w:t xml:space="preserve"> l</w:t>
      </w:r>
      <w:r w:rsidR="00942EB0" w:rsidRPr="00FC74AB">
        <w:rPr>
          <w:lang w:val="ca-ES"/>
        </w:rPr>
        <w:t>’interè</w:t>
      </w:r>
      <w:r w:rsidR="007E16DC" w:rsidRPr="00FC74AB">
        <w:rPr>
          <w:lang w:val="ca-ES"/>
        </w:rPr>
        <w:t xml:space="preserve">s </w:t>
      </w:r>
      <w:r w:rsidR="000355E2" w:rsidRPr="00FC74AB">
        <w:rPr>
          <w:lang w:val="ca-ES"/>
        </w:rPr>
        <w:t>públic</w:t>
      </w:r>
      <w:r w:rsidR="007E16DC" w:rsidRPr="00FC74AB">
        <w:rPr>
          <w:lang w:val="ca-ES"/>
        </w:rPr>
        <w:t>, en reali</w:t>
      </w:r>
      <w:r w:rsidR="00942EB0" w:rsidRPr="00FC74AB">
        <w:rPr>
          <w:lang w:val="ca-ES"/>
        </w:rPr>
        <w:t xml:space="preserve">tat és </w:t>
      </w:r>
      <w:r w:rsidR="007E16DC" w:rsidRPr="00FC74AB">
        <w:rPr>
          <w:lang w:val="ca-ES"/>
        </w:rPr>
        <w:t>neces</w:t>
      </w:r>
      <w:r w:rsidR="00942EB0" w:rsidRPr="00FC74AB">
        <w:rPr>
          <w:lang w:val="ca-ES"/>
        </w:rPr>
        <w:t>s</w:t>
      </w:r>
      <w:r w:rsidR="007E16DC" w:rsidRPr="00FC74AB">
        <w:rPr>
          <w:lang w:val="ca-ES"/>
        </w:rPr>
        <w:t>ari</w:t>
      </w:r>
      <w:r w:rsidR="00942EB0" w:rsidRPr="00FC74AB">
        <w:rPr>
          <w:lang w:val="ca-ES"/>
        </w:rPr>
        <w:t xml:space="preserve"> </w:t>
      </w:r>
      <w:r w:rsidR="0026648C" w:rsidRPr="00FC74AB">
        <w:rPr>
          <w:lang w:val="ca-ES"/>
        </w:rPr>
        <w:t xml:space="preserve">que </w:t>
      </w:r>
      <w:r w:rsidR="00942EB0" w:rsidRPr="00FC74AB">
        <w:rPr>
          <w:lang w:val="ca-ES"/>
        </w:rPr>
        <w:t>s’hi recullin diverses precaucion</w:t>
      </w:r>
      <w:r w:rsidR="007E16DC" w:rsidRPr="00FC74AB">
        <w:rPr>
          <w:lang w:val="ca-ES"/>
        </w:rPr>
        <w:t xml:space="preserve">s </w:t>
      </w:r>
      <w:r w:rsidR="00E47533" w:rsidRPr="00FC74AB">
        <w:rPr>
          <w:lang w:val="ca-ES"/>
        </w:rPr>
        <w:t>anticipades</w:t>
      </w:r>
      <w:r w:rsidR="00942EB0" w:rsidRPr="00FC74AB">
        <w:rPr>
          <w:lang w:val="ca-ES"/>
        </w:rPr>
        <w:t>. Un membre</w:t>
      </w:r>
      <w:r w:rsidR="007E16DC" w:rsidRPr="00FC74AB">
        <w:rPr>
          <w:lang w:val="ca-ES"/>
        </w:rPr>
        <w:t xml:space="preserve"> de la </w:t>
      </w:r>
      <w:r w:rsidR="00942EB0" w:rsidRPr="00FC74AB">
        <w:rPr>
          <w:lang w:val="ca-ES"/>
        </w:rPr>
        <w:t>comunitat</w:t>
      </w:r>
      <w:r w:rsidR="007E16DC" w:rsidRPr="00FC74AB">
        <w:rPr>
          <w:lang w:val="ca-ES"/>
        </w:rPr>
        <w:t xml:space="preserve"> </w:t>
      </w:r>
      <w:r w:rsidR="00942EB0" w:rsidRPr="00FC74AB">
        <w:rPr>
          <w:lang w:val="ca-ES"/>
        </w:rPr>
        <w:t>acadèmica</w:t>
      </w:r>
      <w:r w:rsidR="007E16DC" w:rsidRPr="00FC74AB">
        <w:rPr>
          <w:lang w:val="ca-ES"/>
        </w:rPr>
        <w:t xml:space="preserve">, </w:t>
      </w:r>
      <w:r w:rsidR="00224B5C" w:rsidRPr="00FC74AB">
        <w:rPr>
          <w:lang w:val="ca-ES"/>
        </w:rPr>
        <w:t xml:space="preserve">a </w:t>
      </w:r>
      <w:r w:rsidR="00942EB0" w:rsidRPr="00FC74AB">
        <w:rPr>
          <w:lang w:val="ca-ES"/>
        </w:rPr>
        <w:t>parti</w:t>
      </w:r>
      <w:r w:rsidR="00224B5C" w:rsidRPr="00FC74AB">
        <w:rPr>
          <w:lang w:val="ca-ES"/>
        </w:rPr>
        <w:t>r</w:t>
      </w:r>
      <w:r w:rsidR="00942EB0" w:rsidRPr="00FC74AB">
        <w:rPr>
          <w:lang w:val="ca-ES"/>
        </w:rPr>
        <w:t xml:space="preserve"> de </w:t>
      </w:r>
      <w:r w:rsidR="007E16DC" w:rsidRPr="00FC74AB">
        <w:rPr>
          <w:lang w:val="ca-ES"/>
        </w:rPr>
        <w:t>l</w:t>
      </w:r>
      <w:r w:rsidR="00942EB0" w:rsidRPr="00FC74AB">
        <w:rPr>
          <w:lang w:val="ca-ES"/>
        </w:rPr>
        <w:t>’experiè</w:t>
      </w:r>
      <w:r w:rsidR="005D0614" w:rsidRPr="00FC74AB">
        <w:rPr>
          <w:lang w:val="ca-ES"/>
        </w:rPr>
        <w:t>ncia de J</w:t>
      </w:r>
      <w:r w:rsidR="007E16DC" w:rsidRPr="00FC74AB">
        <w:rPr>
          <w:lang w:val="ca-ES"/>
        </w:rPr>
        <w:t xml:space="preserve">akarta, </w:t>
      </w:r>
      <w:r w:rsidR="005D0614" w:rsidRPr="00FC74AB">
        <w:rPr>
          <w:lang w:val="ca-ES"/>
        </w:rPr>
        <w:t xml:space="preserve">va </w:t>
      </w:r>
      <w:r w:rsidR="007E16DC" w:rsidRPr="00FC74AB">
        <w:rPr>
          <w:lang w:val="ca-ES"/>
        </w:rPr>
        <w:t>afirm</w:t>
      </w:r>
      <w:r w:rsidR="005D0614" w:rsidRPr="00FC74AB">
        <w:rPr>
          <w:lang w:val="ca-ES"/>
        </w:rPr>
        <w:t>ar</w:t>
      </w:r>
      <w:r w:rsidR="007E16DC" w:rsidRPr="00FC74AB">
        <w:rPr>
          <w:lang w:val="ca-ES"/>
        </w:rPr>
        <w:t xml:space="preserve"> que un </w:t>
      </w:r>
      <w:r w:rsidR="000355E2" w:rsidRPr="00FC74AB">
        <w:rPr>
          <w:lang w:val="ca-ES"/>
        </w:rPr>
        <w:t>procés</w:t>
      </w:r>
      <w:r w:rsidR="007E16DC" w:rsidRPr="00FC74AB">
        <w:rPr>
          <w:lang w:val="ca-ES"/>
        </w:rPr>
        <w:t xml:space="preserve"> de </w:t>
      </w:r>
      <w:r w:rsidR="007E4E7F" w:rsidRPr="00FC74AB">
        <w:rPr>
          <w:lang w:val="ca-ES"/>
        </w:rPr>
        <w:t>privatització</w:t>
      </w:r>
      <w:r w:rsidR="007E16DC" w:rsidRPr="00FC74AB">
        <w:rPr>
          <w:lang w:val="ca-ES"/>
        </w:rPr>
        <w:t xml:space="preserve"> </w:t>
      </w:r>
      <w:r w:rsidR="005D0614" w:rsidRPr="00FC74AB">
        <w:rPr>
          <w:lang w:val="ca-ES"/>
        </w:rPr>
        <w:t>només podrà</w:t>
      </w:r>
      <w:r w:rsidR="00E94219" w:rsidRPr="00FC74AB">
        <w:rPr>
          <w:lang w:val="ca-ES"/>
        </w:rPr>
        <w:t xml:space="preserve"> resultar eficaç</w:t>
      </w:r>
      <w:r w:rsidR="007E16DC" w:rsidRPr="00FC74AB">
        <w:rPr>
          <w:lang w:val="ca-ES"/>
        </w:rPr>
        <w:t xml:space="preserve"> si el </w:t>
      </w:r>
      <w:r w:rsidR="000355E2" w:rsidRPr="00FC74AB">
        <w:rPr>
          <w:lang w:val="ca-ES"/>
        </w:rPr>
        <w:t>contracte</w:t>
      </w:r>
      <w:r w:rsidR="00E94219" w:rsidRPr="00FC74AB">
        <w:rPr>
          <w:lang w:val="ca-ES"/>
        </w:rPr>
        <w:t xml:space="preserve"> </w:t>
      </w:r>
      <w:r w:rsidR="007E16DC" w:rsidRPr="00FC74AB">
        <w:rPr>
          <w:lang w:val="ca-ES"/>
        </w:rPr>
        <w:t>e</w:t>
      </w:r>
      <w:r w:rsidR="00E94219" w:rsidRPr="00FC74AB">
        <w:rPr>
          <w:lang w:val="ca-ES"/>
        </w:rPr>
        <w:t>s</w:t>
      </w:r>
      <w:r w:rsidR="007E16DC" w:rsidRPr="00FC74AB">
        <w:rPr>
          <w:lang w:val="ca-ES"/>
        </w:rPr>
        <w:t xml:space="preserve"> p</w:t>
      </w:r>
      <w:r w:rsidR="00E94219" w:rsidRPr="00FC74AB">
        <w:rPr>
          <w:lang w:val="ca-ES"/>
        </w:rPr>
        <w:t xml:space="preserve">ot </w:t>
      </w:r>
      <w:r w:rsidR="007E16DC" w:rsidRPr="00FC74AB">
        <w:rPr>
          <w:lang w:val="ca-ES"/>
        </w:rPr>
        <w:t xml:space="preserve">licitar entre </w:t>
      </w:r>
      <w:r w:rsidR="00E31C4A" w:rsidRPr="00FC74AB">
        <w:rPr>
          <w:lang w:val="ca-ES"/>
        </w:rPr>
        <w:t>empreses</w:t>
      </w:r>
      <w:r w:rsidR="00E94219" w:rsidRPr="00FC74AB">
        <w:rPr>
          <w:lang w:val="ca-ES"/>
        </w:rPr>
        <w:t xml:space="preserve"> competidore</w:t>
      </w:r>
      <w:r w:rsidR="007E16DC" w:rsidRPr="00FC74AB">
        <w:rPr>
          <w:lang w:val="ca-ES"/>
        </w:rPr>
        <w:t xml:space="preserve">s, </w:t>
      </w:r>
      <w:r w:rsidR="00E94219" w:rsidRPr="00FC74AB">
        <w:rPr>
          <w:lang w:val="ca-ES"/>
        </w:rPr>
        <w:t>q</w:t>
      </w:r>
      <w:r w:rsidR="007E16DC" w:rsidRPr="00FC74AB">
        <w:rPr>
          <w:lang w:val="ca-ES"/>
        </w:rPr>
        <w:t>uan</w:t>
      </w:r>
      <w:r w:rsidR="00E94219" w:rsidRPr="00FC74AB">
        <w:rPr>
          <w:lang w:val="ca-ES"/>
        </w:rPr>
        <w:t xml:space="preserve"> </w:t>
      </w:r>
      <w:r w:rsidR="007E16DC" w:rsidRPr="00FC74AB">
        <w:rPr>
          <w:lang w:val="ca-ES"/>
        </w:rPr>
        <w:t>la incert</w:t>
      </w:r>
      <w:r w:rsidR="00E94219" w:rsidRPr="00FC74AB">
        <w:rPr>
          <w:lang w:val="ca-ES"/>
        </w:rPr>
        <w:t>esa es por</w:t>
      </w:r>
      <w:r w:rsidR="007E16DC" w:rsidRPr="00FC74AB">
        <w:rPr>
          <w:lang w:val="ca-ES"/>
        </w:rPr>
        <w:t xml:space="preserve"> converti</w:t>
      </w:r>
      <w:r w:rsidR="00E94219" w:rsidRPr="00FC74AB">
        <w:rPr>
          <w:lang w:val="ca-ES"/>
        </w:rPr>
        <w:t>r</w:t>
      </w:r>
      <w:r w:rsidR="007E16DC" w:rsidRPr="00FC74AB">
        <w:rPr>
          <w:lang w:val="ca-ES"/>
        </w:rPr>
        <w:t xml:space="preserve"> en ri</w:t>
      </w:r>
      <w:r w:rsidR="00E94219" w:rsidRPr="00FC74AB">
        <w:rPr>
          <w:lang w:val="ca-ES"/>
        </w:rPr>
        <w:t>sc, q</w:t>
      </w:r>
      <w:r w:rsidR="007E16DC" w:rsidRPr="00FC74AB">
        <w:rPr>
          <w:lang w:val="ca-ES"/>
        </w:rPr>
        <w:t>uan el serv</w:t>
      </w:r>
      <w:r w:rsidR="00E94219" w:rsidRPr="00FC74AB">
        <w:rPr>
          <w:lang w:val="ca-ES"/>
        </w:rPr>
        <w:t>e</w:t>
      </w:r>
      <w:r w:rsidR="007E16DC" w:rsidRPr="00FC74AB">
        <w:rPr>
          <w:lang w:val="ca-ES"/>
        </w:rPr>
        <w:t>i contra</w:t>
      </w:r>
      <w:r w:rsidR="00E94219" w:rsidRPr="00FC74AB">
        <w:rPr>
          <w:lang w:val="ca-ES"/>
        </w:rPr>
        <w:t>c</w:t>
      </w:r>
      <w:r w:rsidR="007E16DC" w:rsidRPr="00FC74AB">
        <w:rPr>
          <w:lang w:val="ca-ES"/>
        </w:rPr>
        <w:t>ta</w:t>
      </w:r>
      <w:r w:rsidR="00E94219" w:rsidRPr="00FC74AB">
        <w:rPr>
          <w:lang w:val="ca-ES"/>
        </w:rPr>
        <w:t>t</w:t>
      </w:r>
      <w:r w:rsidR="007E16DC" w:rsidRPr="00FC74AB">
        <w:rPr>
          <w:lang w:val="ca-ES"/>
        </w:rPr>
        <w:t xml:space="preserve"> </w:t>
      </w:r>
      <w:r w:rsidR="00E94219" w:rsidRPr="00FC74AB">
        <w:rPr>
          <w:lang w:val="ca-ES"/>
        </w:rPr>
        <w:t>e</w:t>
      </w:r>
      <w:r w:rsidR="007E16DC" w:rsidRPr="00FC74AB">
        <w:rPr>
          <w:lang w:val="ca-ES"/>
        </w:rPr>
        <w:t>s p</w:t>
      </w:r>
      <w:r w:rsidR="00E94219" w:rsidRPr="00FC74AB">
        <w:rPr>
          <w:lang w:val="ca-ES"/>
        </w:rPr>
        <w:t xml:space="preserve">ot </w:t>
      </w:r>
      <w:r w:rsidR="007E16DC" w:rsidRPr="00FC74AB">
        <w:rPr>
          <w:lang w:val="ca-ES"/>
        </w:rPr>
        <w:t xml:space="preserve">especificar </w:t>
      </w:r>
      <w:r w:rsidR="00E94219" w:rsidRPr="00FC74AB">
        <w:rPr>
          <w:lang w:val="ca-ES"/>
        </w:rPr>
        <w:t>amb precisió</w:t>
      </w:r>
      <w:r w:rsidR="007E4E7F" w:rsidRPr="00FC74AB">
        <w:rPr>
          <w:lang w:val="ca-ES"/>
        </w:rPr>
        <w:t xml:space="preserve"> i </w:t>
      </w:r>
      <w:r w:rsidR="00E94219" w:rsidRPr="00FC74AB">
        <w:rPr>
          <w:lang w:val="ca-ES"/>
        </w:rPr>
        <w:t>q</w:t>
      </w:r>
      <w:r w:rsidR="007E16DC" w:rsidRPr="00FC74AB">
        <w:rPr>
          <w:lang w:val="ca-ES"/>
        </w:rPr>
        <w:t>uan la primera part p</w:t>
      </w:r>
      <w:r w:rsidR="00E94219" w:rsidRPr="00FC74AB">
        <w:rPr>
          <w:lang w:val="ca-ES"/>
        </w:rPr>
        <w:t xml:space="preserve">ot </w:t>
      </w:r>
      <w:r w:rsidR="007E16DC" w:rsidRPr="00FC74AB">
        <w:rPr>
          <w:lang w:val="ca-ES"/>
        </w:rPr>
        <w:t xml:space="preserve">rescindir el </w:t>
      </w:r>
      <w:r w:rsidR="000355E2" w:rsidRPr="00FC74AB">
        <w:rPr>
          <w:lang w:val="ca-ES"/>
        </w:rPr>
        <w:t>contracte</w:t>
      </w:r>
      <w:r w:rsidR="007E16DC" w:rsidRPr="00FC74AB">
        <w:rPr>
          <w:lang w:val="ca-ES"/>
        </w:rPr>
        <w:t xml:space="preserve"> s</w:t>
      </w:r>
      <w:r w:rsidR="00E94219" w:rsidRPr="00FC74AB">
        <w:rPr>
          <w:lang w:val="ca-ES"/>
        </w:rPr>
        <w:t>e</w:t>
      </w:r>
      <w:r w:rsidR="007E16DC" w:rsidRPr="00FC74AB">
        <w:rPr>
          <w:lang w:val="ca-ES"/>
        </w:rPr>
        <w:t>n</w:t>
      </w:r>
      <w:r w:rsidR="00E94219" w:rsidRPr="00FC74AB">
        <w:rPr>
          <w:lang w:val="ca-ES"/>
        </w:rPr>
        <w:t xml:space="preserve">se patir </w:t>
      </w:r>
      <w:r w:rsidR="007E16DC" w:rsidRPr="00FC74AB">
        <w:rPr>
          <w:lang w:val="ca-ES"/>
        </w:rPr>
        <w:t xml:space="preserve">grans </w:t>
      </w:r>
      <w:r w:rsidR="00E94219" w:rsidRPr="00FC74AB">
        <w:rPr>
          <w:lang w:val="ca-ES"/>
        </w:rPr>
        <w:t>conseqüències</w:t>
      </w:r>
      <w:r w:rsidR="007E16DC" w:rsidRPr="00FC74AB">
        <w:rPr>
          <w:rStyle w:val="FootnoteReference"/>
          <w:w w:val="102"/>
          <w:lang w:val="ca-ES"/>
        </w:rPr>
        <w:footnoteReference w:id="113"/>
      </w:r>
      <w:r w:rsidR="007E16DC" w:rsidRPr="00FC74AB">
        <w:rPr>
          <w:lang w:val="ca-ES"/>
        </w:rPr>
        <w:t xml:space="preserve">. </w:t>
      </w:r>
      <w:r w:rsidRPr="00FC74AB">
        <w:rPr>
          <w:lang w:val="ca-ES"/>
        </w:rPr>
        <w:t>Aquestes condicion</w:t>
      </w:r>
      <w:r w:rsidR="007E16DC" w:rsidRPr="00FC74AB">
        <w:rPr>
          <w:lang w:val="ca-ES"/>
        </w:rPr>
        <w:t>s</w:t>
      </w:r>
      <w:r w:rsidRPr="00FC74AB">
        <w:rPr>
          <w:lang w:val="ca-ES"/>
        </w:rPr>
        <w:t>, però,</w:t>
      </w:r>
      <w:r w:rsidR="007E16DC" w:rsidRPr="00FC74AB">
        <w:rPr>
          <w:lang w:val="ca-ES"/>
        </w:rPr>
        <w:t xml:space="preserve"> rara</w:t>
      </w:r>
      <w:r w:rsidRPr="00FC74AB">
        <w:rPr>
          <w:lang w:val="ca-ES"/>
        </w:rPr>
        <w:t xml:space="preserve">ment es </w:t>
      </w:r>
      <w:r w:rsidR="00E47533" w:rsidRPr="00FC74AB">
        <w:rPr>
          <w:lang w:val="ca-ES"/>
        </w:rPr>
        <w:t>donen</w:t>
      </w:r>
      <w:r w:rsidR="007E16DC" w:rsidRPr="00FC74AB">
        <w:rPr>
          <w:lang w:val="ca-ES"/>
        </w:rPr>
        <w:t xml:space="preserve">, </w:t>
      </w:r>
      <w:r w:rsidR="004A70F3" w:rsidRPr="00FC74AB">
        <w:rPr>
          <w:lang w:val="ca-ES"/>
        </w:rPr>
        <w:t xml:space="preserve">i menys </w:t>
      </w:r>
      <w:r w:rsidR="007E16DC" w:rsidRPr="00FC74AB">
        <w:rPr>
          <w:lang w:val="ca-ES"/>
        </w:rPr>
        <w:t>e</w:t>
      </w:r>
      <w:r w:rsidRPr="00FC74AB">
        <w:rPr>
          <w:lang w:val="ca-ES"/>
        </w:rPr>
        <w:t>ncara a</w:t>
      </w:r>
      <w:r w:rsidR="005214BF" w:rsidRPr="00FC74AB">
        <w:rPr>
          <w:lang w:val="ca-ES"/>
        </w:rPr>
        <w:t xml:space="preserve">ls </w:t>
      </w:r>
      <w:r w:rsidR="00E94729" w:rsidRPr="00FC74AB">
        <w:rPr>
          <w:lang w:val="ca-ES"/>
        </w:rPr>
        <w:t>països</w:t>
      </w:r>
      <w:r w:rsidR="007E16DC" w:rsidRPr="00FC74AB">
        <w:rPr>
          <w:lang w:val="ca-ES"/>
        </w:rPr>
        <w:t xml:space="preserve"> en </w:t>
      </w:r>
      <w:r w:rsidR="00B6301F" w:rsidRPr="00FC74AB">
        <w:rPr>
          <w:lang w:val="ca-ES"/>
        </w:rPr>
        <w:t>desenvolupament</w:t>
      </w:r>
      <w:r w:rsidR="007E16DC" w:rsidRPr="00FC74AB">
        <w:rPr>
          <w:lang w:val="ca-ES"/>
        </w:rPr>
        <w:t>.</w:t>
      </w:r>
    </w:p>
    <w:p w14:paraId="7C86F73F" w14:textId="70712FD9" w:rsidR="007E16DC" w:rsidRPr="00FC74AB" w:rsidRDefault="00244A47" w:rsidP="00314E60">
      <w:pPr>
        <w:pStyle w:val="SingleTxt"/>
        <w:numPr>
          <w:ilvl w:val="2"/>
          <w:numId w:val="49"/>
        </w:numPr>
        <w:spacing w:line="240" w:lineRule="atLeast"/>
        <w:ind w:left="1267" w:firstLine="0"/>
        <w:rPr>
          <w:lang w:val="ca-ES"/>
        </w:rPr>
      </w:pPr>
      <w:r w:rsidRPr="00FC74AB">
        <w:rPr>
          <w:lang w:val="ca-ES"/>
        </w:rPr>
        <w:t>Els contractes han de determinar clarament funcions, responsabilitats i objectius, i prioritzar especialment els grups desatesos i poc atesos, així com les conseqüències dels incompliments</w:t>
      </w:r>
      <w:r w:rsidR="007E16DC" w:rsidRPr="00FC74AB">
        <w:rPr>
          <w:rStyle w:val="FootnoteReference"/>
          <w:lang w:val="ca-ES"/>
        </w:rPr>
        <w:footnoteReference w:id="114"/>
      </w:r>
      <w:r w:rsidR="007E16DC" w:rsidRPr="00FC74AB">
        <w:rPr>
          <w:lang w:val="ca-ES"/>
        </w:rPr>
        <w:t xml:space="preserve">. </w:t>
      </w:r>
      <w:r w:rsidR="004723C0" w:rsidRPr="00FC74AB">
        <w:rPr>
          <w:lang w:val="ca-ES"/>
        </w:rPr>
        <w:t xml:space="preserve">Han de </w:t>
      </w:r>
      <w:r w:rsidRPr="00FC74AB">
        <w:rPr>
          <w:lang w:val="ca-ES"/>
        </w:rPr>
        <w:t xml:space="preserve">definir objectius relacionats amb la qualitat, </w:t>
      </w:r>
      <w:r w:rsidR="004723C0" w:rsidRPr="00FC74AB">
        <w:rPr>
          <w:lang w:val="ca-ES"/>
        </w:rPr>
        <w:t>l’</w:t>
      </w:r>
      <w:r w:rsidRPr="00FC74AB">
        <w:rPr>
          <w:lang w:val="ca-ES"/>
        </w:rPr>
        <w:t xml:space="preserve">accessibilitat, </w:t>
      </w:r>
      <w:r w:rsidR="004723C0" w:rsidRPr="00FC74AB">
        <w:rPr>
          <w:lang w:val="ca-ES"/>
        </w:rPr>
        <w:t>l’</w:t>
      </w:r>
      <w:r w:rsidRPr="00FC74AB">
        <w:rPr>
          <w:lang w:val="ca-ES"/>
        </w:rPr>
        <w:t xml:space="preserve">acceptabilitat, </w:t>
      </w:r>
      <w:r w:rsidR="004723C0" w:rsidRPr="00FC74AB">
        <w:rPr>
          <w:lang w:val="ca-ES"/>
        </w:rPr>
        <w:t>l’</w:t>
      </w:r>
      <w:r w:rsidRPr="00FC74AB">
        <w:rPr>
          <w:lang w:val="ca-ES"/>
        </w:rPr>
        <w:t xml:space="preserve">assequibilitat i </w:t>
      </w:r>
      <w:r w:rsidR="004723C0" w:rsidRPr="00FC74AB">
        <w:rPr>
          <w:lang w:val="ca-ES"/>
        </w:rPr>
        <w:t xml:space="preserve">la </w:t>
      </w:r>
      <w:r w:rsidRPr="00FC74AB">
        <w:rPr>
          <w:lang w:val="ca-ES"/>
        </w:rPr>
        <w:t>seguretat</w:t>
      </w:r>
      <w:r w:rsidR="007E16DC" w:rsidRPr="00FC74AB">
        <w:rPr>
          <w:lang w:val="ca-ES"/>
        </w:rPr>
        <w:t xml:space="preserve">. </w:t>
      </w:r>
      <w:r w:rsidR="004723C0" w:rsidRPr="00FC74AB">
        <w:rPr>
          <w:lang w:val="ca-ES"/>
        </w:rPr>
        <w:t xml:space="preserve">Els </w:t>
      </w:r>
      <w:r w:rsidRPr="00FC74AB">
        <w:rPr>
          <w:lang w:val="ca-ES"/>
        </w:rPr>
        <w:t xml:space="preserve">indicadors i paràmetres de referència per supervisar les normes de drets humans </w:t>
      </w:r>
      <w:r w:rsidR="004723C0" w:rsidRPr="00FC74AB">
        <w:rPr>
          <w:lang w:val="ca-ES"/>
        </w:rPr>
        <w:t xml:space="preserve">s’han de formular </w:t>
      </w:r>
      <w:r w:rsidRPr="00FC74AB">
        <w:rPr>
          <w:lang w:val="ca-ES"/>
        </w:rPr>
        <w:t>de manera que es puguin desglossar segons els motius de discriminació prohibits</w:t>
      </w:r>
      <w:r w:rsidR="007E16DC" w:rsidRPr="00FC74AB">
        <w:rPr>
          <w:rStyle w:val="FootnoteReference"/>
          <w:lang w:val="ca-ES"/>
        </w:rPr>
        <w:footnoteReference w:id="115"/>
      </w:r>
      <w:r w:rsidR="007E16DC" w:rsidRPr="00FC74AB">
        <w:rPr>
          <w:lang w:val="ca-ES"/>
        </w:rPr>
        <w:t>.</w:t>
      </w:r>
      <w:r w:rsidR="004723C0" w:rsidRPr="00FC74AB">
        <w:rPr>
          <w:lang w:val="ca-ES"/>
        </w:rPr>
        <w:t xml:space="preserve"> </w:t>
      </w:r>
      <w:r w:rsidR="007E16DC" w:rsidRPr="00FC74AB">
        <w:rPr>
          <w:lang w:val="ca-ES"/>
        </w:rPr>
        <w:t xml:space="preserve">En </w:t>
      </w:r>
      <w:r w:rsidR="004723C0" w:rsidRPr="00FC74AB">
        <w:rPr>
          <w:lang w:val="ca-ES"/>
        </w:rPr>
        <w:t>aquest context</w:t>
      </w:r>
      <w:r w:rsidR="007E16DC" w:rsidRPr="00FC74AB">
        <w:rPr>
          <w:lang w:val="ca-ES"/>
        </w:rPr>
        <w:t>,</w:t>
      </w:r>
      <w:r w:rsidR="004723C0" w:rsidRPr="00FC74AB">
        <w:rPr>
          <w:kern w:val="0"/>
          <w:lang w:val="ca-ES"/>
        </w:rPr>
        <w:t xml:space="preserve"> una qüestió delicada és </w:t>
      </w:r>
      <w:r w:rsidR="004723C0" w:rsidRPr="00FC74AB">
        <w:rPr>
          <w:lang w:val="ca-ES"/>
        </w:rPr>
        <w:t>establir normes clares per fixar tarifes, incloent-hi, especialment, mesures per garantir la protecció financera dels més desfavorits utilitzant mitjans eficaços per identificar-los</w:t>
      </w:r>
      <w:r w:rsidR="00775479" w:rsidRPr="00FC74AB">
        <w:rPr>
          <w:lang w:val="ca-ES"/>
        </w:rPr>
        <w:t xml:space="preserve"> </w:t>
      </w:r>
      <w:r w:rsidR="007E4E7F" w:rsidRPr="00FC74AB">
        <w:rPr>
          <w:lang w:val="ca-ES"/>
        </w:rPr>
        <w:t xml:space="preserve">i </w:t>
      </w:r>
      <w:r w:rsidR="007E16DC" w:rsidRPr="00FC74AB">
        <w:rPr>
          <w:lang w:val="ca-ES"/>
        </w:rPr>
        <w:t>establ</w:t>
      </w:r>
      <w:r w:rsidR="004723C0" w:rsidRPr="00FC74AB">
        <w:rPr>
          <w:lang w:val="ca-ES"/>
        </w:rPr>
        <w:t>i</w:t>
      </w:r>
      <w:r w:rsidR="007E16DC" w:rsidRPr="00FC74AB">
        <w:rPr>
          <w:lang w:val="ca-ES"/>
        </w:rPr>
        <w:t xml:space="preserve">r </w:t>
      </w:r>
      <w:r w:rsidR="003B7411" w:rsidRPr="00FC74AB">
        <w:rPr>
          <w:lang w:val="ca-ES"/>
        </w:rPr>
        <w:t>tarifes</w:t>
      </w:r>
      <w:r w:rsidR="007E16DC" w:rsidRPr="00FC74AB">
        <w:rPr>
          <w:lang w:val="ca-ES"/>
        </w:rPr>
        <w:t xml:space="preserve"> as</w:t>
      </w:r>
      <w:r w:rsidR="004723C0" w:rsidRPr="00FC74AB">
        <w:rPr>
          <w:lang w:val="ca-ES"/>
        </w:rPr>
        <w:t>s</w:t>
      </w:r>
      <w:r w:rsidR="007E16DC" w:rsidRPr="00FC74AB">
        <w:rPr>
          <w:lang w:val="ca-ES"/>
        </w:rPr>
        <w:t xml:space="preserve">equibles. </w:t>
      </w:r>
      <w:r w:rsidR="007C7A95" w:rsidRPr="00FC74AB">
        <w:rPr>
          <w:lang w:val="ca-ES"/>
        </w:rPr>
        <w:t>A més</w:t>
      </w:r>
      <w:r w:rsidR="007E16DC" w:rsidRPr="00FC74AB">
        <w:rPr>
          <w:lang w:val="ca-ES"/>
        </w:rPr>
        <w:t xml:space="preserve">, </w:t>
      </w:r>
      <w:r w:rsidR="004723C0" w:rsidRPr="00FC74AB">
        <w:rPr>
          <w:lang w:val="ca-ES"/>
        </w:rPr>
        <w:t>incloure als contractes clàusules de prohibició de mesures regressives, com ara el tall de subministrament dels usuaris que no poden pagar les factures, és un imperatiu de drets humans</w:t>
      </w:r>
      <w:r w:rsidR="007E16DC" w:rsidRPr="00FC74AB">
        <w:rPr>
          <w:lang w:val="ca-ES"/>
        </w:rPr>
        <w:t>. A</w:t>
      </w:r>
      <w:r w:rsidR="004723C0" w:rsidRPr="00FC74AB">
        <w:rPr>
          <w:lang w:val="ca-ES"/>
        </w:rPr>
        <w:t>ixí mateix</w:t>
      </w:r>
      <w:r w:rsidR="007E16DC" w:rsidRPr="00FC74AB">
        <w:rPr>
          <w:lang w:val="ca-ES"/>
        </w:rPr>
        <w:t>,</w:t>
      </w:r>
      <w:r w:rsidR="005214BF" w:rsidRPr="00FC74AB">
        <w:rPr>
          <w:lang w:val="ca-ES"/>
        </w:rPr>
        <w:t xml:space="preserve"> els </w:t>
      </w:r>
      <w:r w:rsidR="00195395" w:rsidRPr="00FC74AB">
        <w:rPr>
          <w:lang w:val="ca-ES"/>
        </w:rPr>
        <w:t>Estats</w:t>
      </w:r>
      <w:r w:rsidR="007E16DC" w:rsidRPr="00FC74AB">
        <w:rPr>
          <w:lang w:val="ca-ES"/>
        </w:rPr>
        <w:t xml:space="preserve"> </w:t>
      </w:r>
      <w:r w:rsidR="004723C0" w:rsidRPr="00FC74AB">
        <w:rPr>
          <w:lang w:val="ca-ES"/>
        </w:rPr>
        <w:t>han d’</w:t>
      </w:r>
      <w:r w:rsidR="007E16DC" w:rsidRPr="00FC74AB">
        <w:rPr>
          <w:lang w:val="ca-ES"/>
        </w:rPr>
        <w:t>adaptar el d</w:t>
      </w:r>
      <w:r w:rsidR="004723C0" w:rsidRPr="00FC74AB">
        <w:rPr>
          <w:lang w:val="ca-ES"/>
        </w:rPr>
        <w:t>ret mercantil al marc</w:t>
      </w:r>
      <w:r w:rsidR="007E16DC"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 xml:space="preserve">drets humans i </w:t>
      </w:r>
      <w:r w:rsidR="007E16DC" w:rsidRPr="00FC74AB">
        <w:rPr>
          <w:lang w:val="ca-ES"/>
        </w:rPr>
        <w:t>as</w:t>
      </w:r>
      <w:r w:rsidR="004723C0" w:rsidRPr="00FC74AB">
        <w:rPr>
          <w:lang w:val="ca-ES"/>
        </w:rPr>
        <w:t>s</w:t>
      </w:r>
      <w:r w:rsidR="007E16DC" w:rsidRPr="00FC74AB">
        <w:rPr>
          <w:lang w:val="ca-ES"/>
        </w:rPr>
        <w:t>egurar</w:t>
      </w:r>
      <w:r w:rsidR="004723C0" w:rsidRPr="00FC74AB">
        <w:rPr>
          <w:lang w:val="ca-ES"/>
        </w:rPr>
        <w:t>-</w:t>
      </w:r>
      <w:r w:rsidR="007E16DC" w:rsidRPr="00FC74AB">
        <w:rPr>
          <w:lang w:val="ca-ES"/>
        </w:rPr>
        <w:t xml:space="preserve">se </w:t>
      </w:r>
      <w:r w:rsidR="004723C0" w:rsidRPr="00FC74AB">
        <w:rPr>
          <w:lang w:val="ca-ES"/>
        </w:rPr>
        <w:t>que</w:t>
      </w:r>
      <w:r w:rsidR="0026648C" w:rsidRPr="00FC74AB">
        <w:rPr>
          <w:lang w:val="ca-ES"/>
        </w:rPr>
        <w:t xml:space="preserve"> prevalguin</w:t>
      </w:r>
      <w:r w:rsidR="004723C0" w:rsidRPr="00FC74AB">
        <w:rPr>
          <w:lang w:val="ca-ES"/>
        </w:rPr>
        <w:t xml:space="preserve"> en cas de conflicte</w:t>
      </w:r>
      <w:r w:rsidR="0026648C" w:rsidRPr="00FC74AB">
        <w:rPr>
          <w:lang w:val="ca-ES"/>
        </w:rPr>
        <w:t>.</w:t>
      </w:r>
    </w:p>
    <w:p w14:paraId="60C81DA0" w14:textId="269A4950" w:rsidR="007E16DC" w:rsidRPr="00FC74AB" w:rsidRDefault="004723C0" w:rsidP="00314E60">
      <w:pPr>
        <w:pStyle w:val="SingleTxt"/>
        <w:numPr>
          <w:ilvl w:val="2"/>
          <w:numId w:val="49"/>
        </w:numPr>
        <w:tabs>
          <w:tab w:val="clear" w:pos="1267"/>
          <w:tab w:val="clear" w:pos="1742"/>
          <w:tab w:val="clear" w:pos="1782"/>
          <w:tab w:val="num" w:pos="1843"/>
        </w:tabs>
        <w:spacing w:line="240" w:lineRule="atLeast"/>
        <w:ind w:left="1276" w:firstLine="0"/>
        <w:rPr>
          <w:w w:val="102"/>
          <w:lang w:val="ca-ES"/>
        </w:rPr>
      </w:pPr>
      <w:r w:rsidRPr="00FC74AB">
        <w:rPr>
          <w:lang w:val="ca-ES"/>
        </w:rPr>
        <w:t>Le</w:t>
      </w:r>
      <w:r w:rsidR="007E16DC" w:rsidRPr="00FC74AB">
        <w:rPr>
          <w:lang w:val="ca-ES"/>
        </w:rPr>
        <w:t xml:space="preserve">s </w:t>
      </w:r>
      <w:r w:rsidRPr="00FC74AB">
        <w:rPr>
          <w:lang w:val="ca-ES"/>
        </w:rPr>
        <w:t>qüestions vital</w:t>
      </w:r>
      <w:r w:rsidR="007E16DC" w:rsidRPr="00FC74AB">
        <w:rPr>
          <w:lang w:val="ca-ES"/>
        </w:rPr>
        <w:t xml:space="preserve">s que </w:t>
      </w:r>
      <w:r w:rsidRPr="00FC74AB">
        <w:rPr>
          <w:lang w:val="ca-ES"/>
        </w:rPr>
        <w:t>cal teni</w:t>
      </w:r>
      <w:r w:rsidR="007E16DC" w:rsidRPr="00FC74AB">
        <w:rPr>
          <w:lang w:val="ca-ES"/>
        </w:rPr>
        <w:t>r en c</w:t>
      </w:r>
      <w:r w:rsidRPr="00FC74AB">
        <w:rPr>
          <w:lang w:val="ca-ES"/>
        </w:rPr>
        <w:t xml:space="preserve">ompte </w:t>
      </w:r>
      <w:r w:rsidR="00AA58E7" w:rsidRPr="00FC74AB">
        <w:rPr>
          <w:lang w:val="ca-ES"/>
        </w:rPr>
        <w:t xml:space="preserve">pel que fa </w:t>
      </w:r>
      <w:r w:rsidR="009A31D3" w:rsidRPr="00FC74AB">
        <w:rPr>
          <w:lang w:val="ca-ES"/>
        </w:rPr>
        <w:t>als</w:t>
      </w:r>
      <w:r w:rsidR="005214BF" w:rsidRPr="00FC74AB">
        <w:rPr>
          <w:lang w:val="ca-ES"/>
        </w:rPr>
        <w:t xml:space="preserve"> </w:t>
      </w:r>
      <w:r w:rsidR="00E31C4A" w:rsidRPr="00FC74AB">
        <w:rPr>
          <w:lang w:val="ca-ES"/>
        </w:rPr>
        <w:t>contractes</w:t>
      </w:r>
      <w:r w:rsidR="007E4E7F" w:rsidRPr="00FC74AB">
        <w:rPr>
          <w:lang w:val="ca-ES"/>
        </w:rPr>
        <w:t xml:space="preserve"> i </w:t>
      </w:r>
      <w:r w:rsidRPr="00FC74AB">
        <w:rPr>
          <w:lang w:val="ca-ES"/>
        </w:rPr>
        <w:t>altres norme</w:t>
      </w:r>
      <w:r w:rsidR="007E16DC" w:rsidRPr="00FC74AB">
        <w:rPr>
          <w:lang w:val="ca-ES"/>
        </w:rPr>
        <w:t>s</w:t>
      </w:r>
      <w:r w:rsidR="00775479" w:rsidRPr="00FC74AB">
        <w:rPr>
          <w:lang w:val="ca-ES"/>
        </w:rPr>
        <w:t xml:space="preserve"> són </w:t>
      </w:r>
      <w:r w:rsidR="00B3113E" w:rsidRPr="00FC74AB">
        <w:rPr>
          <w:lang w:val="ca-ES"/>
        </w:rPr>
        <w:t xml:space="preserve">les </w:t>
      </w:r>
      <w:r w:rsidRPr="00FC74AB">
        <w:rPr>
          <w:lang w:val="ca-ES"/>
        </w:rPr>
        <w:t>condicions pe</w:t>
      </w:r>
      <w:r w:rsidR="007E16DC" w:rsidRPr="00FC74AB">
        <w:rPr>
          <w:lang w:val="ca-ES"/>
        </w:rPr>
        <w:t>r</w:t>
      </w:r>
      <w:r w:rsidRPr="00FC74AB">
        <w:rPr>
          <w:lang w:val="ca-ES"/>
        </w:rPr>
        <w:t xml:space="preserve"> </w:t>
      </w:r>
      <w:r w:rsidR="007E16DC" w:rsidRPr="00FC74AB">
        <w:rPr>
          <w:lang w:val="ca-ES"/>
        </w:rPr>
        <w:t>retira</w:t>
      </w:r>
      <w:r w:rsidRPr="00FC74AB">
        <w:rPr>
          <w:lang w:val="ca-ES"/>
        </w:rPr>
        <w:t>r</w:t>
      </w:r>
      <w:r w:rsidR="007E16DC" w:rsidRPr="00FC74AB">
        <w:rPr>
          <w:lang w:val="ca-ES"/>
        </w:rPr>
        <w:t xml:space="preserve"> el </w:t>
      </w:r>
      <w:r w:rsidRPr="00FC74AB">
        <w:rPr>
          <w:lang w:val="ca-ES"/>
        </w:rPr>
        <w:t xml:space="preserve">subministrador </w:t>
      </w:r>
      <w:r w:rsidR="004879F7" w:rsidRPr="00FC74AB">
        <w:rPr>
          <w:lang w:val="ca-ES"/>
        </w:rPr>
        <w:t>privat</w:t>
      </w:r>
      <w:r w:rsidR="007E4E7F" w:rsidRPr="00FC74AB">
        <w:rPr>
          <w:lang w:val="ca-ES"/>
        </w:rPr>
        <w:t xml:space="preserve"> i </w:t>
      </w:r>
      <w:r w:rsidRPr="00FC74AB">
        <w:rPr>
          <w:lang w:val="ca-ES"/>
        </w:rPr>
        <w:t xml:space="preserve">tornar </w:t>
      </w:r>
      <w:r w:rsidR="007E16DC" w:rsidRPr="00FC74AB">
        <w:rPr>
          <w:lang w:val="ca-ES"/>
        </w:rPr>
        <w:t xml:space="preserve">la </w:t>
      </w:r>
      <w:r w:rsidR="003D1714" w:rsidRPr="00FC74AB">
        <w:rPr>
          <w:lang w:val="ca-ES"/>
        </w:rPr>
        <w:t>prestació de serveis</w:t>
      </w:r>
      <w:r w:rsidRPr="00FC74AB">
        <w:rPr>
          <w:lang w:val="ca-ES"/>
        </w:rPr>
        <w:t xml:space="preserve"> a man</w:t>
      </w:r>
      <w:r w:rsidR="007E16DC" w:rsidRPr="00FC74AB">
        <w:rPr>
          <w:lang w:val="ca-ES"/>
        </w:rPr>
        <w:t xml:space="preserve">s </w:t>
      </w:r>
      <w:r w:rsidR="003A7E50" w:rsidRPr="00FC74AB">
        <w:rPr>
          <w:lang w:val="ca-ES"/>
        </w:rPr>
        <w:t>públiques</w:t>
      </w:r>
      <w:r w:rsidRPr="00FC74AB">
        <w:rPr>
          <w:lang w:val="ca-ES"/>
        </w:rPr>
        <w:t xml:space="preserve"> en cas de vulneració</w:t>
      </w:r>
      <w:r w:rsidR="007E16DC"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007E16DC" w:rsidRPr="00FC74AB">
        <w:rPr>
          <w:lang w:val="ca-ES"/>
        </w:rPr>
        <w:t xml:space="preserve">, </w:t>
      </w:r>
      <w:r w:rsidR="0048735E" w:rsidRPr="00FC74AB">
        <w:rPr>
          <w:lang w:val="ca-ES"/>
        </w:rPr>
        <w:t>incompliment</w:t>
      </w:r>
      <w:r w:rsidR="007E16DC" w:rsidRPr="00FC74AB">
        <w:rPr>
          <w:lang w:val="ca-ES"/>
        </w:rPr>
        <w:t xml:space="preserve"> de</w:t>
      </w:r>
      <w:r w:rsidRPr="00FC74AB">
        <w:rPr>
          <w:lang w:val="ca-ES"/>
        </w:rPr>
        <w:t>ls</w:t>
      </w:r>
      <w:r w:rsidR="00B3113E" w:rsidRPr="00FC74AB">
        <w:rPr>
          <w:lang w:val="ca-ES"/>
        </w:rPr>
        <w:t xml:space="preserve"> </w:t>
      </w:r>
      <w:r w:rsidRPr="00FC74AB">
        <w:rPr>
          <w:lang w:val="ca-ES"/>
        </w:rPr>
        <w:t xml:space="preserve">objectius </w:t>
      </w:r>
      <w:r w:rsidR="007E16DC" w:rsidRPr="00FC74AB">
        <w:rPr>
          <w:lang w:val="ca-ES"/>
        </w:rPr>
        <w:t xml:space="preserve">de </w:t>
      </w:r>
      <w:r w:rsidRPr="00FC74AB">
        <w:rPr>
          <w:lang w:val="ca-ES"/>
        </w:rPr>
        <w:t xml:space="preserve">rendiment </w:t>
      </w:r>
      <w:r w:rsidR="007E16DC" w:rsidRPr="00FC74AB">
        <w:rPr>
          <w:lang w:val="ca-ES"/>
        </w:rPr>
        <w:t xml:space="preserve">o </w:t>
      </w:r>
      <w:r w:rsidRPr="00FC74AB">
        <w:rPr>
          <w:lang w:val="ca-ES"/>
        </w:rPr>
        <w:t>conducta indeguda sistemàtica</w:t>
      </w:r>
      <w:r w:rsidR="007E16DC" w:rsidRPr="00FC74AB">
        <w:rPr>
          <w:lang w:val="ca-ES"/>
        </w:rPr>
        <w:t xml:space="preserve"> en </w:t>
      </w:r>
      <w:r w:rsidR="009F581B" w:rsidRPr="00FC74AB">
        <w:rPr>
          <w:lang w:val="ca-ES"/>
        </w:rPr>
        <w:t>matèria</w:t>
      </w:r>
      <w:r w:rsidRPr="00FC74AB">
        <w:rPr>
          <w:lang w:val="ca-ES"/>
        </w:rPr>
        <w:t xml:space="preserve"> de rendició</w:t>
      </w:r>
      <w:r w:rsidR="007E16DC" w:rsidRPr="00FC74AB">
        <w:rPr>
          <w:lang w:val="ca-ES"/>
        </w:rPr>
        <w:t xml:space="preserve"> de </w:t>
      </w:r>
      <w:r w:rsidR="00E31C4A" w:rsidRPr="00FC74AB">
        <w:rPr>
          <w:lang w:val="ca-ES"/>
        </w:rPr>
        <w:t>comptes</w:t>
      </w:r>
      <w:r w:rsidR="007E4E7F" w:rsidRPr="00FC74AB">
        <w:rPr>
          <w:lang w:val="ca-ES"/>
        </w:rPr>
        <w:t xml:space="preserve"> i </w:t>
      </w:r>
      <w:r w:rsidR="0012347D" w:rsidRPr="00FC74AB">
        <w:rPr>
          <w:lang w:val="ca-ES"/>
        </w:rPr>
        <w:t>transparència</w:t>
      </w:r>
      <w:r w:rsidR="00314E60" w:rsidRPr="00FC74AB">
        <w:rPr>
          <w:lang w:val="ca-ES"/>
        </w:rPr>
        <w:t>. Si la rescissió</w:t>
      </w:r>
      <w:r w:rsidR="007E16DC" w:rsidRPr="00FC74AB">
        <w:rPr>
          <w:lang w:val="ca-ES"/>
        </w:rPr>
        <w:t xml:space="preserve"> del </w:t>
      </w:r>
      <w:r w:rsidR="000355E2" w:rsidRPr="00FC74AB">
        <w:rPr>
          <w:lang w:val="ca-ES"/>
        </w:rPr>
        <w:t>contracte</w:t>
      </w:r>
      <w:r w:rsidR="007E16DC" w:rsidRPr="00FC74AB">
        <w:rPr>
          <w:lang w:val="ca-ES"/>
        </w:rPr>
        <w:t xml:space="preserve"> implica una c</w:t>
      </w:r>
      <w:r w:rsidR="00314E60" w:rsidRPr="00FC74AB">
        <w:rPr>
          <w:lang w:val="ca-ES"/>
        </w:rPr>
        <w:t>àrre</w:t>
      </w:r>
      <w:r w:rsidR="007E16DC" w:rsidRPr="00FC74AB">
        <w:rPr>
          <w:lang w:val="ca-ES"/>
        </w:rPr>
        <w:t xml:space="preserve">ga </w:t>
      </w:r>
      <w:r w:rsidR="0012347D" w:rsidRPr="00FC74AB">
        <w:rPr>
          <w:lang w:val="ca-ES"/>
        </w:rPr>
        <w:t>financera</w:t>
      </w:r>
      <w:r w:rsidR="00314E60" w:rsidRPr="00FC74AB">
        <w:rPr>
          <w:lang w:val="ca-ES"/>
        </w:rPr>
        <w:t xml:space="preserve"> pe</w:t>
      </w:r>
      <w:r w:rsidR="007E16DC" w:rsidRPr="00FC74AB">
        <w:rPr>
          <w:lang w:val="ca-ES"/>
        </w:rPr>
        <w:t>r</w:t>
      </w:r>
      <w:r w:rsidR="00314E60" w:rsidRPr="00FC74AB">
        <w:rPr>
          <w:lang w:val="ca-ES"/>
        </w:rPr>
        <w:t xml:space="preserve"> </w:t>
      </w:r>
      <w:r w:rsidR="007E16DC" w:rsidRPr="00FC74AB">
        <w:rPr>
          <w:lang w:val="ca-ES"/>
        </w:rPr>
        <w:t xml:space="preserve">a </w:t>
      </w:r>
      <w:r w:rsidR="00314E60" w:rsidRPr="00FC74AB">
        <w:rPr>
          <w:lang w:val="ca-ES"/>
        </w:rPr>
        <w:t>l’</w:t>
      </w:r>
      <w:r w:rsidR="007E16DC" w:rsidRPr="00FC74AB">
        <w:rPr>
          <w:lang w:val="ca-ES"/>
        </w:rPr>
        <w:t>Esta</w:t>
      </w:r>
      <w:r w:rsidR="00314E60" w:rsidRPr="00FC74AB">
        <w:rPr>
          <w:lang w:val="ca-ES"/>
        </w:rPr>
        <w:t>t</w:t>
      </w:r>
      <w:r w:rsidR="007E16DC" w:rsidRPr="00FC74AB">
        <w:rPr>
          <w:lang w:val="ca-ES"/>
        </w:rPr>
        <w:t>, p</w:t>
      </w:r>
      <w:r w:rsidR="00314E60" w:rsidRPr="00FC74AB">
        <w:rPr>
          <w:lang w:val="ca-ES"/>
        </w:rPr>
        <w:t xml:space="preserve">ot </w:t>
      </w:r>
      <w:r w:rsidR="007E16DC" w:rsidRPr="00FC74AB">
        <w:rPr>
          <w:lang w:val="ca-ES"/>
        </w:rPr>
        <w:t>comprometr</w:t>
      </w:r>
      <w:r w:rsidR="00314E60" w:rsidRPr="00FC74AB">
        <w:rPr>
          <w:lang w:val="ca-ES"/>
        </w:rPr>
        <w:t>e</w:t>
      </w:r>
      <w:r w:rsidR="007E16DC" w:rsidRPr="00FC74AB">
        <w:rPr>
          <w:lang w:val="ca-ES"/>
        </w:rPr>
        <w:t xml:space="preserve"> la </w:t>
      </w:r>
      <w:r w:rsidR="00314E60" w:rsidRPr="00FC74AB">
        <w:rPr>
          <w:lang w:val="ca-ES"/>
        </w:rPr>
        <w:t xml:space="preserve">seva </w:t>
      </w:r>
      <w:r w:rsidR="0048735E" w:rsidRPr="00FC74AB">
        <w:rPr>
          <w:lang w:val="ca-ES"/>
        </w:rPr>
        <w:t>obligació</w:t>
      </w:r>
      <w:r w:rsidR="007E16DC" w:rsidRPr="00FC74AB">
        <w:rPr>
          <w:lang w:val="ca-ES"/>
        </w:rPr>
        <w:t xml:space="preserve"> d</w:t>
      </w:r>
      <w:r w:rsidR="00314E60" w:rsidRPr="00FC74AB">
        <w:rPr>
          <w:lang w:val="ca-ES"/>
        </w:rPr>
        <w:t>’</w:t>
      </w:r>
      <w:r w:rsidR="007E16DC" w:rsidRPr="00FC74AB">
        <w:rPr>
          <w:lang w:val="ca-ES"/>
        </w:rPr>
        <w:t>utili</w:t>
      </w:r>
      <w:r w:rsidR="00314E60" w:rsidRPr="00FC74AB">
        <w:rPr>
          <w:lang w:val="ca-ES"/>
        </w:rPr>
        <w:t>t</w:t>
      </w:r>
      <w:r w:rsidR="007E16DC" w:rsidRPr="00FC74AB">
        <w:rPr>
          <w:lang w:val="ca-ES"/>
        </w:rPr>
        <w:t>zar</w:t>
      </w:r>
      <w:r w:rsidR="005214BF" w:rsidRPr="00FC74AB">
        <w:rPr>
          <w:lang w:val="ca-ES"/>
        </w:rPr>
        <w:t xml:space="preserve"> els </w:t>
      </w:r>
      <w:r w:rsidR="009F581B" w:rsidRPr="00FC74AB">
        <w:rPr>
          <w:lang w:val="ca-ES"/>
        </w:rPr>
        <w:t>màxim</w:t>
      </w:r>
      <w:r w:rsidR="007E16DC" w:rsidRPr="00FC74AB">
        <w:rPr>
          <w:lang w:val="ca-ES"/>
        </w:rPr>
        <w:t>s recursos disponibles p</w:t>
      </w:r>
      <w:r w:rsidR="00314E60" w:rsidRPr="00FC74AB">
        <w:rPr>
          <w:lang w:val="ca-ES"/>
        </w:rPr>
        <w:t>e</w:t>
      </w:r>
      <w:r w:rsidR="007E16DC" w:rsidRPr="00FC74AB">
        <w:rPr>
          <w:lang w:val="ca-ES"/>
        </w:rPr>
        <w:t>r</w:t>
      </w:r>
      <w:r w:rsidR="00314E60" w:rsidRPr="00FC74AB">
        <w:rPr>
          <w:lang w:val="ca-ES"/>
        </w:rPr>
        <w:t xml:space="preserve"> </w:t>
      </w:r>
      <w:r w:rsidR="007E16DC" w:rsidRPr="00FC74AB">
        <w:rPr>
          <w:lang w:val="ca-ES"/>
        </w:rPr>
        <w:t>a</w:t>
      </w:r>
      <w:r w:rsidR="00314E60" w:rsidRPr="00FC74AB">
        <w:rPr>
          <w:lang w:val="ca-ES"/>
        </w:rPr>
        <w:t xml:space="preserve">complir </w:t>
      </w:r>
      <w:r w:rsidR="005214BF" w:rsidRPr="00FC74AB">
        <w:rPr>
          <w:lang w:val="ca-ES"/>
        </w:rPr>
        <w:t xml:space="preserve">els </w:t>
      </w:r>
      <w:r w:rsidR="007E4E7F" w:rsidRPr="00FC74AB">
        <w:rPr>
          <w:lang w:val="ca-ES"/>
        </w:rPr>
        <w:t>drets humans</w:t>
      </w:r>
      <w:r w:rsidR="007E16DC" w:rsidRPr="00FC74AB">
        <w:rPr>
          <w:lang w:val="ca-ES"/>
        </w:rPr>
        <w:t xml:space="preserve">. </w:t>
      </w:r>
      <w:r w:rsidR="00314E60" w:rsidRPr="00FC74AB">
        <w:rPr>
          <w:lang w:val="ca-ES"/>
        </w:rPr>
        <w:t>Els efecte</w:t>
      </w:r>
      <w:r w:rsidR="007E16DC" w:rsidRPr="00FC74AB">
        <w:rPr>
          <w:lang w:val="ca-ES"/>
        </w:rPr>
        <w:t>s d</w:t>
      </w:r>
      <w:r w:rsidR="00314E60" w:rsidRPr="00FC74AB">
        <w:rPr>
          <w:lang w:val="ca-ES"/>
        </w:rPr>
        <w:t>’aquestes clàusules</w:t>
      </w:r>
      <w:r w:rsidR="007E16DC" w:rsidRPr="00FC74AB">
        <w:rPr>
          <w:lang w:val="ca-ES"/>
        </w:rPr>
        <w:t xml:space="preserve"> </w:t>
      </w:r>
      <w:r w:rsidR="00314E60" w:rsidRPr="00FC74AB">
        <w:rPr>
          <w:lang w:val="ca-ES"/>
        </w:rPr>
        <w:t>podrien</w:t>
      </w:r>
      <w:r w:rsidR="007E16DC" w:rsidRPr="00FC74AB">
        <w:rPr>
          <w:lang w:val="ca-ES"/>
        </w:rPr>
        <w:t xml:space="preserve"> ser especialment</w:t>
      </w:r>
      <w:r w:rsidR="00314E60" w:rsidRPr="00FC74AB">
        <w:rPr>
          <w:lang w:val="ca-ES"/>
        </w:rPr>
        <w:t xml:space="preserve"> negatius si una decisió</w:t>
      </w:r>
      <w:r w:rsidR="007E16DC" w:rsidRPr="00FC74AB">
        <w:rPr>
          <w:lang w:val="ca-ES"/>
        </w:rPr>
        <w:t xml:space="preserve"> d</w:t>
      </w:r>
      <w:r w:rsidR="00314E60" w:rsidRPr="00FC74AB">
        <w:rPr>
          <w:lang w:val="ca-ES"/>
        </w:rPr>
        <w:t>’</w:t>
      </w:r>
      <w:r w:rsidR="007E16DC" w:rsidRPr="00FC74AB">
        <w:rPr>
          <w:lang w:val="ca-ES"/>
        </w:rPr>
        <w:t xml:space="preserve">un </w:t>
      </w:r>
      <w:r w:rsidR="00411F23" w:rsidRPr="00FC74AB">
        <w:rPr>
          <w:lang w:val="ca-ES"/>
        </w:rPr>
        <w:t>organisme</w:t>
      </w:r>
      <w:r w:rsidR="007E16DC" w:rsidRPr="00FC74AB">
        <w:rPr>
          <w:lang w:val="ca-ES"/>
        </w:rPr>
        <w:t xml:space="preserve"> </w:t>
      </w:r>
      <w:r w:rsidR="000355E2" w:rsidRPr="00FC74AB">
        <w:rPr>
          <w:lang w:val="ca-ES"/>
        </w:rPr>
        <w:t>públic</w:t>
      </w:r>
      <w:r w:rsidR="007E16DC" w:rsidRPr="00FC74AB">
        <w:rPr>
          <w:lang w:val="ca-ES"/>
        </w:rPr>
        <w:t xml:space="preserve"> </w:t>
      </w:r>
      <w:r w:rsidR="00314E60" w:rsidRPr="00FC74AB">
        <w:rPr>
          <w:lang w:val="ca-ES"/>
        </w:rPr>
        <w:t xml:space="preserve">concret </w:t>
      </w:r>
      <w:r w:rsidR="007E16DC" w:rsidRPr="00FC74AB">
        <w:rPr>
          <w:lang w:val="ca-ES"/>
        </w:rPr>
        <w:t>limita</w:t>
      </w:r>
      <w:r w:rsidR="00B3113E" w:rsidRPr="00FC74AB">
        <w:rPr>
          <w:lang w:val="ca-ES"/>
        </w:rPr>
        <w:t xml:space="preserve"> les </w:t>
      </w:r>
      <w:r w:rsidR="000355E2" w:rsidRPr="00FC74AB">
        <w:rPr>
          <w:lang w:val="ca-ES"/>
        </w:rPr>
        <w:t>decisions</w:t>
      </w:r>
      <w:r w:rsidR="007E16DC" w:rsidRPr="00FC74AB">
        <w:rPr>
          <w:lang w:val="ca-ES"/>
        </w:rPr>
        <w:t xml:space="preserve"> de</w:t>
      </w:r>
      <w:r w:rsidR="00B3113E" w:rsidRPr="00FC74AB">
        <w:rPr>
          <w:lang w:val="ca-ES"/>
        </w:rPr>
        <w:t xml:space="preserve"> les </w:t>
      </w:r>
      <w:r w:rsidR="00314E60" w:rsidRPr="00FC74AB">
        <w:rPr>
          <w:lang w:val="ca-ES"/>
        </w:rPr>
        <w:t>future</w:t>
      </w:r>
      <w:r w:rsidR="007E16DC" w:rsidRPr="00FC74AB">
        <w:rPr>
          <w:lang w:val="ca-ES"/>
        </w:rPr>
        <w:t xml:space="preserve">s </w:t>
      </w:r>
      <w:r w:rsidR="00E31C4A" w:rsidRPr="00FC74AB">
        <w:rPr>
          <w:lang w:val="ca-ES"/>
        </w:rPr>
        <w:t>autoritats</w:t>
      </w:r>
      <w:r w:rsidR="00314E60" w:rsidRPr="00FC74AB">
        <w:rPr>
          <w:lang w:val="ca-ES"/>
        </w:rPr>
        <w:t xml:space="preserve"> competent</w:t>
      </w:r>
      <w:r w:rsidR="007E16DC" w:rsidRPr="00FC74AB">
        <w:rPr>
          <w:lang w:val="ca-ES"/>
        </w:rPr>
        <w:t>s, que podr</w:t>
      </w:r>
      <w:r w:rsidR="00314E60" w:rsidRPr="00FC74AB">
        <w:rPr>
          <w:lang w:val="ca-ES"/>
        </w:rPr>
        <w:t>ien</w:t>
      </w:r>
      <w:r w:rsidR="007E16DC" w:rsidRPr="00FC74AB">
        <w:rPr>
          <w:lang w:val="ca-ES"/>
        </w:rPr>
        <w:t xml:space="preserve"> estar disp</w:t>
      </w:r>
      <w:r w:rsidR="00314E60" w:rsidRPr="00FC74AB">
        <w:rPr>
          <w:lang w:val="ca-ES"/>
        </w:rPr>
        <w:t xml:space="preserve">osades </w:t>
      </w:r>
      <w:r w:rsidR="007E16DC" w:rsidRPr="00FC74AB">
        <w:rPr>
          <w:lang w:val="ca-ES"/>
        </w:rPr>
        <w:t>a recuperar</w:t>
      </w:r>
      <w:r w:rsidR="005214BF" w:rsidRPr="00FC74AB">
        <w:rPr>
          <w:lang w:val="ca-ES"/>
        </w:rPr>
        <w:t xml:space="preserve"> els </w:t>
      </w:r>
      <w:r w:rsidR="003B7411" w:rsidRPr="00FC74AB">
        <w:rPr>
          <w:lang w:val="ca-ES"/>
        </w:rPr>
        <w:t>serveis</w:t>
      </w:r>
      <w:r w:rsidR="00314E60" w:rsidRPr="00FC74AB">
        <w:rPr>
          <w:lang w:val="ca-ES"/>
        </w:rPr>
        <w:t xml:space="preserve"> per co</w:t>
      </w:r>
      <w:r w:rsidR="007E16DC" w:rsidRPr="00FC74AB">
        <w:rPr>
          <w:lang w:val="ca-ES"/>
        </w:rPr>
        <w:t xml:space="preserve">mplir </w:t>
      </w:r>
      <w:r w:rsidR="00314E60" w:rsidRPr="00FC74AB">
        <w:rPr>
          <w:lang w:val="ca-ES"/>
        </w:rPr>
        <w:t xml:space="preserve">les seves </w:t>
      </w:r>
      <w:r w:rsidR="009F581B" w:rsidRPr="00FC74AB">
        <w:rPr>
          <w:lang w:val="ca-ES"/>
        </w:rPr>
        <w:t>obligacions</w:t>
      </w:r>
      <w:r w:rsidR="007E16DC" w:rsidRPr="00FC74AB">
        <w:rPr>
          <w:lang w:val="ca-ES"/>
        </w:rPr>
        <w:t xml:space="preserve"> en </w:t>
      </w:r>
      <w:r w:rsidR="009F581B" w:rsidRPr="00FC74AB">
        <w:rPr>
          <w:lang w:val="ca-ES"/>
        </w:rPr>
        <w:t>matèria</w:t>
      </w:r>
      <w:r w:rsidR="007E16DC" w:rsidRPr="00FC74AB">
        <w:rPr>
          <w:lang w:val="ca-ES"/>
        </w:rPr>
        <w:t xml:space="preserve"> de </w:t>
      </w:r>
      <w:r w:rsidR="007E4E7F" w:rsidRPr="00FC74AB">
        <w:rPr>
          <w:lang w:val="ca-ES"/>
        </w:rPr>
        <w:t>drets humans</w:t>
      </w:r>
      <w:r w:rsidR="00314E60" w:rsidRPr="00FC74AB">
        <w:rPr>
          <w:lang w:val="ca-ES"/>
        </w:rPr>
        <w:t>, però</w:t>
      </w:r>
      <w:r w:rsidR="007E16DC" w:rsidRPr="00FC74AB">
        <w:rPr>
          <w:lang w:val="ca-ES"/>
        </w:rPr>
        <w:t xml:space="preserve"> </w:t>
      </w:r>
      <w:r w:rsidR="0026648C" w:rsidRPr="00FC74AB">
        <w:rPr>
          <w:lang w:val="ca-ES"/>
        </w:rPr>
        <w:t xml:space="preserve">que no es poden permetre </w:t>
      </w:r>
      <w:r w:rsidR="00B3113E" w:rsidRPr="00FC74AB">
        <w:rPr>
          <w:lang w:val="ca-ES"/>
        </w:rPr>
        <w:t xml:space="preserve">les </w:t>
      </w:r>
      <w:r w:rsidR="00314E60" w:rsidRPr="00FC74AB">
        <w:rPr>
          <w:lang w:val="ca-ES"/>
        </w:rPr>
        <w:t>compensacion</w:t>
      </w:r>
      <w:r w:rsidR="007E16DC" w:rsidRPr="00FC74AB">
        <w:rPr>
          <w:lang w:val="ca-ES"/>
        </w:rPr>
        <w:t xml:space="preserve">s </w:t>
      </w:r>
      <w:r w:rsidR="00314E60" w:rsidRPr="00FC74AB">
        <w:rPr>
          <w:lang w:val="ca-ES"/>
        </w:rPr>
        <w:t xml:space="preserve">que es </w:t>
      </w:r>
      <w:r w:rsidR="0026648C" w:rsidRPr="00FC74AB">
        <w:rPr>
          <w:lang w:val="ca-ES"/>
        </w:rPr>
        <w:t xml:space="preserve">derivarien </w:t>
      </w:r>
      <w:r w:rsidR="009A31D3" w:rsidRPr="00FC74AB">
        <w:rPr>
          <w:lang w:val="ca-ES"/>
        </w:rPr>
        <w:t>dels</w:t>
      </w:r>
      <w:r w:rsidR="005214BF" w:rsidRPr="00FC74AB">
        <w:rPr>
          <w:lang w:val="ca-ES"/>
        </w:rPr>
        <w:t xml:space="preserve"> </w:t>
      </w:r>
      <w:r w:rsidR="00E31C4A" w:rsidRPr="00FC74AB">
        <w:rPr>
          <w:lang w:val="ca-ES"/>
        </w:rPr>
        <w:t>contractes</w:t>
      </w:r>
      <w:r w:rsidR="007E16DC" w:rsidRPr="00FC74AB">
        <w:rPr>
          <w:lang w:val="ca-ES"/>
        </w:rPr>
        <w:t>.</w:t>
      </w:r>
    </w:p>
    <w:p w14:paraId="78257922" w14:textId="77777777" w:rsidR="007E16DC" w:rsidRPr="00FC74AB" w:rsidRDefault="007E16DC" w:rsidP="007E16DC">
      <w:pPr>
        <w:pStyle w:val="SingleTxt"/>
        <w:spacing w:after="0" w:line="120" w:lineRule="exact"/>
        <w:rPr>
          <w:sz w:val="10"/>
          <w:lang w:val="ca-ES"/>
        </w:rPr>
      </w:pPr>
    </w:p>
    <w:p w14:paraId="50A510C6" w14:textId="5E182EAC" w:rsidR="007E16DC" w:rsidRPr="00FC74AB" w:rsidRDefault="007E16DC" w:rsidP="006F5A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sidRPr="00FC74AB">
        <w:rPr>
          <w:lang w:val="ca-ES"/>
        </w:rPr>
        <w:tab/>
        <w:t>3.</w:t>
      </w:r>
      <w:r w:rsidRPr="00FC74AB">
        <w:rPr>
          <w:lang w:val="ca-ES"/>
        </w:rPr>
        <w:tab/>
      </w:r>
      <w:r w:rsidR="006F5AD9" w:rsidRPr="00FC74AB">
        <w:rPr>
          <w:bCs/>
          <w:lang w:val="ca-ES"/>
        </w:rPr>
        <w:t>Fase</w:t>
      </w:r>
      <w:r w:rsidR="00195395" w:rsidRPr="00FC74AB">
        <w:rPr>
          <w:bCs/>
          <w:lang w:val="ca-ES"/>
        </w:rPr>
        <w:t xml:space="preserve"> operativa</w:t>
      </w:r>
    </w:p>
    <w:p w14:paraId="67816CD8" w14:textId="77777777" w:rsidR="007E16DC" w:rsidRPr="00FC74AB" w:rsidRDefault="007E16DC" w:rsidP="007E16DC">
      <w:pPr>
        <w:pStyle w:val="SingleTxt"/>
        <w:spacing w:after="0" w:line="120" w:lineRule="exact"/>
        <w:rPr>
          <w:sz w:val="10"/>
          <w:lang w:val="ca-ES"/>
        </w:rPr>
      </w:pPr>
    </w:p>
    <w:p w14:paraId="6B399067" w14:textId="07FB5A7B" w:rsidR="007E16DC" w:rsidRPr="00FC74AB" w:rsidRDefault="004723C0" w:rsidP="007B6BEE">
      <w:pPr>
        <w:pStyle w:val="SingleTxt"/>
        <w:numPr>
          <w:ilvl w:val="2"/>
          <w:numId w:val="49"/>
        </w:numPr>
        <w:spacing w:line="240" w:lineRule="atLeast"/>
        <w:ind w:left="1267" w:firstLine="0"/>
        <w:rPr>
          <w:lang w:val="ca-ES"/>
        </w:rPr>
      </w:pPr>
      <w:r w:rsidRPr="00FC74AB">
        <w:rPr>
          <w:lang w:val="ca-ES"/>
        </w:rPr>
        <w:t>Durant</w:t>
      </w:r>
      <w:r w:rsidR="007E16DC" w:rsidRPr="00FC74AB">
        <w:rPr>
          <w:lang w:val="ca-ES"/>
        </w:rPr>
        <w:t xml:space="preserve"> la </w:t>
      </w:r>
      <w:r w:rsidRPr="00FC74AB">
        <w:rPr>
          <w:lang w:val="ca-ES"/>
        </w:rPr>
        <w:t xml:space="preserve">fase </w:t>
      </w:r>
      <w:r w:rsidR="007E16DC" w:rsidRPr="00FC74AB">
        <w:rPr>
          <w:lang w:val="ca-ES"/>
        </w:rPr>
        <w:t>opera</w:t>
      </w:r>
      <w:r w:rsidRPr="00FC74AB">
        <w:rPr>
          <w:lang w:val="ca-ES"/>
        </w:rPr>
        <w:t>tiva</w:t>
      </w:r>
      <w:r w:rsidR="007E16DC" w:rsidRPr="00FC74AB">
        <w:rPr>
          <w:lang w:val="ca-ES"/>
        </w:rPr>
        <w:t xml:space="preserve"> del </w:t>
      </w:r>
      <w:r w:rsidR="00314E60" w:rsidRPr="00FC74AB">
        <w:rPr>
          <w:lang w:val="ca-ES"/>
        </w:rPr>
        <w:t xml:space="preserve">subministrador </w:t>
      </w:r>
      <w:r w:rsidR="004879F7" w:rsidRPr="00FC74AB">
        <w:rPr>
          <w:lang w:val="ca-ES"/>
        </w:rPr>
        <w:t>privat</w:t>
      </w:r>
      <w:r w:rsidR="00314E60" w:rsidRPr="00FC74AB">
        <w:rPr>
          <w:lang w:val="ca-ES"/>
        </w:rPr>
        <w:t>, el gov</w:t>
      </w:r>
      <w:r w:rsidR="007E16DC" w:rsidRPr="00FC74AB">
        <w:rPr>
          <w:lang w:val="ca-ES"/>
        </w:rPr>
        <w:t xml:space="preserve">ern central </w:t>
      </w:r>
      <w:r w:rsidR="00314E60" w:rsidRPr="00FC74AB">
        <w:rPr>
          <w:lang w:val="ca-ES"/>
        </w:rPr>
        <w:t xml:space="preserve">ha de </w:t>
      </w:r>
      <w:r w:rsidR="007E16DC" w:rsidRPr="00FC74AB">
        <w:rPr>
          <w:lang w:val="ca-ES"/>
        </w:rPr>
        <w:t>promo</w:t>
      </w:r>
      <w:r w:rsidR="00314E60" w:rsidRPr="00FC74AB">
        <w:rPr>
          <w:lang w:val="ca-ES"/>
        </w:rPr>
        <w:t xml:space="preserve">ure </w:t>
      </w:r>
      <w:r w:rsidR="007E16DC" w:rsidRPr="00FC74AB">
        <w:rPr>
          <w:lang w:val="ca-ES"/>
        </w:rPr>
        <w:t xml:space="preserve">la </w:t>
      </w:r>
      <w:r w:rsidR="00314E60" w:rsidRPr="00FC74AB">
        <w:rPr>
          <w:lang w:val="ca-ES"/>
        </w:rPr>
        <w:t>capacitat</w:t>
      </w:r>
      <w:r w:rsidR="007E4E7F" w:rsidRPr="00FC74AB">
        <w:rPr>
          <w:lang w:val="ca-ES"/>
        </w:rPr>
        <w:t xml:space="preserve"> i </w:t>
      </w:r>
      <w:r w:rsidR="007E16DC" w:rsidRPr="00FC74AB">
        <w:rPr>
          <w:lang w:val="ca-ES"/>
        </w:rPr>
        <w:t xml:space="preserve">el </w:t>
      </w:r>
      <w:r w:rsidR="00B6301F" w:rsidRPr="00FC74AB">
        <w:rPr>
          <w:lang w:val="ca-ES"/>
        </w:rPr>
        <w:t>desenvolupament</w:t>
      </w:r>
      <w:r w:rsidR="007E16DC" w:rsidRPr="00FC74AB">
        <w:rPr>
          <w:lang w:val="ca-ES"/>
        </w:rPr>
        <w:t xml:space="preserve"> institucional </w:t>
      </w:r>
      <w:r w:rsidR="009A31D3" w:rsidRPr="00FC74AB">
        <w:rPr>
          <w:lang w:val="ca-ES"/>
        </w:rPr>
        <w:t>dels</w:t>
      </w:r>
      <w:r w:rsidR="005214BF" w:rsidRPr="00FC74AB">
        <w:rPr>
          <w:lang w:val="ca-ES"/>
        </w:rPr>
        <w:t xml:space="preserve"> </w:t>
      </w:r>
      <w:r w:rsidR="007E16DC" w:rsidRPr="00FC74AB">
        <w:rPr>
          <w:lang w:val="ca-ES"/>
        </w:rPr>
        <w:t>encar</w:t>
      </w:r>
      <w:r w:rsidR="00314E60" w:rsidRPr="00FC74AB">
        <w:rPr>
          <w:lang w:val="ca-ES"/>
        </w:rPr>
        <w:t>re</w:t>
      </w:r>
      <w:r w:rsidR="007E16DC" w:rsidRPr="00FC74AB">
        <w:rPr>
          <w:lang w:val="ca-ES"/>
        </w:rPr>
        <w:t>ga</w:t>
      </w:r>
      <w:r w:rsidR="00314E60" w:rsidRPr="00FC74AB">
        <w:rPr>
          <w:lang w:val="ca-ES"/>
        </w:rPr>
        <w:t>t</w:t>
      </w:r>
      <w:r w:rsidR="007E16DC" w:rsidRPr="00FC74AB">
        <w:rPr>
          <w:lang w:val="ca-ES"/>
        </w:rPr>
        <w:t xml:space="preserve">s de supervisar la </w:t>
      </w:r>
      <w:r w:rsidR="003D1714" w:rsidRPr="00FC74AB">
        <w:rPr>
          <w:lang w:val="ca-ES"/>
        </w:rPr>
        <w:t>prestació de serveis</w:t>
      </w:r>
      <w:r w:rsidR="007E16DC" w:rsidRPr="00FC74AB">
        <w:rPr>
          <w:lang w:val="ca-ES"/>
        </w:rPr>
        <w:t xml:space="preserve">. </w:t>
      </w:r>
      <w:r w:rsidR="00314E60" w:rsidRPr="00FC74AB">
        <w:rPr>
          <w:lang w:val="ca-ES"/>
        </w:rPr>
        <w:t>Als organismes reguladors se’</w:t>
      </w:r>
      <w:r w:rsidR="00244A47" w:rsidRPr="00FC74AB">
        <w:rPr>
          <w:lang w:val="ca-ES"/>
        </w:rPr>
        <w:t>ls han de proporcionar no només les condicions jurídiques i els recursos necessaris per supervisar i fer complir degudament les obligacions contractuals, sinó també els necessaris perquè puguin treballar en un bon entorn institucional i dins un marc jurídic sòlid, d</w:t>
      </w:r>
      <w:r w:rsidR="00154F28" w:rsidRPr="00FC74AB">
        <w:rPr>
          <w:lang w:val="ca-ES"/>
        </w:rPr>
        <w:t xml:space="preserve">’acord </w:t>
      </w:r>
      <w:r w:rsidR="00244A47" w:rsidRPr="00FC74AB">
        <w:rPr>
          <w:lang w:val="ca-ES"/>
        </w:rPr>
        <w:t>amb la legislació sobre drets humans.</w:t>
      </w:r>
      <w:r w:rsidR="007E16DC" w:rsidRPr="00FC74AB">
        <w:rPr>
          <w:lang w:val="ca-ES"/>
        </w:rPr>
        <w:t xml:space="preserve"> </w:t>
      </w:r>
      <w:r w:rsidR="00314E60" w:rsidRPr="00FC74AB">
        <w:rPr>
          <w:lang w:val="ca-ES"/>
        </w:rPr>
        <w:t>Els</w:t>
      </w:r>
      <w:r w:rsidR="007E16DC" w:rsidRPr="00FC74AB">
        <w:rPr>
          <w:lang w:val="ca-ES"/>
        </w:rPr>
        <w:t xml:space="preserve"> </w:t>
      </w:r>
      <w:r w:rsidR="00411F23" w:rsidRPr="00FC74AB">
        <w:rPr>
          <w:lang w:val="ca-ES"/>
        </w:rPr>
        <w:t>organisme</w:t>
      </w:r>
      <w:r w:rsidR="007E16DC" w:rsidRPr="00FC74AB">
        <w:rPr>
          <w:lang w:val="ca-ES"/>
        </w:rPr>
        <w:t xml:space="preserve">s reguladors </w:t>
      </w:r>
      <w:r w:rsidR="00314E60" w:rsidRPr="00FC74AB">
        <w:rPr>
          <w:lang w:val="ca-ES"/>
        </w:rPr>
        <w:t>han d’</w:t>
      </w:r>
      <w:r w:rsidR="007E16DC" w:rsidRPr="00FC74AB">
        <w:rPr>
          <w:lang w:val="ca-ES"/>
        </w:rPr>
        <w:t xml:space="preserve">estar </w:t>
      </w:r>
      <w:r w:rsidR="00314E60" w:rsidRPr="00FC74AB">
        <w:rPr>
          <w:lang w:val="ca-ES"/>
        </w:rPr>
        <w:t xml:space="preserve">oberts </w:t>
      </w:r>
      <w:r w:rsidR="007E16DC" w:rsidRPr="00FC74AB">
        <w:rPr>
          <w:lang w:val="ca-ES"/>
        </w:rPr>
        <w:t>a</w:t>
      </w:r>
      <w:r w:rsidR="00314E60" w:rsidRPr="00FC74AB">
        <w:rPr>
          <w:lang w:val="ca-ES"/>
        </w:rPr>
        <w:t xml:space="preserve"> </w:t>
      </w:r>
      <w:r w:rsidR="007E16DC" w:rsidRPr="00FC74AB">
        <w:rPr>
          <w:lang w:val="ca-ES"/>
        </w:rPr>
        <w:t>l</w:t>
      </w:r>
      <w:r w:rsidR="00314E60" w:rsidRPr="00FC74AB">
        <w:rPr>
          <w:lang w:val="ca-ES"/>
        </w:rPr>
        <w:t>’escrutini</w:t>
      </w:r>
      <w:r w:rsidR="007E16DC" w:rsidRPr="00FC74AB">
        <w:rPr>
          <w:lang w:val="ca-ES"/>
        </w:rPr>
        <w:t xml:space="preserve"> </w:t>
      </w:r>
      <w:r w:rsidR="000355E2" w:rsidRPr="00FC74AB">
        <w:rPr>
          <w:lang w:val="ca-ES"/>
        </w:rPr>
        <w:t>públic</w:t>
      </w:r>
      <w:r w:rsidR="007E4E7F" w:rsidRPr="00FC74AB">
        <w:rPr>
          <w:lang w:val="ca-ES"/>
        </w:rPr>
        <w:t xml:space="preserve"> i </w:t>
      </w:r>
      <w:r w:rsidR="007B6BEE" w:rsidRPr="00FC74AB">
        <w:rPr>
          <w:lang w:val="ca-ES"/>
        </w:rPr>
        <w:t xml:space="preserve">retre </w:t>
      </w:r>
      <w:r w:rsidR="00E31C4A" w:rsidRPr="00FC74AB">
        <w:rPr>
          <w:lang w:val="ca-ES"/>
        </w:rPr>
        <w:t>comptes</w:t>
      </w:r>
      <w:r w:rsidR="007E16DC" w:rsidRPr="00FC74AB">
        <w:rPr>
          <w:lang w:val="ca-ES"/>
        </w:rPr>
        <w:t xml:space="preserve"> </w:t>
      </w:r>
      <w:r w:rsidR="00314E60" w:rsidRPr="00FC74AB">
        <w:rPr>
          <w:lang w:val="ca-ES"/>
        </w:rPr>
        <w:t>i regir-se pel marc</w:t>
      </w:r>
      <w:r w:rsidR="007E16DC" w:rsidRPr="00FC74AB">
        <w:rPr>
          <w:lang w:val="ca-ES"/>
        </w:rPr>
        <w:t xml:space="preserve"> de </w:t>
      </w:r>
      <w:r w:rsidR="007E4E7F" w:rsidRPr="00FC74AB">
        <w:rPr>
          <w:lang w:val="ca-ES"/>
        </w:rPr>
        <w:t>drets humans</w:t>
      </w:r>
      <w:r w:rsidR="007E16DC" w:rsidRPr="00FC74AB">
        <w:rPr>
          <w:rStyle w:val="FootnoteReference"/>
          <w:lang w:val="ca-ES"/>
        </w:rPr>
        <w:footnoteReference w:id="116"/>
      </w:r>
      <w:r w:rsidR="007E16DC" w:rsidRPr="00FC74AB">
        <w:rPr>
          <w:lang w:val="ca-ES"/>
        </w:rPr>
        <w:t>.</w:t>
      </w:r>
    </w:p>
    <w:p w14:paraId="1A65BBE0" w14:textId="60F44B46" w:rsidR="007E16DC" w:rsidRPr="00FC74AB" w:rsidRDefault="00314E60" w:rsidP="007B6BEE">
      <w:pPr>
        <w:pStyle w:val="SingleTxt"/>
        <w:numPr>
          <w:ilvl w:val="2"/>
          <w:numId w:val="49"/>
        </w:numPr>
        <w:spacing w:line="240" w:lineRule="atLeast"/>
        <w:ind w:left="1267" w:firstLine="0"/>
        <w:rPr>
          <w:lang w:val="ca-ES"/>
        </w:rPr>
      </w:pPr>
      <w:r w:rsidRPr="00FC74AB">
        <w:rPr>
          <w:lang w:val="ca-ES"/>
        </w:rPr>
        <w:t>La rendició</w:t>
      </w:r>
      <w:r w:rsidR="007E16DC" w:rsidRPr="00FC74AB">
        <w:rPr>
          <w:lang w:val="ca-ES"/>
        </w:rPr>
        <w:t xml:space="preserve"> de </w:t>
      </w:r>
      <w:r w:rsidR="00E31C4A" w:rsidRPr="00FC74AB">
        <w:rPr>
          <w:lang w:val="ca-ES"/>
        </w:rPr>
        <w:t>comptes</w:t>
      </w:r>
      <w:r w:rsidR="007E4E7F" w:rsidRPr="00FC74AB">
        <w:rPr>
          <w:lang w:val="ca-ES"/>
        </w:rPr>
        <w:t xml:space="preserve"> i</w:t>
      </w:r>
      <w:r w:rsidR="000355E2" w:rsidRPr="00FC74AB">
        <w:rPr>
          <w:lang w:val="ca-ES"/>
        </w:rPr>
        <w:t xml:space="preserve"> l’accés</w:t>
      </w:r>
      <w:r w:rsidRPr="00FC74AB">
        <w:rPr>
          <w:lang w:val="ca-ES"/>
        </w:rPr>
        <w:t xml:space="preserve"> </w:t>
      </w:r>
      <w:r w:rsidR="007E16DC" w:rsidRPr="00FC74AB">
        <w:rPr>
          <w:lang w:val="ca-ES"/>
        </w:rPr>
        <w:t>a recursos ef</w:t>
      </w:r>
      <w:r w:rsidR="00B57A74" w:rsidRPr="00FC74AB">
        <w:rPr>
          <w:lang w:val="ca-ES"/>
        </w:rPr>
        <w:t xml:space="preserve">icaços </w:t>
      </w:r>
      <w:r w:rsidR="0012347D" w:rsidRPr="00FC74AB">
        <w:rPr>
          <w:lang w:val="ca-ES"/>
        </w:rPr>
        <w:t>també</w:t>
      </w:r>
      <w:r w:rsidR="00775479" w:rsidRPr="00FC74AB">
        <w:rPr>
          <w:lang w:val="ca-ES"/>
        </w:rPr>
        <w:t xml:space="preserve"> són </w:t>
      </w:r>
      <w:r w:rsidRPr="00FC74AB">
        <w:rPr>
          <w:lang w:val="ca-ES"/>
        </w:rPr>
        <w:t>essencials, j</w:t>
      </w:r>
      <w:r w:rsidR="007E16DC" w:rsidRPr="00FC74AB">
        <w:rPr>
          <w:lang w:val="ca-ES"/>
        </w:rPr>
        <w:t>a que</w:t>
      </w:r>
      <w:r w:rsidR="005214BF" w:rsidRPr="00FC74AB">
        <w:rPr>
          <w:lang w:val="ca-ES"/>
        </w:rPr>
        <w:t xml:space="preserve"> els </w:t>
      </w:r>
      <w:r w:rsidRPr="00FC74AB">
        <w:rPr>
          <w:lang w:val="ca-ES"/>
        </w:rPr>
        <w:t>proveïdors</w:t>
      </w:r>
      <w:r w:rsidR="007E16DC" w:rsidRPr="00FC74AB">
        <w:rPr>
          <w:lang w:val="ca-ES"/>
        </w:rPr>
        <w:t xml:space="preserve"> de </w:t>
      </w:r>
      <w:r w:rsidR="003B7411" w:rsidRPr="00FC74AB">
        <w:rPr>
          <w:lang w:val="ca-ES"/>
        </w:rPr>
        <w:t>serveis</w:t>
      </w:r>
      <w:r w:rsidR="007E4E7F" w:rsidRPr="00FC74AB">
        <w:rPr>
          <w:lang w:val="ca-ES"/>
        </w:rPr>
        <w:t xml:space="preserve"> i</w:t>
      </w:r>
      <w:r w:rsidR="005214BF" w:rsidRPr="00FC74AB">
        <w:rPr>
          <w:lang w:val="ca-ES"/>
        </w:rPr>
        <w:t xml:space="preserve"> els </w:t>
      </w:r>
      <w:r w:rsidR="00195395" w:rsidRPr="00FC74AB">
        <w:rPr>
          <w:lang w:val="ca-ES"/>
        </w:rPr>
        <w:t>Estats</w:t>
      </w:r>
      <w:r w:rsidR="007E16DC" w:rsidRPr="00FC74AB">
        <w:rPr>
          <w:lang w:val="ca-ES"/>
        </w:rPr>
        <w:t xml:space="preserve"> </w:t>
      </w:r>
      <w:r w:rsidRPr="00FC74AB">
        <w:rPr>
          <w:lang w:val="ca-ES"/>
        </w:rPr>
        <w:t xml:space="preserve">han de </w:t>
      </w:r>
      <w:r w:rsidR="007B6BEE" w:rsidRPr="00FC74AB">
        <w:rPr>
          <w:lang w:val="ca-ES"/>
        </w:rPr>
        <w:t xml:space="preserve">retre </w:t>
      </w:r>
      <w:r w:rsidR="00E31C4A" w:rsidRPr="00FC74AB">
        <w:rPr>
          <w:lang w:val="ca-ES"/>
        </w:rPr>
        <w:t>comptes</w:t>
      </w:r>
      <w:r w:rsidR="007E16DC" w:rsidRPr="00FC74AB">
        <w:rPr>
          <w:lang w:val="ca-ES"/>
        </w:rPr>
        <w:t xml:space="preserve"> p</w:t>
      </w:r>
      <w:r w:rsidRPr="00FC74AB">
        <w:rPr>
          <w:lang w:val="ca-ES"/>
        </w:rPr>
        <w:t>e</w:t>
      </w:r>
      <w:r w:rsidR="007E16DC" w:rsidRPr="00FC74AB">
        <w:rPr>
          <w:lang w:val="ca-ES"/>
        </w:rPr>
        <w:t>l deterior</w:t>
      </w:r>
      <w:r w:rsidRPr="00FC74AB">
        <w:rPr>
          <w:lang w:val="ca-ES"/>
        </w:rPr>
        <w:t>ament</w:t>
      </w:r>
      <w:r w:rsidR="007E16DC" w:rsidRPr="00FC74AB">
        <w:rPr>
          <w:lang w:val="ca-ES"/>
        </w:rPr>
        <w:t xml:space="preserve"> </w:t>
      </w:r>
      <w:r w:rsidR="007E4E7F" w:rsidRPr="00FC74AB">
        <w:rPr>
          <w:lang w:val="ca-ES"/>
        </w:rPr>
        <w:t>dels serveis</w:t>
      </w:r>
      <w:r w:rsidR="007E16DC" w:rsidRPr="00FC74AB">
        <w:rPr>
          <w:lang w:val="ca-ES"/>
        </w:rPr>
        <w:t>, l</w:t>
      </w:r>
      <w:r w:rsidRPr="00FC74AB">
        <w:rPr>
          <w:lang w:val="ca-ES"/>
        </w:rPr>
        <w:t>’</w:t>
      </w:r>
      <w:r w:rsidR="0048735E" w:rsidRPr="00FC74AB">
        <w:rPr>
          <w:lang w:val="ca-ES"/>
        </w:rPr>
        <w:t>incompliment</w:t>
      </w:r>
      <w:r w:rsidR="007E16DC" w:rsidRPr="00FC74AB">
        <w:rPr>
          <w:lang w:val="ca-ES"/>
        </w:rPr>
        <w:t xml:space="preserve"> de</w:t>
      </w:r>
      <w:r w:rsidR="00B3113E" w:rsidRPr="00FC74AB">
        <w:rPr>
          <w:lang w:val="ca-ES"/>
        </w:rPr>
        <w:t xml:space="preserve"> les </w:t>
      </w:r>
      <w:r w:rsidRPr="00FC74AB">
        <w:rPr>
          <w:lang w:val="ca-ES"/>
        </w:rPr>
        <w:t>normes de rendiment</w:t>
      </w:r>
      <w:r w:rsidR="007E16DC" w:rsidRPr="00FC74AB">
        <w:rPr>
          <w:lang w:val="ca-ES"/>
        </w:rPr>
        <w:t>,</w:t>
      </w:r>
      <w:r w:rsidR="005214BF" w:rsidRPr="00FC74AB">
        <w:rPr>
          <w:lang w:val="ca-ES"/>
        </w:rPr>
        <w:t xml:space="preserve"> els </w:t>
      </w:r>
      <w:r w:rsidR="007E16DC" w:rsidRPr="00FC74AB">
        <w:rPr>
          <w:lang w:val="ca-ES"/>
        </w:rPr>
        <w:t>au</w:t>
      </w:r>
      <w:r w:rsidRPr="00FC74AB">
        <w:rPr>
          <w:lang w:val="ca-ES"/>
        </w:rPr>
        <w:t>gment</w:t>
      </w:r>
      <w:r w:rsidR="007E16DC" w:rsidRPr="00FC74AB">
        <w:rPr>
          <w:lang w:val="ca-ES"/>
        </w:rPr>
        <w:t xml:space="preserve">s </w:t>
      </w:r>
      <w:r w:rsidR="00B57A74" w:rsidRPr="00FC74AB">
        <w:rPr>
          <w:lang w:val="ca-ES"/>
        </w:rPr>
        <w:t>injustificats</w:t>
      </w:r>
      <w:r w:rsidR="007E16DC" w:rsidRPr="00FC74AB">
        <w:rPr>
          <w:lang w:val="ca-ES"/>
        </w:rPr>
        <w:t xml:space="preserve"> de</w:t>
      </w:r>
      <w:r w:rsidR="00B3113E" w:rsidRPr="00FC74AB">
        <w:rPr>
          <w:lang w:val="ca-ES"/>
        </w:rPr>
        <w:t xml:space="preserve"> les </w:t>
      </w:r>
      <w:r w:rsidR="003B7411" w:rsidRPr="00FC74AB">
        <w:rPr>
          <w:lang w:val="ca-ES"/>
        </w:rPr>
        <w:t>tarifes</w:t>
      </w:r>
      <w:r w:rsidR="007E16DC" w:rsidRPr="00FC74AB">
        <w:rPr>
          <w:lang w:val="ca-ES"/>
        </w:rPr>
        <w:t>,</w:t>
      </w:r>
      <w:r w:rsidR="00B3113E" w:rsidRPr="00FC74AB">
        <w:rPr>
          <w:lang w:val="ca-ES"/>
        </w:rPr>
        <w:t xml:space="preserve"> les </w:t>
      </w:r>
      <w:r w:rsidR="00B57A74" w:rsidRPr="00FC74AB">
        <w:rPr>
          <w:lang w:val="ca-ES"/>
        </w:rPr>
        <w:t>polítiques social</w:t>
      </w:r>
      <w:r w:rsidR="007E16DC" w:rsidRPr="00FC74AB">
        <w:rPr>
          <w:lang w:val="ca-ES"/>
        </w:rPr>
        <w:t xml:space="preserve">s </w:t>
      </w:r>
      <w:r w:rsidR="00B57A74" w:rsidRPr="00FC74AB">
        <w:rPr>
          <w:lang w:val="ca-ES"/>
        </w:rPr>
        <w:t xml:space="preserve">inadequades </w:t>
      </w:r>
      <w:r w:rsidR="007E16DC" w:rsidRPr="00FC74AB">
        <w:rPr>
          <w:lang w:val="ca-ES"/>
        </w:rPr>
        <w:t>o</w:t>
      </w:r>
      <w:r w:rsidR="00B57A74" w:rsidRPr="00FC74AB">
        <w:rPr>
          <w:lang w:val="ca-ES"/>
        </w:rPr>
        <w:t xml:space="preserve"> d’altres infraccion</w:t>
      </w:r>
      <w:r w:rsidR="007E16DC" w:rsidRPr="00FC74AB">
        <w:rPr>
          <w:lang w:val="ca-ES"/>
        </w:rPr>
        <w:t>s</w:t>
      </w:r>
      <w:r w:rsidR="007E16DC" w:rsidRPr="00FC74AB">
        <w:rPr>
          <w:rStyle w:val="FootnoteReference"/>
          <w:lang w:val="ca-ES"/>
        </w:rPr>
        <w:footnoteReference w:id="117"/>
      </w:r>
      <w:r w:rsidR="007E16DC" w:rsidRPr="00FC74AB">
        <w:rPr>
          <w:lang w:val="ca-ES"/>
        </w:rPr>
        <w:t xml:space="preserve">. </w:t>
      </w:r>
      <w:r w:rsidR="00B57A74" w:rsidRPr="00FC74AB">
        <w:rPr>
          <w:lang w:val="ca-ES"/>
        </w:rPr>
        <w:t xml:space="preserve">Cal tenir mecanismes judicials, </w:t>
      </w:r>
      <w:r w:rsidR="00C62C76" w:rsidRPr="00FC74AB">
        <w:rPr>
          <w:lang w:val="ca-ES"/>
        </w:rPr>
        <w:t>para</w:t>
      </w:r>
      <w:r w:rsidR="00B57A74" w:rsidRPr="00FC74AB">
        <w:rPr>
          <w:lang w:val="ca-ES"/>
        </w:rPr>
        <w:t>judicial</w:t>
      </w:r>
      <w:r w:rsidR="007E16DC" w:rsidRPr="00FC74AB">
        <w:rPr>
          <w:lang w:val="ca-ES"/>
        </w:rPr>
        <w:t>s</w:t>
      </w:r>
      <w:r w:rsidR="007E4E7F" w:rsidRPr="00FC74AB">
        <w:rPr>
          <w:lang w:val="ca-ES"/>
        </w:rPr>
        <w:t xml:space="preserve"> i </w:t>
      </w:r>
      <w:r w:rsidR="007E16DC" w:rsidRPr="00FC74AB">
        <w:rPr>
          <w:lang w:val="ca-ES"/>
        </w:rPr>
        <w:t>administrati</w:t>
      </w:r>
      <w:r w:rsidR="00B57A74" w:rsidRPr="00FC74AB">
        <w:rPr>
          <w:lang w:val="ca-ES"/>
        </w:rPr>
        <w:t>u</w:t>
      </w:r>
      <w:r w:rsidR="007E16DC" w:rsidRPr="00FC74AB">
        <w:rPr>
          <w:lang w:val="ca-ES"/>
        </w:rPr>
        <w:t>s vig</w:t>
      </w:r>
      <w:r w:rsidR="00B57A74" w:rsidRPr="00FC74AB">
        <w:rPr>
          <w:lang w:val="ca-ES"/>
        </w:rPr>
        <w:t>ents pe</w:t>
      </w:r>
      <w:r w:rsidR="007E16DC" w:rsidRPr="00FC74AB">
        <w:rPr>
          <w:lang w:val="ca-ES"/>
        </w:rPr>
        <w:t>r</w:t>
      </w:r>
      <w:r w:rsidR="00B57A74" w:rsidRPr="00FC74AB">
        <w:rPr>
          <w:lang w:val="ca-ES"/>
        </w:rPr>
        <w:t xml:space="preserve"> a la rendició</w:t>
      </w:r>
      <w:r w:rsidR="007E16DC" w:rsidRPr="00FC74AB">
        <w:rPr>
          <w:lang w:val="ca-ES"/>
        </w:rPr>
        <w:t xml:space="preserve"> de </w:t>
      </w:r>
      <w:r w:rsidR="00E31C4A" w:rsidRPr="00FC74AB">
        <w:rPr>
          <w:lang w:val="ca-ES"/>
        </w:rPr>
        <w:t>comptes</w:t>
      </w:r>
      <w:r w:rsidR="007E16DC" w:rsidRPr="00FC74AB">
        <w:rPr>
          <w:lang w:val="ca-ES"/>
        </w:rPr>
        <w:t>,</w:t>
      </w:r>
      <w:r w:rsidR="007E4E7F" w:rsidRPr="00FC74AB">
        <w:rPr>
          <w:lang w:val="ca-ES"/>
        </w:rPr>
        <w:t xml:space="preserve"> i</w:t>
      </w:r>
      <w:r w:rsidR="00B3113E" w:rsidRPr="00FC74AB">
        <w:rPr>
          <w:lang w:val="ca-ES"/>
        </w:rPr>
        <w:t xml:space="preserve"> les </w:t>
      </w:r>
      <w:r w:rsidR="007E16DC" w:rsidRPr="00FC74AB">
        <w:rPr>
          <w:lang w:val="ca-ES"/>
        </w:rPr>
        <w:t>person</w:t>
      </w:r>
      <w:r w:rsidR="00B57A74" w:rsidRPr="00FC74AB">
        <w:rPr>
          <w:lang w:val="ca-ES"/>
        </w:rPr>
        <w:t>es afectades pe</w:t>
      </w:r>
      <w:r w:rsidR="007E16DC" w:rsidRPr="00FC74AB">
        <w:rPr>
          <w:lang w:val="ca-ES"/>
        </w:rPr>
        <w:t>r pos</w:t>
      </w:r>
      <w:r w:rsidR="00B57A74" w:rsidRPr="00FC74AB">
        <w:rPr>
          <w:lang w:val="ca-ES"/>
        </w:rPr>
        <w:t>sibles vulneracion</w:t>
      </w:r>
      <w:r w:rsidR="007E16DC" w:rsidRPr="00FC74AB">
        <w:rPr>
          <w:lang w:val="ca-ES"/>
        </w:rPr>
        <w:t xml:space="preserve">s </w:t>
      </w:r>
      <w:r w:rsidR="00B57A74" w:rsidRPr="00FC74AB">
        <w:rPr>
          <w:lang w:val="ca-ES"/>
        </w:rPr>
        <w:t>hi ha de teni</w:t>
      </w:r>
      <w:r w:rsidR="007E16DC" w:rsidRPr="00FC74AB">
        <w:rPr>
          <w:lang w:val="ca-ES"/>
        </w:rPr>
        <w:t xml:space="preserve">r </w:t>
      </w:r>
      <w:r w:rsidR="00B57A74" w:rsidRPr="00FC74AB">
        <w:rPr>
          <w:lang w:val="ca-ES"/>
        </w:rPr>
        <w:t>accé</w:t>
      </w:r>
      <w:r w:rsidR="007E16DC" w:rsidRPr="00FC74AB">
        <w:rPr>
          <w:lang w:val="ca-ES"/>
        </w:rPr>
        <w:t>s.</w:t>
      </w:r>
    </w:p>
    <w:p w14:paraId="4BE54EF9" w14:textId="77777777" w:rsidR="007E16DC" w:rsidRPr="00FC74AB" w:rsidRDefault="007E16DC" w:rsidP="007E16DC">
      <w:pPr>
        <w:pStyle w:val="SingleTxt"/>
        <w:spacing w:after="0" w:line="120" w:lineRule="exact"/>
        <w:rPr>
          <w:sz w:val="10"/>
          <w:lang w:val="ca-ES"/>
        </w:rPr>
      </w:pPr>
    </w:p>
    <w:p w14:paraId="3713950D" w14:textId="59ECBE01" w:rsidR="007E16DC" w:rsidRPr="00FC74AB" w:rsidRDefault="007E16DC" w:rsidP="007944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ca-ES"/>
        </w:rPr>
      </w:pPr>
      <w:r w:rsidRPr="00FC74AB">
        <w:rPr>
          <w:lang w:val="ca-ES"/>
        </w:rPr>
        <w:tab/>
        <w:t>4.</w:t>
      </w:r>
      <w:r w:rsidRPr="00FC74AB">
        <w:rPr>
          <w:lang w:val="ca-ES"/>
        </w:rPr>
        <w:tab/>
        <w:t>Fas</w:t>
      </w:r>
      <w:r w:rsidR="00E037E5" w:rsidRPr="00FC74AB">
        <w:rPr>
          <w:lang w:val="ca-ES"/>
        </w:rPr>
        <w:t>e de renegociació o terminació</w:t>
      </w:r>
    </w:p>
    <w:p w14:paraId="0549F176" w14:textId="77777777" w:rsidR="007E16DC" w:rsidRPr="00FC74AB" w:rsidRDefault="007E16DC" w:rsidP="007E16DC">
      <w:pPr>
        <w:pStyle w:val="SingleTxt"/>
        <w:spacing w:after="0" w:line="120" w:lineRule="exact"/>
        <w:rPr>
          <w:sz w:val="10"/>
          <w:lang w:val="ca-ES"/>
        </w:rPr>
      </w:pPr>
    </w:p>
    <w:p w14:paraId="00C0F843" w14:textId="4D092013" w:rsidR="007E16DC" w:rsidRPr="00FC74AB" w:rsidRDefault="00244A47" w:rsidP="004E0FFE">
      <w:pPr>
        <w:pStyle w:val="SingleTxt"/>
        <w:numPr>
          <w:ilvl w:val="2"/>
          <w:numId w:val="49"/>
        </w:numPr>
        <w:spacing w:line="240" w:lineRule="atLeast"/>
        <w:ind w:left="1267" w:firstLine="0"/>
        <w:rPr>
          <w:lang w:val="ca-ES"/>
        </w:rPr>
      </w:pPr>
      <w:r w:rsidRPr="00FC74AB">
        <w:rPr>
          <w:lang w:val="ca-ES"/>
        </w:rPr>
        <w:t>Tot i que no és desitjable, poden sorgir situacions en què calgui renegociar els contractes si des del principi no s’han previst aspectes rellevants de</w:t>
      </w:r>
      <w:r w:rsidR="004E0FFE" w:rsidRPr="00FC74AB">
        <w:rPr>
          <w:lang w:val="ca-ES"/>
        </w:rPr>
        <w:t xml:space="preserve"> la prestació de serveis i no s’</w:t>
      </w:r>
      <w:r w:rsidR="00AA58E7" w:rsidRPr="00FC74AB">
        <w:rPr>
          <w:lang w:val="ca-ES"/>
        </w:rPr>
        <w:t xml:space="preserve">hi </w:t>
      </w:r>
      <w:r w:rsidRPr="00FC74AB">
        <w:rPr>
          <w:lang w:val="ca-ES"/>
        </w:rPr>
        <w:t>han inclòs. No obstant això, les renegociacions no poden comportar mesures regressives, que es consideren vulneracions dels drets humans. Ben al contrari, les renegociacions han de servir per adaptar els contractes als requisits en matèria de drets humans.</w:t>
      </w:r>
    </w:p>
    <w:p w14:paraId="0600E541" w14:textId="3EBEC9EC" w:rsidR="007E16DC" w:rsidRPr="00FC74AB" w:rsidRDefault="004E0FFE" w:rsidP="00154F28">
      <w:pPr>
        <w:pStyle w:val="SingleTxt"/>
        <w:numPr>
          <w:ilvl w:val="2"/>
          <w:numId w:val="49"/>
        </w:numPr>
        <w:spacing w:line="240" w:lineRule="atLeast"/>
        <w:ind w:left="1267" w:firstLine="0"/>
        <w:rPr>
          <w:lang w:val="ca-ES"/>
        </w:rPr>
      </w:pPr>
      <w:r w:rsidRPr="00FC74AB">
        <w:rPr>
          <w:lang w:val="ca-ES"/>
        </w:rPr>
        <w:t>La rescissió</w:t>
      </w:r>
      <w:r w:rsidR="007E16DC" w:rsidRPr="00FC74AB">
        <w:rPr>
          <w:lang w:val="ca-ES"/>
        </w:rPr>
        <w:t xml:space="preserve"> del </w:t>
      </w:r>
      <w:r w:rsidR="000355E2" w:rsidRPr="00FC74AB">
        <w:rPr>
          <w:lang w:val="ca-ES"/>
        </w:rPr>
        <w:t>contracte</w:t>
      </w:r>
      <w:r w:rsidR="007E16DC" w:rsidRPr="00FC74AB">
        <w:rPr>
          <w:lang w:val="ca-ES"/>
        </w:rPr>
        <w:t xml:space="preserve"> </w:t>
      </w:r>
      <w:r w:rsidR="0012347D" w:rsidRPr="00FC74AB">
        <w:rPr>
          <w:lang w:val="ca-ES"/>
        </w:rPr>
        <w:t>també</w:t>
      </w:r>
      <w:r w:rsidRPr="00FC74AB">
        <w:rPr>
          <w:lang w:val="ca-ES"/>
        </w:rPr>
        <w:t xml:space="preserve"> es crítica. Si el període</w:t>
      </w:r>
      <w:r w:rsidR="007E16DC" w:rsidRPr="00FC74AB">
        <w:rPr>
          <w:lang w:val="ca-ES"/>
        </w:rPr>
        <w:t xml:space="preserve"> de conces</w:t>
      </w:r>
      <w:r w:rsidRPr="00FC74AB">
        <w:rPr>
          <w:lang w:val="ca-ES"/>
        </w:rPr>
        <w:t>sió</w:t>
      </w:r>
      <w:r w:rsidR="007E16DC" w:rsidRPr="00FC74AB">
        <w:rPr>
          <w:lang w:val="ca-ES"/>
        </w:rPr>
        <w:t xml:space="preserve"> </w:t>
      </w:r>
      <w:r w:rsidRPr="00FC74AB">
        <w:rPr>
          <w:lang w:val="ca-ES"/>
        </w:rPr>
        <w:t>arriba a la fi</w:t>
      </w:r>
      <w:r w:rsidR="007E16DC" w:rsidRPr="00FC74AB">
        <w:rPr>
          <w:lang w:val="ca-ES"/>
        </w:rPr>
        <w:t>, s</w:t>
      </w:r>
      <w:r w:rsidRPr="00FC74AB">
        <w:rPr>
          <w:lang w:val="ca-ES"/>
        </w:rPr>
        <w:t>’</w:t>
      </w:r>
      <w:r w:rsidR="007E16DC" w:rsidRPr="00FC74AB">
        <w:rPr>
          <w:lang w:val="ca-ES"/>
        </w:rPr>
        <w:t xml:space="preserve">espera que el </w:t>
      </w:r>
      <w:r w:rsidRPr="00FC74AB">
        <w:rPr>
          <w:lang w:val="ca-ES"/>
        </w:rPr>
        <w:t xml:space="preserve">proveïdor, </w:t>
      </w:r>
      <w:r w:rsidR="00154F28" w:rsidRPr="00FC74AB">
        <w:rPr>
          <w:lang w:val="ca-ES"/>
        </w:rPr>
        <w:t xml:space="preserve">d’acord </w:t>
      </w:r>
      <w:r w:rsidRPr="00FC74AB">
        <w:rPr>
          <w:lang w:val="ca-ES"/>
        </w:rPr>
        <w:t xml:space="preserve">amb </w:t>
      </w:r>
      <w:r w:rsidR="009A31D3" w:rsidRPr="00FC74AB">
        <w:rPr>
          <w:lang w:val="ca-ES"/>
        </w:rPr>
        <w:t>els</w:t>
      </w:r>
      <w:r w:rsidR="005214BF" w:rsidRPr="00FC74AB">
        <w:rPr>
          <w:lang w:val="ca-ES"/>
        </w:rPr>
        <w:t xml:space="preserve"> </w:t>
      </w:r>
      <w:r w:rsidR="007E4E7F" w:rsidRPr="00FC74AB">
        <w:rPr>
          <w:lang w:val="ca-ES"/>
        </w:rPr>
        <w:t>drets humans</w:t>
      </w:r>
      <w:r w:rsidR="007E16DC" w:rsidRPr="00FC74AB">
        <w:rPr>
          <w:lang w:val="ca-ES"/>
        </w:rPr>
        <w:t>, cooper</w:t>
      </w:r>
      <w:r w:rsidRPr="00FC74AB">
        <w:rPr>
          <w:lang w:val="ca-ES"/>
        </w:rPr>
        <w:t>i amb</w:t>
      </w:r>
      <w:r w:rsidR="00B3113E" w:rsidRPr="00FC74AB">
        <w:rPr>
          <w:lang w:val="ca-ES"/>
        </w:rPr>
        <w:t xml:space="preserve"> les </w:t>
      </w:r>
      <w:r w:rsidR="00E31C4A" w:rsidRPr="00FC74AB">
        <w:rPr>
          <w:lang w:val="ca-ES"/>
        </w:rPr>
        <w:t>autoritats</w:t>
      </w:r>
      <w:r w:rsidR="007E16DC" w:rsidRPr="00FC74AB">
        <w:rPr>
          <w:lang w:val="ca-ES"/>
        </w:rPr>
        <w:t xml:space="preserve"> </w:t>
      </w:r>
      <w:r w:rsidR="003A7E50" w:rsidRPr="00FC74AB">
        <w:rPr>
          <w:lang w:val="ca-ES"/>
        </w:rPr>
        <w:t>públiques</w:t>
      </w:r>
      <w:r w:rsidR="007E4E7F" w:rsidRPr="00FC74AB">
        <w:rPr>
          <w:lang w:val="ca-ES"/>
        </w:rPr>
        <w:t xml:space="preserve"> i </w:t>
      </w:r>
      <w:r w:rsidR="007E16DC" w:rsidRPr="00FC74AB">
        <w:rPr>
          <w:lang w:val="ca-ES"/>
        </w:rPr>
        <w:t>garant</w:t>
      </w:r>
      <w:r w:rsidRPr="00FC74AB">
        <w:rPr>
          <w:lang w:val="ca-ES"/>
        </w:rPr>
        <w:t>eix</w:t>
      </w:r>
      <w:r w:rsidR="007E16DC" w:rsidRPr="00FC74AB">
        <w:rPr>
          <w:lang w:val="ca-ES"/>
        </w:rPr>
        <w:t>i</w:t>
      </w:r>
      <w:r w:rsidRPr="00FC74AB">
        <w:rPr>
          <w:lang w:val="ca-ES"/>
        </w:rPr>
        <w:t xml:space="preserve"> una transició sò</w:t>
      </w:r>
      <w:r w:rsidR="007E16DC" w:rsidRPr="00FC74AB">
        <w:rPr>
          <w:lang w:val="ca-ES"/>
        </w:rPr>
        <w:t xml:space="preserve">lida, </w:t>
      </w:r>
      <w:r w:rsidR="00FB1E2E" w:rsidRPr="00FC74AB">
        <w:rPr>
          <w:lang w:val="ca-ES"/>
        </w:rPr>
        <w:t xml:space="preserve">amb </w:t>
      </w:r>
      <w:r w:rsidR="0012347D" w:rsidRPr="00FC74AB">
        <w:rPr>
          <w:lang w:val="ca-ES"/>
        </w:rPr>
        <w:t>transparència</w:t>
      </w:r>
      <w:r w:rsidR="007E4E7F" w:rsidRPr="00FC74AB">
        <w:rPr>
          <w:lang w:val="ca-ES"/>
        </w:rPr>
        <w:t xml:space="preserve"> i </w:t>
      </w:r>
      <w:r w:rsidR="00FB1E2E" w:rsidRPr="00FC74AB">
        <w:rPr>
          <w:lang w:val="ca-ES"/>
        </w:rPr>
        <w:t xml:space="preserve">accés </w:t>
      </w:r>
      <w:r w:rsidR="007E16DC" w:rsidRPr="00FC74AB">
        <w:rPr>
          <w:lang w:val="ca-ES"/>
        </w:rPr>
        <w:t>ple</w:t>
      </w:r>
      <w:r w:rsidR="00FB1E2E" w:rsidRPr="00FC74AB">
        <w:rPr>
          <w:lang w:val="ca-ES"/>
        </w:rPr>
        <w:t xml:space="preserve"> </w:t>
      </w:r>
      <w:r w:rsidR="007E16DC" w:rsidRPr="00FC74AB">
        <w:rPr>
          <w:lang w:val="ca-ES"/>
        </w:rPr>
        <w:t xml:space="preserve">a la </w:t>
      </w:r>
      <w:r w:rsidR="000355E2" w:rsidRPr="00FC74AB">
        <w:rPr>
          <w:lang w:val="ca-ES"/>
        </w:rPr>
        <w:t>informació</w:t>
      </w:r>
      <w:r w:rsidR="007E16DC" w:rsidRPr="00FC74AB">
        <w:rPr>
          <w:lang w:val="ca-ES"/>
        </w:rPr>
        <w:t>.</w:t>
      </w:r>
    </w:p>
    <w:p w14:paraId="6B67A9F5" w14:textId="6ED8D77C" w:rsidR="007E16DC" w:rsidRPr="00FC74AB" w:rsidRDefault="00244A47" w:rsidP="00244A47">
      <w:pPr>
        <w:pStyle w:val="SingleTxt"/>
        <w:numPr>
          <w:ilvl w:val="2"/>
          <w:numId w:val="49"/>
        </w:numPr>
        <w:spacing w:line="240" w:lineRule="atLeast"/>
        <w:ind w:left="1267" w:firstLine="0"/>
        <w:rPr>
          <w:lang w:val="ca-ES"/>
        </w:rPr>
      </w:pPr>
      <w:r w:rsidRPr="00FC74AB">
        <w:rPr>
          <w:b/>
          <w:bCs/>
          <w:lang w:val="ca-ES"/>
        </w:rPr>
        <w:t>D’acord amb aquests elements, el Relator Especial recomana als Estats</w:t>
      </w:r>
      <w:r w:rsidR="008234A9" w:rsidRPr="00FC74AB">
        <w:rPr>
          <w:b/>
          <w:bCs/>
          <w:lang w:val="ca-ES"/>
        </w:rPr>
        <w:t xml:space="preserve"> el següent</w:t>
      </w:r>
      <w:r w:rsidRPr="00FC74AB">
        <w:rPr>
          <w:b/>
          <w:bCs/>
          <w:lang w:val="ca-ES"/>
        </w:rPr>
        <w:t>:</w:t>
      </w:r>
    </w:p>
    <w:p w14:paraId="02EFFBF3" w14:textId="23E6DC8E" w:rsidR="007E16DC" w:rsidRPr="00FC74AB" w:rsidRDefault="007E16DC" w:rsidP="00FB1E2E">
      <w:pPr>
        <w:pStyle w:val="SingleTxt"/>
        <w:rPr>
          <w:lang w:val="ca-ES"/>
        </w:rPr>
      </w:pPr>
      <w:r w:rsidRPr="00FC74AB">
        <w:rPr>
          <w:lang w:val="ca-ES"/>
        </w:rPr>
        <w:tab/>
        <w:t>a)</w:t>
      </w:r>
      <w:r w:rsidRPr="00FC74AB">
        <w:rPr>
          <w:lang w:val="ca-ES"/>
        </w:rPr>
        <w:tab/>
      </w:r>
      <w:r w:rsidR="00244A47" w:rsidRPr="00FC74AB">
        <w:rPr>
          <w:b/>
          <w:bCs/>
          <w:lang w:val="ca-ES"/>
        </w:rPr>
        <w:t>Indicar explícitament, quan s’aprovin lleis que permetin la privatització, que l’aigua i el sanejament són drets humans, establir que els subministradors privats s’han d’atendre al mateix nivell d’obligacions que els subministradors públics i especificar que la decisió de privatitzar els serveis ha d’anar precedida d’una avaluació dels drets humans</w:t>
      </w:r>
      <w:r w:rsidRPr="00FC74AB">
        <w:rPr>
          <w:b/>
          <w:bCs/>
          <w:lang w:val="ca-ES"/>
        </w:rPr>
        <w:t>;</w:t>
      </w:r>
    </w:p>
    <w:p w14:paraId="4BA148B5" w14:textId="6AA7E736" w:rsidR="007E16DC" w:rsidRPr="00FC74AB" w:rsidRDefault="007E16DC" w:rsidP="00FB1E2E">
      <w:pPr>
        <w:pStyle w:val="SingleTxt"/>
        <w:rPr>
          <w:lang w:val="ca-ES"/>
        </w:rPr>
      </w:pPr>
      <w:r w:rsidRPr="00FC74AB">
        <w:rPr>
          <w:lang w:val="ca-ES"/>
        </w:rPr>
        <w:tab/>
        <w:t>b)</w:t>
      </w:r>
      <w:r w:rsidRPr="00FC74AB">
        <w:rPr>
          <w:lang w:val="ca-ES"/>
        </w:rPr>
        <w:tab/>
      </w:r>
      <w:r w:rsidR="00244A47" w:rsidRPr="00FC74AB">
        <w:rPr>
          <w:b/>
          <w:bCs/>
          <w:spacing w:val="2"/>
          <w:lang w:val="ca-ES"/>
        </w:rPr>
        <w:t>Dur a terme una avaluació dels drets humans que inclogui les alternatives disponibles abans d’optar per la privatització dels serveis i, en fer-ho, triar el tipus de prestació més adequat i adaptat a les condicions locals per tal de promoure que els drets a l’aigua i el sanejament siguin efectius per a tothom</w:t>
      </w:r>
      <w:r w:rsidRPr="00FC74AB">
        <w:rPr>
          <w:b/>
          <w:bCs/>
          <w:spacing w:val="2"/>
          <w:lang w:val="ca-ES"/>
        </w:rPr>
        <w:t>;</w:t>
      </w:r>
    </w:p>
    <w:p w14:paraId="056F20C6" w14:textId="0BABE05D" w:rsidR="007E16DC" w:rsidRPr="00FC74AB" w:rsidRDefault="00794406" w:rsidP="009F7F12">
      <w:pPr>
        <w:pStyle w:val="SingleTxt"/>
        <w:keepNext/>
        <w:keepLines/>
        <w:ind w:left="1264" w:right="1264"/>
        <w:rPr>
          <w:lang w:val="ca-ES"/>
        </w:rPr>
      </w:pPr>
      <w:r w:rsidRPr="00FC74AB">
        <w:rPr>
          <w:lang w:val="ca-ES"/>
        </w:rPr>
        <w:tab/>
      </w:r>
      <w:r w:rsidR="007E16DC" w:rsidRPr="00FC74AB">
        <w:rPr>
          <w:lang w:val="ca-ES"/>
        </w:rPr>
        <w:tab/>
        <w:t>c)</w:t>
      </w:r>
      <w:r w:rsidR="007E16DC" w:rsidRPr="00FC74AB">
        <w:rPr>
          <w:lang w:val="ca-ES"/>
        </w:rPr>
        <w:tab/>
      </w:r>
      <w:r w:rsidR="007F400E" w:rsidRPr="00FC74AB">
        <w:rPr>
          <w:b/>
          <w:bCs/>
          <w:lang w:val="ca-ES"/>
        </w:rPr>
        <w:t>Establir mecanismes i recursos efectius i transparents per a la rendició de comptes i l'aplicació de la llei, per tal de garantir que les presumptes violacions dels drets humans comeses per subministradors privats s'investiguin i es sancionin degudament</w:t>
      </w:r>
      <w:r w:rsidR="007E16DC" w:rsidRPr="00FC74AB">
        <w:rPr>
          <w:b/>
          <w:bCs/>
          <w:lang w:val="ca-ES"/>
        </w:rPr>
        <w:t>;</w:t>
      </w:r>
    </w:p>
    <w:p w14:paraId="13490E52" w14:textId="5BCB1744" w:rsidR="007E16DC" w:rsidRPr="00FC74AB" w:rsidRDefault="00794406" w:rsidP="009F7F12">
      <w:pPr>
        <w:pStyle w:val="SingleTxt"/>
        <w:keepNext/>
        <w:keepLines/>
        <w:ind w:left="1264" w:right="1264"/>
        <w:rPr>
          <w:lang w:val="ca-ES"/>
        </w:rPr>
      </w:pPr>
      <w:r w:rsidRPr="00FC74AB">
        <w:rPr>
          <w:lang w:val="ca-ES"/>
        </w:rPr>
        <w:tab/>
      </w:r>
      <w:r w:rsidR="007E16DC" w:rsidRPr="00FC74AB">
        <w:rPr>
          <w:lang w:val="ca-ES"/>
        </w:rPr>
        <w:tab/>
        <w:t>d)</w:t>
      </w:r>
      <w:r w:rsidR="007E16DC" w:rsidRPr="00FC74AB">
        <w:rPr>
          <w:lang w:val="ca-ES"/>
        </w:rPr>
        <w:tab/>
      </w:r>
      <w:r w:rsidR="007F400E" w:rsidRPr="00FC74AB">
        <w:rPr>
          <w:b/>
          <w:bCs/>
          <w:spacing w:val="0"/>
          <w:lang w:val="ca-ES"/>
        </w:rPr>
        <w:t>Promoure la participació activa, lliure i significativa de la societat civil i les comunitats afectades durant tot el procés de decisió sobre el tipus de proveïdor, vetllant perquè es tinguin degudament en compte les opinions de les comunitats</w:t>
      </w:r>
      <w:r w:rsidR="007E16DC" w:rsidRPr="00FC74AB">
        <w:rPr>
          <w:b/>
          <w:bCs/>
          <w:lang w:val="ca-ES"/>
        </w:rPr>
        <w:t>;</w:t>
      </w:r>
    </w:p>
    <w:p w14:paraId="74B710B7" w14:textId="3FF3FF5C" w:rsidR="007E16DC" w:rsidRPr="00FC74AB" w:rsidRDefault="007E16DC" w:rsidP="00E8313B">
      <w:pPr>
        <w:pStyle w:val="SingleTxt"/>
        <w:rPr>
          <w:b/>
          <w:bCs/>
          <w:lang w:val="ca-ES"/>
        </w:rPr>
      </w:pPr>
      <w:r w:rsidRPr="00FC74AB">
        <w:rPr>
          <w:lang w:val="ca-ES"/>
        </w:rPr>
        <w:tab/>
        <w:t>e)</w:t>
      </w:r>
      <w:r w:rsidRPr="00FC74AB">
        <w:rPr>
          <w:lang w:val="ca-ES"/>
        </w:rPr>
        <w:tab/>
      </w:r>
      <w:r w:rsidR="007F400E" w:rsidRPr="00FC74AB">
        <w:rPr>
          <w:b/>
          <w:bCs/>
          <w:lang w:val="ca-ES"/>
        </w:rPr>
        <w:t>Identificar els possibles conflictes entre el dret mercantil i de les inversions i la legislació en matèria de drets humans, i abordar-los de manera que l’Estat compleixi les seves obligacions bàsiques mínimes i l’obligació d’utilitzar el màxim dels seus recursos disponibles en virtut del Pacte Internacional de</w:t>
      </w:r>
      <w:r w:rsidR="00E8313B" w:rsidRPr="00FC74AB">
        <w:rPr>
          <w:b/>
          <w:bCs/>
          <w:lang w:val="ca-ES"/>
        </w:rPr>
        <w:t>ls</w:t>
      </w:r>
      <w:r w:rsidR="007F400E" w:rsidRPr="00FC74AB">
        <w:rPr>
          <w:b/>
          <w:bCs/>
          <w:lang w:val="ca-ES"/>
        </w:rPr>
        <w:t xml:space="preserve"> Drets</w:t>
      </w:r>
      <w:r w:rsidR="00E8313B" w:rsidRPr="00FC74AB">
        <w:rPr>
          <w:b/>
          <w:bCs/>
          <w:lang w:val="ca-ES"/>
        </w:rPr>
        <w:t xml:space="preserve"> Econòmics, Socials i Culturals</w:t>
      </w:r>
      <w:r w:rsidRPr="00FC74AB">
        <w:rPr>
          <w:b/>
          <w:bCs/>
          <w:lang w:val="ca-ES"/>
        </w:rPr>
        <w:t>;</w:t>
      </w:r>
    </w:p>
    <w:p w14:paraId="2E092DC6" w14:textId="05722C1F" w:rsidR="007E16DC" w:rsidRPr="00FC74AB" w:rsidRDefault="007E16DC" w:rsidP="00E8313B">
      <w:pPr>
        <w:pStyle w:val="SingleTxt"/>
        <w:rPr>
          <w:lang w:val="ca-ES"/>
        </w:rPr>
      </w:pPr>
      <w:r w:rsidRPr="00FC74AB">
        <w:rPr>
          <w:lang w:val="ca-ES"/>
        </w:rPr>
        <w:tab/>
        <w:t>f)</w:t>
      </w:r>
      <w:r w:rsidRPr="00FC74AB">
        <w:rPr>
          <w:lang w:val="ca-ES"/>
        </w:rPr>
        <w:tab/>
      </w:r>
      <w:r w:rsidR="007F400E" w:rsidRPr="00FC74AB">
        <w:rPr>
          <w:b/>
          <w:bCs/>
          <w:lang w:val="ca-ES"/>
        </w:rPr>
        <w:t>Definir les obligacions contractuals d’acord amb el contingut normatiu dels drets humans a l’aigua i al sanejament, prioritzant les persones desateses i poc ateses, establint funcions i responsabilitats clares i definint objectius relacionats amb la qualitat, l’a</w:t>
      </w:r>
      <w:r w:rsidR="005D4FA2" w:rsidRPr="00FC74AB">
        <w:rPr>
          <w:b/>
          <w:bCs/>
          <w:lang w:val="ca-ES"/>
        </w:rPr>
        <w:t>ccessibilitat, l’acceptabilitat</w:t>
      </w:r>
      <w:r w:rsidR="007F400E" w:rsidRPr="00FC74AB">
        <w:rPr>
          <w:b/>
          <w:bCs/>
          <w:lang w:val="ca-ES"/>
        </w:rPr>
        <w:t>, l’assequibilitat, la seguretat i la prohibició de mesures regressives, com la desconnexió dels usuaris que no puguin pagar les factures</w:t>
      </w:r>
      <w:r w:rsidRPr="00FC74AB">
        <w:rPr>
          <w:b/>
          <w:bCs/>
          <w:lang w:val="ca-ES"/>
        </w:rPr>
        <w:t>;</w:t>
      </w:r>
    </w:p>
    <w:p w14:paraId="312DD0FC" w14:textId="51DD7F9E" w:rsidR="007E16DC" w:rsidRPr="00FC74AB" w:rsidRDefault="007E16DC" w:rsidP="00081CAB">
      <w:pPr>
        <w:pStyle w:val="SingleTxt"/>
        <w:rPr>
          <w:lang w:val="ca-ES"/>
        </w:rPr>
      </w:pPr>
      <w:r w:rsidRPr="00FC74AB">
        <w:rPr>
          <w:lang w:val="ca-ES"/>
        </w:rPr>
        <w:tab/>
        <w:t>g)</w:t>
      </w:r>
      <w:r w:rsidRPr="00FC74AB">
        <w:rPr>
          <w:lang w:val="ca-ES"/>
        </w:rPr>
        <w:tab/>
      </w:r>
      <w:r w:rsidR="007F400E" w:rsidRPr="00FC74AB">
        <w:rPr>
          <w:b/>
          <w:bCs/>
          <w:lang w:val="ca-ES"/>
        </w:rPr>
        <w:t xml:space="preserve">Incloure, a les clàusules contractuals, condicions i procediments que permetin als Estats emprendre un procés de desprivatització sòlid, transparent i rendible quan el proveïdor infringeixi el contracte, especialment en casos de vulneració dels drets humans o d’incompliment de les </w:t>
      </w:r>
      <w:r w:rsidR="00081CAB" w:rsidRPr="00FC74AB">
        <w:rPr>
          <w:b/>
          <w:bCs/>
          <w:lang w:val="ca-ES"/>
        </w:rPr>
        <w:t>condicion</w:t>
      </w:r>
      <w:r w:rsidRPr="00FC74AB">
        <w:rPr>
          <w:b/>
          <w:bCs/>
          <w:lang w:val="ca-ES"/>
        </w:rPr>
        <w:t xml:space="preserve">s del </w:t>
      </w:r>
      <w:r w:rsidR="000355E2" w:rsidRPr="00FC74AB">
        <w:rPr>
          <w:b/>
          <w:bCs/>
          <w:lang w:val="ca-ES"/>
        </w:rPr>
        <w:t>contracte</w:t>
      </w:r>
      <w:r w:rsidRPr="00FC74AB">
        <w:rPr>
          <w:b/>
          <w:bCs/>
          <w:lang w:val="ca-ES"/>
        </w:rPr>
        <w:t xml:space="preserve"> sobre la base </w:t>
      </w:r>
      <w:r w:rsidR="009A31D3" w:rsidRPr="00FC74AB">
        <w:rPr>
          <w:b/>
          <w:bCs/>
          <w:lang w:val="ca-ES"/>
        </w:rPr>
        <w:t>dels</w:t>
      </w:r>
      <w:r w:rsidR="005214BF" w:rsidRPr="00FC74AB">
        <w:rPr>
          <w:b/>
          <w:bCs/>
          <w:lang w:val="ca-ES"/>
        </w:rPr>
        <w:t xml:space="preserve"> </w:t>
      </w:r>
      <w:r w:rsidR="007E4E7F" w:rsidRPr="00FC74AB">
        <w:rPr>
          <w:b/>
          <w:bCs/>
          <w:lang w:val="ca-ES"/>
        </w:rPr>
        <w:t>drets humans</w:t>
      </w:r>
      <w:r w:rsidRPr="00FC74AB">
        <w:rPr>
          <w:b/>
          <w:bCs/>
          <w:lang w:val="ca-ES"/>
        </w:rPr>
        <w:t xml:space="preserve"> </w:t>
      </w:r>
      <w:r w:rsidR="00D85349" w:rsidRPr="00FC74AB">
        <w:rPr>
          <w:b/>
          <w:bCs/>
          <w:lang w:val="ca-ES"/>
        </w:rPr>
        <w:t>a l’aigua</w:t>
      </w:r>
      <w:r w:rsidR="007E4E7F" w:rsidRPr="00FC74AB">
        <w:rPr>
          <w:b/>
          <w:bCs/>
          <w:lang w:val="ca-ES"/>
        </w:rPr>
        <w:t xml:space="preserve"> i </w:t>
      </w:r>
      <w:r w:rsidR="00081CAB" w:rsidRPr="00FC74AB">
        <w:rPr>
          <w:b/>
          <w:bCs/>
          <w:lang w:val="ca-ES"/>
        </w:rPr>
        <w:t>a</w:t>
      </w:r>
      <w:r w:rsidRPr="00FC74AB">
        <w:rPr>
          <w:b/>
          <w:bCs/>
          <w:lang w:val="ca-ES"/>
        </w:rPr>
        <w:t xml:space="preserve">l </w:t>
      </w:r>
      <w:r w:rsidR="007E4E7F" w:rsidRPr="00FC74AB">
        <w:rPr>
          <w:b/>
          <w:bCs/>
          <w:lang w:val="ca-ES"/>
        </w:rPr>
        <w:t>sanejament</w:t>
      </w:r>
      <w:r w:rsidRPr="00FC74AB">
        <w:rPr>
          <w:b/>
          <w:bCs/>
          <w:lang w:val="ca-ES"/>
        </w:rPr>
        <w:t>;</w:t>
      </w:r>
    </w:p>
    <w:p w14:paraId="45B71509" w14:textId="72081838" w:rsidR="007E16DC" w:rsidRPr="00FC74AB" w:rsidRDefault="007E16DC" w:rsidP="00145666">
      <w:pPr>
        <w:pStyle w:val="SingleTxt"/>
        <w:rPr>
          <w:lang w:val="ca-ES"/>
        </w:rPr>
      </w:pPr>
      <w:r w:rsidRPr="00FC74AB">
        <w:rPr>
          <w:lang w:val="ca-ES"/>
        </w:rPr>
        <w:tab/>
        <w:t>h)</w:t>
      </w:r>
      <w:r w:rsidRPr="00FC74AB">
        <w:rPr>
          <w:lang w:val="ca-ES"/>
        </w:rPr>
        <w:tab/>
      </w:r>
      <w:r w:rsidR="007F400E" w:rsidRPr="00FC74AB">
        <w:rPr>
          <w:b/>
          <w:bCs/>
          <w:lang w:val="ca-ES"/>
        </w:rPr>
        <w:t>Crear entitats autònomes que supervisin i facin complir les obligacions contractuals i dotar-les dels recursos humans i financers suficients per complir el seu mandat i propiciar una participació significativa amb la societat civil com a part integral de la seva tasca</w:t>
      </w:r>
      <w:r w:rsidRPr="00FC74AB">
        <w:rPr>
          <w:b/>
          <w:bCs/>
          <w:lang w:val="ca-ES"/>
        </w:rPr>
        <w:t>;</w:t>
      </w:r>
    </w:p>
    <w:p w14:paraId="1BAECAAC" w14:textId="07AEFD95" w:rsidR="007E16DC" w:rsidRPr="00FC74AB" w:rsidRDefault="007E16DC" w:rsidP="00145666">
      <w:pPr>
        <w:pStyle w:val="SingleTxt"/>
        <w:rPr>
          <w:lang w:val="ca-ES"/>
        </w:rPr>
      </w:pPr>
      <w:r w:rsidRPr="00FC74AB">
        <w:rPr>
          <w:lang w:val="ca-ES"/>
        </w:rPr>
        <w:tab/>
        <w:t>i)</w:t>
      </w:r>
      <w:r w:rsidRPr="00FC74AB">
        <w:rPr>
          <w:lang w:val="ca-ES"/>
        </w:rPr>
        <w:tab/>
      </w:r>
      <w:r w:rsidR="007F400E" w:rsidRPr="00FC74AB">
        <w:rPr>
          <w:b/>
          <w:bCs/>
          <w:lang w:val="ca-ES"/>
        </w:rPr>
        <w:t>Aplicar la legislació que exigeix que les empreses que presten serveis a l'estranger compleixin les normes de drets humans</w:t>
      </w:r>
      <w:r w:rsidRPr="00FC74AB">
        <w:rPr>
          <w:b/>
          <w:bCs/>
          <w:lang w:val="ca-ES"/>
        </w:rPr>
        <w:t>;</w:t>
      </w:r>
    </w:p>
    <w:p w14:paraId="1BA1D824" w14:textId="099AFFED" w:rsidR="007E16DC" w:rsidRPr="00FC74AB" w:rsidRDefault="007E16DC" w:rsidP="00744BA5">
      <w:pPr>
        <w:pStyle w:val="SingleTxt"/>
        <w:rPr>
          <w:b/>
          <w:bCs/>
          <w:lang w:val="ca-ES"/>
        </w:rPr>
      </w:pPr>
      <w:r w:rsidRPr="00FC74AB">
        <w:rPr>
          <w:lang w:val="ca-ES"/>
        </w:rPr>
        <w:tab/>
        <w:t>j)</w:t>
      </w:r>
      <w:r w:rsidRPr="00FC74AB">
        <w:rPr>
          <w:lang w:val="ca-ES"/>
        </w:rPr>
        <w:tab/>
      </w:r>
      <w:r w:rsidR="007F400E" w:rsidRPr="00FC74AB">
        <w:rPr>
          <w:b/>
          <w:bCs/>
          <w:lang w:val="ca-ES"/>
        </w:rPr>
        <w:t>Abstenir-se d</w:t>
      </w:r>
      <w:r w:rsidR="00744BA5" w:rsidRPr="00FC74AB">
        <w:rPr>
          <w:b/>
          <w:bCs/>
          <w:lang w:val="ca-ES"/>
        </w:rPr>
        <w:t>’</w:t>
      </w:r>
      <w:r w:rsidR="007F400E" w:rsidRPr="00FC74AB">
        <w:rPr>
          <w:b/>
          <w:bCs/>
          <w:lang w:val="ca-ES"/>
        </w:rPr>
        <w:t>establir, com a condició per a la cooperació bilateral, que els països receptors participin en la privatització dels serveis d'aigua i sanejament</w:t>
      </w:r>
      <w:r w:rsidRPr="00FC74AB">
        <w:rPr>
          <w:b/>
          <w:bCs/>
          <w:lang w:val="ca-ES"/>
        </w:rPr>
        <w:t>.</w:t>
      </w:r>
    </w:p>
    <w:p w14:paraId="2AEDA4A3" w14:textId="77777777" w:rsidR="007E16DC" w:rsidRPr="00FC74AB" w:rsidRDefault="007E16DC" w:rsidP="007E16DC">
      <w:pPr>
        <w:pStyle w:val="SingleTxt"/>
        <w:spacing w:after="0" w:line="120" w:lineRule="exact"/>
        <w:rPr>
          <w:sz w:val="10"/>
          <w:lang w:val="ca-ES"/>
        </w:rPr>
      </w:pPr>
    </w:p>
    <w:p w14:paraId="79D1C698" w14:textId="77777777" w:rsidR="007E16DC" w:rsidRPr="00FC74AB" w:rsidRDefault="007E16DC" w:rsidP="007E16DC">
      <w:pPr>
        <w:pStyle w:val="SingleTxt"/>
        <w:spacing w:after="0" w:line="120" w:lineRule="exact"/>
        <w:rPr>
          <w:sz w:val="10"/>
          <w:lang w:val="ca-ES"/>
        </w:rPr>
      </w:pPr>
    </w:p>
    <w:p w14:paraId="7FBCBD0F" w14:textId="0B009B2C" w:rsidR="007E16DC" w:rsidRPr="00FC74AB" w:rsidRDefault="007E16DC" w:rsidP="007944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B.</w:t>
      </w:r>
      <w:r w:rsidRPr="00FC74AB">
        <w:rPr>
          <w:lang w:val="ca-ES"/>
        </w:rPr>
        <w:tab/>
      </w:r>
      <w:r w:rsidR="00195395" w:rsidRPr="00FC74AB">
        <w:rPr>
          <w:lang w:val="ca-ES"/>
        </w:rPr>
        <w:t>Entitats del sector privat</w:t>
      </w:r>
    </w:p>
    <w:p w14:paraId="06ADF4CB" w14:textId="77777777" w:rsidR="007E16DC" w:rsidRPr="00FC74AB" w:rsidRDefault="007E16DC" w:rsidP="007E16DC">
      <w:pPr>
        <w:pStyle w:val="SingleTxt"/>
        <w:spacing w:after="0" w:line="120" w:lineRule="exact"/>
        <w:rPr>
          <w:sz w:val="10"/>
          <w:lang w:val="ca-ES"/>
        </w:rPr>
      </w:pPr>
    </w:p>
    <w:p w14:paraId="5A94CB76" w14:textId="77777777" w:rsidR="007E16DC" w:rsidRPr="00FC74AB" w:rsidRDefault="007E16DC" w:rsidP="007E16DC">
      <w:pPr>
        <w:pStyle w:val="SingleTxt"/>
        <w:spacing w:after="0" w:line="120" w:lineRule="exact"/>
        <w:rPr>
          <w:sz w:val="10"/>
          <w:lang w:val="ca-ES"/>
        </w:rPr>
      </w:pPr>
    </w:p>
    <w:p w14:paraId="194E6528" w14:textId="48D313A7" w:rsidR="007E16DC" w:rsidRPr="00FC74AB" w:rsidRDefault="00453CC5" w:rsidP="00D1391B">
      <w:pPr>
        <w:pStyle w:val="SingleTxt"/>
        <w:numPr>
          <w:ilvl w:val="2"/>
          <w:numId w:val="49"/>
        </w:numPr>
        <w:spacing w:line="240" w:lineRule="atLeast"/>
        <w:ind w:left="1267" w:firstLine="0"/>
        <w:rPr>
          <w:lang w:val="ca-ES"/>
        </w:rPr>
      </w:pPr>
      <w:r w:rsidRPr="00FC74AB">
        <w:rPr>
          <w:lang w:val="ca-ES"/>
        </w:rPr>
        <w:t>L’</w:t>
      </w:r>
      <w:r w:rsidR="007E16DC" w:rsidRPr="00FC74AB">
        <w:rPr>
          <w:lang w:val="ca-ES"/>
        </w:rPr>
        <w:t>instrument internacional</w:t>
      </w:r>
      <w:r w:rsidR="00DB041B" w:rsidRPr="00FC74AB">
        <w:rPr>
          <w:lang w:val="ca-ES"/>
        </w:rPr>
        <w:t xml:space="preserve"> més </w:t>
      </w:r>
      <w:r w:rsidR="007E16DC" w:rsidRPr="00FC74AB">
        <w:rPr>
          <w:lang w:val="ca-ES"/>
        </w:rPr>
        <w:t xml:space="preserve">notable que </w:t>
      </w:r>
      <w:r w:rsidRPr="00FC74AB">
        <w:rPr>
          <w:lang w:val="ca-ES"/>
        </w:rPr>
        <w:t>h</w:t>
      </w:r>
      <w:r w:rsidR="007E16DC" w:rsidRPr="00FC74AB">
        <w:rPr>
          <w:lang w:val="ca-ES"/>
        </w:rPr>
        <w:t>armoni</w:t>
      </w:r>
      <w:r w:rsidRPr="00FC74AB">
        <w:rPr>
          <w:lang w:val="ca-ES"/>
        </w:rPr>
        <w:t>tza la participació</w:t>
      </w:r>
      <w:r w:rsidR="007E16DC" w:rsidRPr="00FC74AB">
        <w:rPr>
          <w:lang w:val="ca-ES"/>
        </w:rPr>
        <w:t xml:space="preserve"> privada </w:t>
      </w:r>
      <w:r w:rsidRPr="00FC74AB">
        <w:rPr>
          <w:lang w:val="ca-ES"/>
        </w:rPr>
        <w:t xml:space="preserve">amb </w:t>
      </w:r>
      <w:r w:rsidR="00B3113E" w:rsidRPr="00FC74AB">
        <w:rPr>
          <w:lang w:val="ca-ES"/>
        </w:rPr>
        <w:t xml:space="preserve">les </w:t>
      </w:r>
      <w:r w:rsidRPr="00FC74AB">
        <w:rPr>
          <w:lang w:val="ca-ES"/>
        </w:rPr>
        <w:t>norme</w:t>
      </w:r>
      <w:r w:rsidR="007E16DC" w:rsidRPr="00FC74AB">
        <w:rPr>
          <w:lang w:val="ca-ES"/>
        </w:rPr>
        <w:t xml:space="preserve">s de </w:t>
      </w:r>
      <w:r w:rsidR="007E4E7F" w:rsidRPr="00FC74AB">
        <w:rPr>
          <w:lang w:val="ca-ES"/>
        </w:rPr>
        <w:t>drets humans</w:t>
      </w:r>
      <w:r w:rsidR="00775479" w:rsidRPr="00FC74AB">
        <w:rPr>
          <w:lang w:val="ca-ES"/>
        </w:rPr>
        <w:t xml:space="preserve"> són </w:t>
      </w:r>
      <w:r w:rsidR="005214BF" w:rsidRPr="00FC74AB">
        <w:rPr>
          <w:lang w:val="ca-ES"/>
        </w:rPr>
        <w:t xml:space="preserve">els </w:t>
      </w:r>
      <w:r w:rsidRPr="00FC74AB">
        <w:rPr>
          <w:lang w:val="ca-ES"/>
        </w:rPr>
        <w:t>Principi</w:t>
      </w:r>
      <w:r w:rsidR="007E16DC" w:rsidRPr="00FC74AB">
        <w:rPr>
          <w:lang w:val="ca-ES"/>
        </w:rPr>
        <w:t>s Rectors sobre</w:t>
      </w:r>
      <w:r w:rsidR="00B3113E" w:rsidRPr="00FC74AB">
        <w:rPr>
          <w:lang w:val="ca-ES"/>
        </w:rPr>
        <w:t xml:space="preserve"> les </w:t>
      </w:r>
      <w:r w:rsidRPr="00FC74AB">
        <w:rPr>
          <w:lang w:val="ca-ES"/>
        </w:rPr>
        <w:t>Emprese</w:t>
      </w:r>
      <w:r w:rsidR="007E16DC" w:rsidRPr="00FC74AB">
        <w:rPr>
          <w:lang w:val="ca-ES"/>
        </w:rPr>
        <w:t>s</w:t>
      </w:r>
      <w:r w:rsidR="007E4E7F" w:rsidRPr="00FC74AB">
        <w:rPr>
          <w:lang w:val="ca-ES"/>
        </w:rPr>
        <w:t xml:space="preserve"> i</w:t>
      </w:r>
      <w:r w:rsidR="005214BF" w:rsidRPr="00FC74AB">
        <w:rPr>
          <w:lang w:val="ca-ES"/>
        </w:rPr>
        <w:t xml:space="preserve"> els </w:t>
      </w:r>
      <w:r w:rsidR="007E4E7F" w:rsidRPr="00FC74AB">
        <w:rPr>
          <w:lang w:val="ca-ES"/>
        </w:rPr>
        <w:t>Drets Humans</w:t>
      </w:r>
      <w:r w:rsidR="007E16DC" w:rsidRPr="00FC74AB">
        <w:rPr>
          <w:lang w:val="ca-ES"/>
        </w:rPr>
        <w:t xml:space="preserve"> de</w:t>
      </w:r>
      <w:r w:rsidR="00B3113E" w:rsidRPr="00FC74AB">
        <w:rPr>
          <w:lang w:val="ca-ES"/>
        </w:rPr>
        <w:t xml:space="preserve"> les </w:t>
      </w:r>
      <w:r w:rsidR="007E4E7F" w:rsidRPr="00FC74AB">
        <w:rPr>
          <w:lang w:val="ca-ES"/>
        </w:rPr>
        <w:t>Nacions Unides</w:t>
      </w:r>
      <w:r w:rsidR="007E16DC" w:rsidRPr="00FC74AB">
        <w:rPr>
          <w:lang w:val="ca-ES"/>
        </w:rPr>
        <w:t xml:space="preserve">. </w:t>
      </w:r>
      <w:r w:rsidR="00027CC7" w:rsidRPr="00FC74AB">
        <w:rPr>
          <w:lang w:val="ca-ES"/>
        </w:rPr>
        <w:t xml:space="preserve">Assenyala </w:t>
      </w:r>
      <w:r w:rsidR="007E16DC" w:rsidRPr="00FC74AB">
        <w:rPr>
          <w:lang w:val="ca-ES"/>
        </w:rPr>
        <w:t>que</w:t>
      </w:r>
      <w:r w:rsidR="005214BF" w:rsidRPr="00FC74AB">
        <w:rPr>
          <w:lang w:val="ca-ES"/>
        </w:rPr>
        <w:t xml:space="preserve"> els </w:t>
      </w:r>
      <w:r w:rsidR="00AA58E7" w:rsidRPr="00FC74AB">
        <w:rPr>
          <w:lang w:val="ca-ES"/>
        </w:rPr>
        <w:t>«</w:t>
      </w:r>
      <w:r w:rsidR="00195395" w:rsidRPr="00FC74AB">
        <w:rPr>
          <w:lang w:val="ca-ES"/>
        </w:rPr>
        <w:t>Estats</w:t>
      </w:r>
      <w:r w:rsidR="007E16DC" w:rsidRPr="00FC74AB">
        <w:rPr>
          <w:lang w:val="ca-ES"/>
        </w:rPr>
        <w:t xml:space="preserve"> </w:t>
      </w:r>
      <w:r w:rsidRPr="00FC74AB">
        <w:rPr>
          <w:lang w:val="ca-ES"/>
        </w:rPr>
        <w:t xml:space="preserve">han </w:t>
      </w:r>
      <w:r w:rsidR="007E16DC" w:rsidRPr="00FC74AB">
        <w:rPr>
          <w:lang w:val="ca-ES"/>
        </w:rPr>
        <w:t>de</w:t>
      </w:r>
      <w:r w:rsidRPr="00FC74AB">
        <w:rPr>
          <w:lang w:val="ca-ES"/>
        </w:rPr>
        <w:t xml:space="preserve"> protegi</w:t>
      </w:r>
      <w:r w:rsidR="007E16DC" w:rsidRPr="00FC74AB">
        <w:rPr>
          <w:lang w:val="ca-ES"/>
        </w:rPr>
        <w:t>r contra</w:t>
      </w:r>
      <w:r w:rsidR="00B3113E" w:rsidRPr="00FC74AB">
        <w:rPr>
          <w:lang w:val="ca-ES"/>
        </w:rPr>
        <w:t xml:space="preserve"> les </w:t>
      </w:r>
      <w:r w:rsidRPr="00FC74AB">
        <w:rPr>
          <w:lang w:val="ca-ES"/>
        </w:rPr>
        <w:t>violacion</w:t>
      </w:r>
      <w:r w:rsidR="007E16DC" w:rsidRPr="00FC74AB">
        <w:rPr>
          <w:lang w:val="ca-ES"/>
        </w:rPr>
        <w:t xml:space="preserve">s </w:t>
      </w:r>
      <w:r w:rsidR="009A31D3" w:rsidRPr="00FC74AB">
        <w:rPr>
          <w:lang w:val="ca-ES"/>
        </w:rPr>
        <w:t>dels</w:t>
      </w:r>
      <w:r w:rsidR="005214BF" w:rsidRPr="00FC74AB">
        <w:rPr>
          <w:lang w:val="ca-ES"/>
        </w:rPr>
        <w:t xml:space="preserve"> </w:t>
      </w:r>
      <w:r w:rsidR="007E4E7F" w:rsidRPr="00FC74AB">
        <w:rPr>
          <w:lang w:val="ca-ES"/>
        </w:rPr>
        <w:t>drets humans</w:t>
      </w:r>
      <w:r w:rsidR="007E16DC" w:rsidRPr="00FC74AB">
        <w:rPr>
          <w:lang w:val="ca-ES"/>
        </w:rPr>
        <w:t xml:space="preserve"> </w:t>
      </w:r>
      <w:r w:rsidRPr="00FC74AB">
        <w:rPr>
          <w:lang w:val="ca-ES"/>
        </w:rPr>
        <w:t xml:space="preserve">comeses al </w:t>
      </w:r>
      <w:r w:rsidR="007E16DC" w:rsidRPr="00FC74AB">
        <w:rPr>
          <w:lang w:val="ca-ES"/>
        </w:rPr>
        <w:t>s</w:t>
      </w:r>
      <w:r w:rsidRPr="00FC74AB">
        <w:rPr>
          <w:lang w:val="ca-ES"/>
        </w:rPr>
        <w:t>e</w:t>
      </w:r>
      <w:r w:rsidR="007E16DC" w:rsidRPr="00FC74AB">
        <w:rPr>
          <w:lang w:val="ca-ES"/>
        </w:rPr>
        <w:t>u territori</w:t>
      </w:r>
      <w:r w:rsidRPr="00FC74AB">
        <w:rPr>
          <w:lang w:val="ca-ES"/>
        </w:rPr>
        <w:t xml:space="preserve"> i</w:t>
      </w:r>
      <w:r w:rsidR="007E16DC" w:rsidRPr="00FC74AB">
        <w:rPr>
          <w:lang w:val="ca-ES"/>
        </w:rPr>
        <w:t xml:space="preserve">/o </w:t>
      </w:r>
      <w:r w:rsidRPr="00FC74AB">
        <w:rPr>
          <w:lang w:val="ca-ES"/>
        </w:rPr>
        <w:t>jurisdicció per tercer</w:t>
      </w:r>
      <w:r w:rsidR="007E16DC" w:rsidRPr="00FC74AB">
        <w:rPr>
          <w:lang w:val="ca-ES"/>
        </w:rPr>
        <w:t>s, incl</w:t>
      </w:r>
      <w:r w:rsidRPr="00FC74AB">
        <w:rPr>
          <w:lang w:val="ca-ES"/>
        </w:rPr>
        <w:t xml:space="preserve">oent-hi </w:t>
      </w:r>
      <w:r w:rsidR="00B3113E" w:rsidRPr="00FC74AB">
        <w:rPr>
          <w:lang w:val="ca-ES"/>
        </w:rPr>
        <w:t xml:space="preserve">les </w:t>
      </w:r>
      <w:r w:rsidR="00E31C4A" w:rsidRPr="00FC74AB">
        <w:rPr>
          <w:lang w:val="ca-ES"/>
        </w:rPr>
        <w:t>empreses</w:t>
      </w:r>
      <w:r w:rsidR="00AA58E7" w:rsidRPr="00FC74AB">
        <w:rPr>
          <w:lang w:val="ca-ES"/>
        </w:rPr>
        <w:t>»</w:t>
      </w:r>
      <w:r w:rsidR="007E16DC" w:rsidRPr="00FC74AB">
        <w:rPr>
          <w:lang w:val="ca-ES"/>
        </w:rPr>
        <w:t xml:space="preserve"> </w:t>
      </w:r>
      <w:r w:rsidRPr="00FC74AB">
        <w:rPr>
          <w:lang w:val="ca-ES"/>
        </w:rPr>
        <w:t xml:space="preserve">proveint-se de </w:t>
      </w:r>
      <w:r w:rsidR="00D1391B" w:rsidRPr="00FC74AB">
        <w:rPr>
          <w:lang w:val="ca-ES"/>
        </w:rPr>
        <w:t>«</w:t>
      </w:r>
      <w:r w:rsidR="007E16DC" w:rsidRPr="00FC74AB">
        <w:rPr>
          <w:lang w:val="ca-ES"/>
        </w:rPr>
        <w:t>políti</w:t>
      </w:r>
      <w:r w:rsidRPr="00FC74AB">
        <w:rPr>
          <w:lang w:val="ca-ES"/>
        </w:rPr>
        <w:t>ques</w:t>
      </w:r>
      <w:r w:rsidR="007E16DC" w:rsidRPr="00FC74AB">
        <w:rPr>
          <w:lang w:val="ca-ES"/>
        </w:rPr>
        <w:t xml:space="preserve"> ade</w:t>
      </w:r>
      <w:r w:rsidRPr="00FC74AB">
        <w:rPr>
          <w:lang w:val="ca-ES"/>
        </w:rPr>
        <w:t>quade</w:t>
      </w:r>
      <w:r w:rsidR="007E16DC" w:rsidRPr="00FC74AB">
        <w:rPr>
          <w:lang w:val="ca-ES"/>
        </w:rPr>
        <w:t>s, activi</w:t>
      </w:r>
      <w:r w:rsidRPr="00FC74AB">
        <w:rPr>
          <w:lang w:val="ca-ES"/>
        </w:rPr>
        <w:t xml:space="preserve">tats </w:t>
      </w:r>
      <w:r w:rsidR="007E16DC" w:rsidRPr="00FC74AB">
        <w:rPr>
          <w:lang w:val="ca-ES"/>
        </w:rPr>
        <w:t>de reglamentació</w:t>
      </w:r>
      <w:r w:rsidR="007E4E7F" w:rsidRPr="00FC74AB">
        <w:rPr>
          <w:lang w:val="ca-ES"/>
        </w:rPr>
        <w:t xml:space="preserve"> i </w:t>
      </w:r>
      <w:r w:rsidRPr="00FC74AB">
        <w:rPr>
          <w:lang w:val="ca-ES"/>
        </w:rPr>
        <w:t xml:space="preserve">subjecció </w:t>
      </w:r>
      <w:r w:rsidR="007E16DC" w:rsidRPr="00FC74AB">
        <w:rPr>
          <w:lang w:val="ca-ES"/>
        </w:rPr>
        <w:t xml:space="preserve">a la </w:t>
      </w:r>
      <w:r w:rsidRPr="00FC74AB">
        <w:rPr>
          <w:lang w:val="ca-ES"/>
        </w:rPr>
        <w:t>justícia</w:t>
      </w:r>
      <w:r w:rsidR="00D1391B" w:rsidRPr="00FC74AB">
        <w:rPr>
          <w:lang w:val="ca-ES"/>
        </w:rPr>
        <w:t>»</w:t>
      </w:r>
      <w:r w:rsidRPr="00FC74AB">
        <w:rPr>
          <w:lang w:val="ca-ES"/>
        </w:rPr>
        <w:t>. També</w:t>
      </w:r>
      <w:r w:rsidR="007E16DC" w:rsidRPr="00FC74AB">
        <w:rPr>
          <w:lang w:val="ca-ES"/>
        </w:rPr>
        <w:t xml:space="preserve"> estable</w:t>
      </w:r>
      <w:r w:rsidRPr="00FC74AB">
        <w:rPr>
          <w:lang w:val="ca-ES"/>
        </w:rPr>
        <w:t>ix que és obligació dels governs</w:t>
      </w:r>
      <w:r w:rsidR="007E16DC" w:rsidRPr="00FC74AB">
        <w:rPr>
          <w:lang w:val="ca-ES"/>
        </w:rPr>
        <w:t xml:space="preserve"> </w:t>
      </w:r>
      <w:r w:rsidR="00AA58E7" w:rsidRPr="00FC74AB">
        <w:rPr>
          <w:lang w:val="ca-ES"/>
        </w:rPr>
        <w:t>«</w:t>
      </w:r>
      <w:r w:rsidRPr="00FC74AB">
        <w:rPr>
          <w:lang w:val="ca-ES"/>
        </w:rPr>
        <w:t>dur a terme una supervisió adequada (...) q</w:t>
      </w:r>
      <w:r w:rsidR="007E16DC" w:rsidRPr="00FC74AB">
        <w:rPr>
          <w:lang w:val="ca-ES"/>
        </w:rPr>
        <w:t>uan contra</w:t>
      </w:r>
      <w:r w:rsidR="008820DE" w:rsidRPr="00FC74AB">
        <w:rPr>
          <w:lang w:val="ca-ES"/>
        </w:rPr>
        <w:t>cte</w:t>
      </w:r>
      <w:r w:rsidR="007E16DC" w:rsidRPr="00FC74AB">
        <w:rPr>
          <w:lang w:val="ca-ES"/>
        </w:rPr>
        <w:t>n</w:t>
      </w:r>
      <w:r w:rsidR="005214BF" w:rsidRPr="00FC74AB">
        <w:rPr>
          <w:lang w:val="ca-ES"/>
        </w:rPr>
        <w:t xml:space="preserve"> els </w:t>
      </w:r>
      <w:r w:rsidR="003B7411" w:rsidRPr="00FC74AB">
        <w:rPr>
          <w:lang w:val="ca-ES"/>
        </w:rPr>
        <w:t>serveis</w:t>
      </w:r>
      <w:r w:rsidR="007E16DC" w:rsidRPr="00FC74AB">
        <w:rPr>
          <w:lang w:val="ca-ES"/>
        </w:rPr>
        <w:t xml:space="preserve"> d</w:t>
      </w:r>
      <w:r w:rsidR="008820DE" w:rsidRPr="00FC74AB">
        <w:rPr>
          <w:lang w:val="ca-ES"/>
        </w:rPr>
        <w:t>’</w:t>
      </w:r>
      <w:r w:rsidR="00E31C4A" w:rsidRPr="00FC74AB">
        <w:rPr>
          <w:lang w:val="ca-ES"/>
        </w:rPr>
        <w:t>empreses</w:t>
      </w:r>
      <w:r w:rsidR="008820DE" w:rsidRPr="00FC74AB">
        <w:rPr>
          <w:lang w:val="ca-ES"/>
        </w:rPr>
        <w:t>, o promulgue</w:t>
      </w:r>
      <w:r w:rsidR="007E16DC" w:rsidRPr="00FC74AB">
        <w:rPr>
          <w:lang w:val="ca-ES"/>
        </w:rPr>
        <w:t>n l</w:t>
      </w:r>
      <w:r w:rsidR="008820DE" w:rsidRPr="00FC74AB">
        <w:rPr>
          <w:lang w:val="ca-ES"/>
        </w:rPr>
        <w:t xml:space="preserve">leis amb aquesta </w:t>
      </w:r>
      <w:r w:rsidR="007E16DC" w:rsidRPr="00FC74AB">
        <w:rPr>
          <w:lang w:val="ca-ES"/>
        </w:rPr>
        <w:t>fin</w:t>
      </w:r>
      <w:r w:rsidR="008820DE" w:rsidRPr="00FC74AB">
        <w:rPr>
          <w:lang w:val="ca-ES"/>
        </w:rPr>
        <w:t>alitat</w:t>
      </w:r>
      <w:r w:rsidR="007E16DC" w:rsidRPr="00FC74AB">
        <w:rPr>
          <w:lang w:val="ca-ES"/>
        </w:rPr>
        <w:t>, que pu</w:t>
      </w:r>
      <w:r w:rsidR="008820DE" w:rsidRPr="00FC74AB">
        <w:rPr>
          <w:lang w:val="ca-ES"/>
        </w:rPr>
        <w:t xml:space="preserve">guin incidir en el gaudi </w:t>
      </w:r>
      <w:r w:rsidR="009A31D3" w:rsidRPr="00FC74AB">
        <w:rPr>
          <w:lang w:val="ca-ES"/>
        </w:rPr>
        <w:t>dels</w:t>
      </w:r>
      <w:r w:rsidR="005214BF" w:rsidRPr="00FC74AB">
        <w:rPr>
          <w:lang w:val="ca-ES"/>
        </w:rPr>
        <w:t xml:space="preserve"> </w:t>
      </w:r>
      <w:r w:rsidR="007E4E7F" w:rsidRPr="00FC74AB">
        <w:rPr>
          <w:lang w:val="ca-ES"/>
        </w:rPr>
        <w:t>drets humans</w:t>
      </w:r>
      <w:r w:rsidR="00AA58E7" w:rsidRPr="00FC74AB">
        <w:rPr>
          <w:lang w:val="ca-ES"/>
        </w:rPr>
        <w:t>»</w:t>
      </w:r>
      <w:r w:rsidR="007E16DC" w:rsidRPr="00FC74AB">
        <w:rPr>
          <w:lang w:val="ca-ES"/>
        </w:rPr>
        <w:t xml:space="preserve">. </w:t>
      </w:r>
      <w:r w:rsidR="008820DE" w:rsidRPr="00FC74AB">
        <w:rPr>
          <w:lang w:val="ca-ES"/>
        </w:rPr>
        <w:t xml:space="preserve">Per bé que, en </w:t>
      </w:r>
      <w:r w:rsidR="005F561C" w:rsidRPr="00FC74AB">
        <w:rPr>
          <w:lang w:val="ca-ES"/>
        </w:rPr>
        <w:t>tant que</w:t>
      </w:r>
      <w:r w:rsidR="007E16DC" w:rsidRPr="00FC74AB">
        <w:rPr>
          <w:lang w:val="ca-ES"/>
        </w:rPr>
        <w:t xml:space="preserve"> </w:t>
      </w:r>
      <w:r w:rsidR="00AA58E7" w:rsidRPr="00FC74AB">
        <w:rPr>
          <w:lang w:val="ca-ES"/>
        </w:rPr>
        <w:t>«</w:t>
      </w:r>
      <w:r w:rsidR="007E16DC" w:rsidRPr="00FC74AB">
        <w:rPr>
          <w:lang w:val="ca-ES"/>
        </w:rPr>
        <w:t>d</w:t>
      </w:r>
      <w:r w:rsidR="008820DE" w:rsidRPr="00FC74AB">
        <w:rPr>
          <w:lang w:val="ca-ES"/>
        </w:rPr>
        <w:t xml:space="preserve">ret </w:t>
      </w:r>
      <w:r w:rsidR="007E16DC" w:rsidRPr="00FC74AB">
        <w:rPr>
          <w:lang w:val="ca-ES"/>
        </w:rPr>
        <w:t>indicati</w:t>
      </w:r>
      <w:r w:rsidR="008820DE" w:rsidRPr="00FC74AB">
        <w:rPr>
          <w:lang w:val="ca-ES"/>
        </w:rPr>
        <w:t>u</w:t>
      </w:r>
      <w:r w:rsidR="00AA58E7" w:rsidRPr="00FC74AB">
        <w:rPr>
          <w:lang w:val="ca-ES"/>
        </w:rPr>
        <w:t>»</w:t>
      </w:r>
      <w:r w:rsidR="008820DE" w:rsidRPr="00FC74AB">
        <w:rPr>
          <w:lang w:val="ca-ES"/>
        </w:rPr>
        <w:t>, el complim</w:t>
      </w:r>
      <w:r w:rsidR="007E16DC" w:rsidRPr="00FC74AB">
        <w:rPr>
          <w:lang w:val="ca-ES"/>
        </w:rPr>
        <w:t>ent d</w:t>
      </w:r>
      <w:r w:rsidR="008820DE" w:rsidRPr="00FC74AB">
        <w:rPr>
          <w:lang w:val="ca-ES"/>
        </w:rPr>
        <w:t>’aqu</w:t>
      </w:r>
      <w:r w:rsidR="007E16DC" w:rsidRPr="00FC74AB">
        <w:rPr>
          <w:lang w:val="ca-ES"/>
        </w:rPr>
        <w:t>es</w:t>
      </w:r>
      <w:r w:rsidR="008820DE" w:rsidRPr="00FC74AB">
        <w:rPr>
          <w:lang w:val="ca-ES"/>
        </w:rPr>
        <w:t>ts principi</w:t>
      </w:r>
      <w:r w:rsidR="007E16DC" w:rsidRPr="00FC74AB">
        <w:rPr>
          <w:lang w:val="ca-ES"/>
        </w:rPr>
        <w:t>s</w:t>
      </w:r>
      <w:r w:rsidR="007E4E7F" w:rsidRPr="00FC74AB">
        <w:rPr>
          <w:lang w:val="ca-ES"/>
        </w:rPr>
        <w:t xml:space="preserve"> i </w:t>
      </w:r>
      <w:r w:rsidR="008820DE" w:rsidRPr="00FC74AB">
        <w:rPr>
          <w:lang w:val="ca-ES"/>
        </w:rPr>
        <w:t>marcs és voluntari</w:t>
      </w:r>
      <w:r w:rsidR="007E16DC" w:rsidRPr="00FC74AB">
        <w:rPr>
          <w:lang w:val="ca-ES"/>
        </w:rPr>
        <w:t xml:space="preserve">, </w:t>
      </w:r>
      <w:r w:rsidR="008820DE" w:rsidRPr="00FC74AB">
        <w:rPr>
          <w:lang w:val="ca-ES"/>
        </w:rPr>
        <w:t>la seva existè</w:t>
      </w:r>
      <w:r w:rsidR="007E16DC" w:rsidRPr="00FC74AB">
        <w:rPr>
          <w:lang w:val="ca-ES"/>
        </w:rPr>
        <w:t xml:space="preserve">ncia </w:t>
      </w:r>
      <w:r w:rsidR="008820DE" w:rsidRPr="00FC74AB">
        <w:rPr>
          <w:lang w:val="ca-ES"/>
        </w:rPr>
        <w:t>és útil pe</w:t>
      </w:r>
      <w:r w:rsidR="007E16DC" w:rsidRPr="00FC74AB">
        <w:rPr>
          <w:lang w:val="ca-ES"/>
        </w:rPr>
        <w:t>r</w:t>
      </w:r>
      <w:r w:rsidR="008820DE" w:rsidRPr="00FC74AB">
        <w:rPr>
          <w:lang w:val="ca-ES"/>
        </w:rPr>
        <w:t xml:space="preserve"> a la creació de normes i</w:t>
      </w:r>
      <w:r w:rsidR="007E16DC" w:rsidRPr="00FC74AB">
        <w:rPr>
          <w:lang w:val="ca-ES"/>
        </w:rPr>
        <w:t>, des</w:t>
      </w:r>
      <w:r w:rsidR="008820DE" w:rsidRPr="00FC74AB">
        <w:rPr>
          <w:lang w:val="ca-ES"/>
        </w:rPr>
        <w:t xml:space="preserve"> </w:t>
      </w:r>
      <w:r w:rsidR="007E16DC" w:rsidRPr="00FC74AB">
        <w:rPr>
          <w:lang w:val="ca-ES"/>
        </w:rPr>
        <w:t>d</w:t>
      </w:r>
      <w:r w:rsidR="008820DE" w:rsidRPr="00FC74AB">
        <w:rPr>
          <w:lang w:val="ca-ES"/>
        </w:rPr>
        <w:t>’</w:t>
      </w:r>
      <w:r w:rsidR="007E16DC" w:rsidRPr="00FC74AB">
        <w:rPr>
          <w:lang w:val="ca-ES"/>
        </w:rPr>
        <w:t>una perspectiva jurídica pluralista, com</w:t>
      </w:r>
      <w:r w:rsidR="008820DE" w:rsidRPr="00FC74AB">
        <w:rPr>
          <w:lang w:val="ca-ES"/>
        </w:rPr>
        <w:t xml:space="preserve"> a</w:t>
      </w:r>
      <w:r w:rsidR="007E16DC" w:rsidRPr="00FC74AB">
        <w:rPr>
          <w:lang w:val="ca-ES"/>
        </w:rPr>
        <w:t xml:space="preserve"> </w:t>
      </w:r>
      <w:r w:rsidR="008820DE" w:rsidRPr="00FC74AB">
        <w:rPr>
          <w:lang w:val="ca-ES"/>
        </w:rPr>
        <w:t>llei</w:t>
      </w:r>
      <w:r w:rsidR="007E16DC" w:rsidRPr="00FC74AB">
        <w:rPr>
          <w:lang w:val="ca-ES"/>
        </w:rPr>
        <w:t xml:space="preserve"> p</w:t>
      </w:r>
      <w:r w:rsidR="008820DE" w:rsidRPr="00FC74AB">
        <w:rPr>
          <w:lang w:val="ca-ES"/>
        </w:rPr>
        <w:t>er als qui el</w:t>
      </w:r>
      <w:r w:rsidR="00B3113E" w:rsidRPr="00FC74AB">
        <w:rPr>
          <w:lang w:val="ca-ES"/>
        </w:rPr>
        <w:t xml:space="preserve">s </w:t>
      </w:r>
      <w:r w:rsidR="007E16DC" w:rsidRPr="00FC74AB">
        <w:rPr>
          <w:lang w:val="ca-ES"/>
        </w:rPr>
        <w:t>su</w:t>
      </w:r>
      <w:r w:rsidR="008820DE" w:rsidRPr="00FC74AB">
        <w:rPr>
          <w:lang w:val="ca-ES"/>
        </w:rPr>
        <w:t>bscriu</w:t>
      </w:r>
      <w:r w:rsidR="007E16DC" w:rsidRPr="00FC74AB">
        <w:rPr>
          <w:lang w:val="ca-ES"/>
        </w:rPr>
        <w:t xml:space="preserve">en. </w:t>
      </w:r>
      <w:r w:rsidR="008820DE" w:rsidRPr="00FC74AB">
        <w:rPr>
          <w:lang w:val="ca-ES"/>
        </w:rPr>
        <w:t>Pel que fa a la relació</w:t>
      </w:r>
      <w:r w:rsidR="007E16DC" w:rsidRPr="00FC74AB">
        <w:rPr>
          <w:lang w:val="ca-ES"/>
        </w:rPr>
        <w:t xml:space="preserve"> entre</w:t>
      </w:r>
      <w:r w:rsidR="005214BF" w:rsidRPr="00FC74AB">
        <w:rPr>
          <w:lang w:val="ca-ES"/>
        </w:rPr>
        <w:t xml:space="preserve"> els </w:t>
      </w:r>
      <w:r w:rsidR="00195395" w:rsidRPr="00FC74AB">
        <w:rPr>
          <w:lang w:val="ca-ES"/>
        </w:rPr>
        <w:t>Estats</w:t>
      </w:r>
      <w:r w:rsidR="008820DE" w:rsidRPr="00FC74AB">
        <w:rPr>
          <w:lang w:val="ca-ES"/>
        </w:rPr>
        <w:t xml:space="preserve"> que delegue</w:t>
      </w:r>
      <w:r w:rsidR="007E16DC" w:rsidRPr="00FC74AB">
        <w:rPr>
          <w:lang w:val="ca-ES"/>
        </w:rPr>
        <w:t>n</w:t>
      </w:r>
      <w:r w:rsidR="007E4E7F" w:rsidRPr="00FC74AB">
        <w:rPr>
          <w:lang w:val="ca-ES"/>
        </w:rPr>
        <w:t xml:space="preserve"> i</w:t>
      </w:r>
      <w:r w:rsidR="00B3113E" w:rsidRPr="00FC74AB">
        <w:rPr>
          <w:lang w:val="ca-ES"/>
        </w:rPr>
        <w:t xml:space="preserve"> les </w:t>
      </w:r>
      <w:r w:rsidR="00E31C4A" w:rsidRPr="00FC74AB">
        <w:rPr>
          <w:lang w:val="ca-ES"/>
        </w:rPr>
        <w:t>empreses</w:t>
      </w:r>
      <w:r w:rsidR="007E16DC" w:rsidRPr="00FC74AB">
        <w:rPr>
          <w:lang w:val="ca-ES"/>
        </w:rPr>
        <w:t>,</w:t>
      </w:r>
      <w:r w:rsidR="005214BF" w:rsidRPr="00FC74AB">
        <w:rPr>
          <w:lang w:val="ca-ES"/>
        </w:rPr>
        <w:t xml:space="preserve"> els </w:t>
      </w:r>
      <w:r w:rsidR="008820DE" w:rsidRPr="00FC74AB">
        <w:rPr>
          <w:lang w:val="ca-ES"/>
        </w:rPr>
        <w:t>Principis Rector</w:t>
      </w:r>
      <w:r w:rsidR="007E16DC" w:rsidRPr="00FC74AB">
        <w:rPr>
          <w:lang w:val="ca-ES"/>
        </w:rPr>
        <w:t xml:space="preserve">s </w:t>
      </w:r>
      <w:r w:rsidR="008820DE" w:rsidRPr="00FC74AB">
        <w:rPr>
          <w:lang w:val="ca-ES"/>
        </w:rPr>
        <w:t xml:space="preserve">posen </w:t>
      </w:r>
      <w:r w:rsidR="00B3113E" w:rsidRPr="00FC74AB">
        <w:rPr>
          <w:lang w:val="ca-ES"/>
        </w:rPr>
        <w:t xml:space="preserve">les </w:t>
      </w:r>
      <w:r w:rsidR="007E16DC" w:rsidRPr="00FC74AB">
        <w:rPr>
          <w:lang w:val="ca-ES"/>
        </w:rPr>
        <w:t xml:space="preserve">bases </w:t>
      </w:r>
      <w:r w:rsidR="008820DE" w:rsidRPr="00FC74AB">
        <w:rPr>
          <w:lang w:val="ca-ES"/>
        </w:rPr>
        <w:t>sobre el que s’hauria d’</w:t>
      </w:r>
      <w:r w:rsidR="007E16DC" w:rsidRPr="00FC74AB">
        <w:rPr>
          <w:lang w:val="ca-ES"/>
        </w:rPr>
        <w:t>esperar de</w:t>
      </w:r>
      <w:r w:rsidR="00B3113E" w:rsidRPr="00FC74AB">
        <w:rPr>
          <w:lang w:val="ca-ES"/>
        </w:rPr>
        <w:t xml:space="preserve"> les </w:t>
      </w:r>
      <w:r w:rsidR="00E31C4A" w:rsidRPr="00FC74AB">
        <w:rPr>
          <w:lang w:val="ca-ES"/>
        </w:rPr>
        <w:t>empreses</w:t>
      </w:r>
      <w:r w:rsidR="007E4E7F" w:rsidRPr="00FC74AB">
        <w:rPr>
          <w:lang w:val="ca-ES"/>
        </w:rPr>
        <w:t xml:space="preserve"> i</w:t>
      </w:r>
      <w:r w:rsidR="005214BF" w:rsidRPr="00FC74AB">
        <w:rPr>
          <w:lang w:val="ca-ES"/>
        </w:rPr>
        <w:t xml:space="preserve"> els </w:t>
      </w:r>
      <w:r w:rsidR="008820DE" w:rsidRPr="00FC74AB">
        <w:rPr>
          <w:lang w:val="ca-ES"/>
        </w:rPr>
        <w:t>tipu</w:t>
      </w:r>
      <w:r w:rsidR="007E16DC" w:rsidRPr="00FC74AB">
        <w:rPr>
          <w:lang w:val="ca-ES"/>
        </w:rPr>
        <w:t xml:space="preserve">s de </w:t>
      </w:r>
      <w:r w:rsidR="008820DE" w:rsidRPr="00FC74AB">
        <w:rPr>
          <w:lang w:val="ca-ES"/>
        </w:rPr>
        <w:t>mecanismes</w:t>
      </w:r>
      <w:r w:rsidR="007E16DC" w:rsidRPr="00FC74AB">
        <w:rPr>
          <w:lang w:val="ca-ES"/>
        </w:rPr>
        <w:t xml:space="preserve"> de </w:t>
      </w:r>
      <w:r w:rsidR="008820DE" w:rsidRPr="00FC74AB">
        <w:rPr>
          <w:lang w:val="ca-ES"/>
        </w:rPr>
        <w:t>compliment</w:t>
      </w:r>
      <w:r w:rsidR="007E16DC" w:rsidRPr="00FC74AB">
        <w:rPr>
          <w:lang w:val="ca-ES"/>
        </w:rPr>
        <w:t xml:space="preserve"> que </w:t>
      </w:r>
      <w:r w:rsidR="008820DE" w:rsidRPr="00FC74AB">
        <w:rPr>
          <w:lang w:val="ca-ES"/>
        </w:rPr>
        <w:t>haurien d’</w:t>
      </w:r>
      <w:r w:rsidR="007E16DC" w:rsidRPr="00FC74AB">
        <w:rPr>
          <w:lang w:val="ca-ES"/>
        </w:rPr>
        <w:t>existir.</w:t>
      </w:r>
    </w:p>
    <w:p w14:paraId="6F8B6999" w14:textId="4CBA7A73" w:rsidR="007E16DC" w:rsidRPr="00FC74AB" w:rsidRDefault="008820DE" w:rsidP="00FE4AD6">
      <w:pPr>
        <w:pStyle w:val="SingleTxt"/>
        <w:numPr>
          <w:ilvl w:val="2"/>
          <w:numId w:val="49"/>
        </w:numPr>
        <w:spacing w:line="240" w:lineRule="atLeast"/>
        <w:ind w:left="1267" w:firstLine="0"/>
        <w:rPr>
          <w:lang w:val="ca-ES"/>
        </w:rPr>
      </w:pPr>
      <w:r w:rsidRPr="00FC74AB">
        <w:rPr>
          <w:lang w:val="ca-ES"/>
        </w:rPr>
        <w:t>En el marc</w:t>
      </w:r>
      <w:r w:rsidR="007E16DC" w:rsidRPr="00FC74AB">
        <w:rPr>
          <w:lang w:val="ca-ES"/>
        </w:rPr>
        <w:t xml:space="preserve"> actual del </w:t>
      </w:r>
      <w:r w:rsidRPr="00FC74AB">
        <w:rPr>
          <w:lang w:val="ca-ES"/>
        </w:rPr>
        <w:t xml:space="preserve">dret </w:t>
      </w:r>
      <w:r w:rsidR="007E16DC" w:rsidRPr="00FC74AB">
        <w:rPr>
          <w:lang w:val="ca-ES"/>
        </w:rPr>
        <w:t xml:space="preserve">internacional, han </w:t>
      </w:r>
      <w:r w:rsidRPr="00FC74AB">
        <w:rPr>
          <w:lang w:val="ca-ES"/>
        </w:rPr>
        <w:t>sorgit</w:t>
      </w:r>
      <w:r w:rsidR="007E16DC" w:rsidRPr="00FC74AB">
        <w:rPr>
          <w:lang w:val="ca-ES"/>
        </w:rPr>
        <w:t xml:space="preserve"> </w:t>
      </w:r>
      <w:r w:rsidRPr="00FC74AB">
        <w:rPr>
          <w:lang w:val="ca-ES"/>
        </w:rPr>
        <w:t>controvèrsies</w:t>
      </w:r>
      <w:r w:rsidR="007E16DC" w:rsidRPr="00FC74AB">
        <w:rPr>
          <w:lang w:val="ca-ES"/>
        </w:rPr>
        <w:t xml:space="preserve"> sobre</w:t>
      </w:r>
      <w:r w:rsidR="00B3113E" w:rsidRPr="00FC74AB">
        <w:rPr>
          <w:lang w:val="ca-ES"/>
        </w:rPr>
        <w:t xml:space="preserve"> les </w:t>
      </w:r>
      <w:r w:rsidR="009F581B" w:rsidRPr="00FC74AB">
        <w:rPr>
          <w:lang w:val="ca-ES"/>
        </w:rPr>
        <w:t>obligacions</w:t>
      </w:r>
      <w:r w:rsidR="007E16DC" w:rsidRPr="00FC74AB">
        <w:rPr>
          <w:lang w:val="ca-ES"/>
        </w:rPr>
        <w:t xml:space="preserve"> de</w:t>
      </w:r>
      <w:r w:rsidR="00B3113E" w:rsidRPr="00FC74AB">
        <w:rPr>
          <w:lang w:val="ca-ES"/>
        </w:rPr>
        <w:t xml:space="preserve"> les </w:t>
      </w:r>
      <w:r w:rsidR="00E31C4A" w:rsidRPr="00FC74AB">
        <w:rPr>
          <w:lang w:val="ca-ES"/>
        </w:rPr>
        <w:t>empreses</w:t>
      </w:r>
      <w:r w:rsidR="007E16DC" w:rsidRPr="00FC74AB">
        <w:rPr>
          <w:lang w:val="ca-ES"/>
        </w:rPr>
        <w:t xml:space="preserve"> en </w:t>
      </w:r>
      <w:r w:rsidR="009F581B" w:rsidRPr="00FC74AB">
        <w:rPr>
          <w:lang w:val="ca-ES"/>
        </w:rPr>
        <w:t>matèria</w:t>
      </w:r>
      <w:r w:rsidR="007E16DC" w:rsidRPr="00FC74AB">
        <w:rPr>
          <w:lang w:val="ca-ES"/>
        </w:rPr>
        <w:t xml:space="preserve"> de </w:t>
      </w:r>
      <w:r w:rsidR="007E4E7F" w:rsidRPr="00FC74AB">
        <w:rPr>
          <w:lang w:val="ca-ES"/>
        </w:rPr>
        <w:t>drets humans</w:t>
      </w:r>
      <w:r w:rsidR="007E16DC" w:rsidRPr="00FC74AB">
        <w:rPr>
          <w:rStyle w:val="FootnoteReference"/>
          <w:lang w:val="ca-ES"/>
        </w:rPr>
        <w:footnoteReference w:id="118"/>
      </w:r>
      <w:r w:rsidR="007E16DC" w:rsidRPr="00FC74AB">
        <w:rPr>
          <w:lang w:val="ca-ES"/>
        </w:rPr>
        <w:t>. E</w:t>
      </w:r>
      <w:r w:rsidRPr="00FC74AB">
        <w:rPr>
          <w:lang w:val="ca-ES"/>
        </w:rPr>
        <w:t>l 2018, el grup de treball</w:t>
      </w:r>
      <w:r w:rsidR="007E16DC" w:rsidRPr="00FC74AB">
        <w:rPr>
          <w:lang w:val="ca-ES"/>
        </w:rPr>
        <w:t xml:space="preserve"> </w:t>
      </w:r>
      <w:r w:rsidRPr="00FC74AB">
        <w:rPr>
          <w:lang w:val="ca-ES"/>
        </w:rPr>
        <w:t>intergovernamental de composició ob</w:t>
      </w:r>
      <w:r w:rsidR="007E16DC" w:rsidRPr="00FC74AB">
        <w:rPr>
          <w:lang w:val="ca-ES"/>
        </w:rPr>
        <w:t>erta sobre</w:t>
      </w:r>
      <w:r w:rsidR="00B3113E" w:rsidRPr="00FC74AB">
        <w:rPr>
          <w:lang w:val="ca-ES"/>
        </w:rPr>
        <w:t xml:space="preserve"> les </w:t>
      </w:r>
      <w:r w:rsidR="00E31C4A" w:rsidRPr="00FC74AB">
        <w:rPr>
          <w:lang w:val="ca-ES"/>
        </w:rPr>
        <w:t>empreses</w:t>
      </w:r>
      <w:r w:rsidRPr="00FC74AB">
        <w:rPr>
          <w:lang w:val="ca-ES"/>
        </w:rPr>
        <w:t xml:space="preserve"> transnacional</w:t>
      </w:r>
      <w:r w:rsidR="007E16DC" w:rsidRPr="00FC74AB">
        <w:rPr>
          <w:lang w:val="ca-ES"/>
        </w:rPr>
        <w:t>s</w:t>
      </w:r>
      <w:r w:rsidR="007E4E7F" w:rsidRPr="00FC74AB">
        <w:rPr>
          <w:lang w:val="ca-ES"/>
        </w:rPr>
        <w:t xml:space="preserve"> i </w:t>
      </w:r>
      <w:r w:rsidRPr="00FC74AB">
        <w:rPr>
          <w:lang w:val="ca-ES"/>
        </w:rPr>
        <w:t xml:space="preserve">altres </w:t>
      </w:r>
      <w:r w:rsidR="00E31C4A" w:rsidRPr="00FC74AB">
        <w:rPr>
          <w:lang w:val="ca-ES"/>
        </w:rPr>
        <w:t>empreses</w:t>
      </w:r>
      <w:r w:rsidR="007E16DC" w:rsidRPr="00FC74AB">
        <w:rPr>
          <w:lang w:val="ca-ES"/>
        </w:rPr>
        <w:t xml:space="preserve"> </w:t>
      </w:r>
      <w:r w:rsidR="00917C3D" w:rsidRPr="00FC74AB">
        <w:rPr>
          <w:lang w:val="ca-ES"/>
        </w:rPr>
        <w:t xml:space="preserve">en relació amb els </w:t>
      </w:r>
      <w:r w:rsidR="007E4E7F" w:rsidRPr="00FC74AB">
        <w:rPr>
          <w:lang w:val="ca-ES"/>
        </w:rPr>
        <w:t>drets humans</w:t>
      </w:r>
      <w:r w:rsidR="007E16DC" w:rsidRPr="00FC74AB">
        <w:rPr>
          <w:lang w:val="ca-ES"/>
        </w:rPr>
        <w:t>, crea</w:t>
      </w:r>
      <w:r w:rsidRPr="00FC74AB">
        <w:rPr>
          <w:lang w:val="ca-ES"/>
        </w:rPr>
        <w:t>t</w:t>
      </w:r>
      <w:r w:rsidR="007E16DC" w:rsidRPr="00FC74AB">
        <w:rPr>
          <w:lang w:val="ca-ES"/>
        </w:rPr>
        <w:t xml:space="preserve"> pel </w:t>
      </w:r>
      <w:r w:rsidR="007E4E7F" w:rsidRPr="00FC74AB">
        <w:rPr>
          <w:lang w:val="ca-ES"/>
        </w:rPr>
        <w:t>Consell de Drets Humans</w:t>
      </w:r>
      <w:r w:rsidR="007E16DC" w:rsidRPr="00FC74AB">
        <w:rPr>
          <w:lang w:val="ca-ES"/>
        </w:rPr>
        <w:t xml:space="preserve">, </w:t>
      </w:r>
      <w:r w:rsidRPr="00FC74AB">
        <w:rPr>
          <w:lang w:val="ca-ES"/>
        </w:rPr>
        <w:t>va publicar</w:t>
      </w:r>
      <w:r w:rsidR="007E16DC" w:rsidRPr="00FC74AB">
        <w:rPr>
          <w:lang w:val="ca-ES"/>
        </w:rPr>
        <w:t xml:space="preserve"> un </w:t>
      </w:r>
      <w:r w:rsidR="00EF7465" w:rsidRPr="00FC74AB">
        <w:rPr>
          <w:lang w:val="ca-ES"/>
        </w:rPr>
        <w:t>«</w:t>
      </w:r>
      <w:r w:rsidRPr="00FC74AB">
        <w:rPr>
          <w:lang w:val="ca-ES"/>
        </w:rPr>
        <w:t xml:space="preserve">esborrany </w:t>
      </w:r>
      <w:r w:rsidR="007E16DC" w:rsidRPr="00FC74AB">
        <w:rPr>
          <w:lang w:val="ca-ES"/>
        </w:rPr>
        <w:t>preliminar</w:t>
      </w:r>
      <w:r w:rsidR="00EF7465" w:rsidRPr="00FC74AB">
        <w:rPr>
          <w:lang w:val="ca-ES"/>
        </w:rPr>
        <w:t>»</w:t>
      </w:r>
      <w:r w:rsidR="007E16DC" w:rsidRPr="00FC74AB">
        <w:rPr>
          <w:lang w:val="ca-ES"/>
        </w:rPr>
        <w:t xml:space="preserve"> d</w:t>
      </w:r>
      <w:r w:rsidRPr="00FC74AB">
        <w:rPr>
          <w:lang w:val="ca-ES"/>
        </w:rPr>
        <w:t>’</w:t>
      </w:r>
      <w:r w:rsidR="007E16DC" w:rsidRPr="00FC74AB">
        <w:rPr>
          <w:lang w:val="ca-ES"/>
        </w:rPr>
        <w:t>un n</w:t>
      </w:r>
      <w:r w:rsidRPr="00FC74AB">
        <w:rPr>
          <w:lang w:val="ca-ES"/>
        </w:rPr>
        <w:t xml:space="preserve">ou </w:t>
      </w:r>
      <w:r w:rsidR="007E16DC" w:rsidRPr="00FC74AB">
        <w:rPr>
          <w:lang w:val="ca-ES"/>
        </w:rPr>
        <w:t>tra</w:t>
      </w:r>
      <w:r w:rsidRPr="00FC74AB">
        <w:rPr>
          <w:lang w:val="ca-ES"/>
        </w:rPr>
        <w:t>c</w:t>
      </w:r>
      <w:r w:rsidR="007E16DC" w:rsidRPr="00FC74AB">
        <w:rPr>
          <w:lang w:val="ca-ES"/>
        </w:rPr>
        <w:t>ta</w:t>
      </w:r>
      <w:r w:rsidR="00EF7465" w:rsidRPr="00FC74AB">
        <w:rPr>
          <w:lang w:val="ca-ES"/>
        </w:rPr>
        <w:t>t</w:t>
      </w:r>
      <w:r w:rsidR="007E16DC" w:rsidRPr="00FC74AB">
        <w:rPr>
          <w:lang w:val="ca-ES"/>
        </w:rPr>
        <w:t xml:space="preserve"> sobre un </w:t>
      </w:r>
      <w:r w:rsidR="00EF7465" w:rsidRPr="00FC74AB">
        <w:rPr>
          <w:lang w:val="ca-ES"/>
        </w:rPr>
        <w:t>«</w:t>
      </w:r>
      <w:r w:rsidR="007E16DC" w:rsidRPr="00FC74AB">
        <w:rPr>
          <w:lang w:val="ca-ES"/>
        </w:rPr>
        <w:t>instrument</w:t>
      </w:r>
      <w:r w:rsidRPr="00FC74AB">
        <w:rPr>
          <w:lang w:val="ca-ES"/>
        </w:rPr>
        <w:t xml:space="preserve"> jurídicament vinculant per</w:t>
      </w:r>
      <w:r w:rsidR="007E16DC" w:rsidRPr="00FC74AB">
        <w:rPr>
          <w:lang w:val="ca-ES"/>
        </w:rPr>
        <w:t xml:space="preserve"> regular</w:t>
      </w:r>
      <w:r w:rsidR="00B3113E" w:rsidRPr="00FC74AB">
        <w:rPr>
          <w:lang w:val="ca-ES"/>
        </w:rPr>
        <w:t xml:space="preserve"> les </w:t>
      </w:r>
      <w:r w:rsidRPr="00FC74AB">
        <w:rPr>
          <w:lang w:val="ca-ES"/>
        </w:rPr>
        <w:t>activitats</w:t>
      </w:r>
      <w:r w:rsidR="007E16DC" w:rsidRPr="00FC74AB">
        <w:rPr>
          <w:lang w:val="ca-ES"/>
        </w:rPr>
        <w:t xml:space="preserve"> de</w:t>
      </w:r>
      <w:r w:rsidR="00B3113E" w:rsidRPr="00FC74AB">
        <w:rPr>
          <w:lang w:val="ca-ES"/>
        </w:rPr>
        <w:t xml:space="preserve"> les </w:t>
      </w:r>
      <w:r w:rsidR="00E31C4A" w:rsidRPr="00FC74AB">
        <w:rPr>
          <w:lang w:val="ca-ES"/>
        </w:rPr>
        <w:t>empreses</w:t>
      </w:r>
      <w:r w:rsidRPr="00FC74AB">
        <w:rPr>
          <w:lang w:val="ca-ES"/>
        </w:rPr>
        <w:t xml:space="preserve"> transnacional</w:t>
      </w:r>
      <w:r w:rsidR="007E16DC" w:rsidRPr="00FC74AB">
        <w:rPr>
          <w:lang w:val="ca-ES"/>
        </w:rPr>
        <w:t>s</w:t>
      </w:r>
      <w:r w:rsidR="007E4E7F" w:rsidRPr="00FC74AB">
        <w:rPr>
          <w:lang w:val="ca-ES"/>
        </w:rPr>
        <w:t xml:space="preserve"> i </w:t>
      </w:r>
      <w:r w:rsidRPr="00FC74AB">
        <w:rPr>
          <w:lang w:val="ca-ES"/>
        </w:rPr>
        <w:t xml:space="preserve">altres </w:t>
      </w:r>
      <w:r w:rsidR="00E31C4A" w:rsidRPr="00FC74AB">
        <w:rPr>
          <w:lang w:val="ca-ES"/>
        </w:rPr>
        <w:t>empreses</w:t>
      </w:r>
      <w:r w:rsidR="007E16DC" w:rsidRPr="00FC74AB">
        <w:rPr>
          <w:lang w:val="ca-ES"/>
        </w:rPr>
        <w:t xml:space="preserve"> </w:t>
      </w:r>
      <w:r w:rsidRPr="00FC74AB">
        <w:rPr>
          <w:lang w:val="ca-ES"/>
        </w:rPr>
        <w:t xml:space="preserve">dins </w:t>
      </w:r>
      <w:r w:rsidR="007E16DC" w:rsidRPr="00FC74AB">
        <w:rPr>
          <w:lang w:val="ca-ES"/>
        </w:rPr>
        <w:t xml:space="preserve">el </w:t>
      </w:r>
      <w:r w:rsidRPr="00FC74AB">
        <w:rPr>
          <w:lang w:val="ca-ES"/>
        </w:rPr>
        <w:t>dret</w:t>
      </w:r>
      <w:r w:rsidR="007E16DC" w:rsidRPr="00FC74AB">
        <w:rPr>
          <w:lang w:val="ca-ES"/>
        </w:rPr>
        <w:t xml:space="preserve"> internacional </w:t>
      </w:r>
      <w:r w:rsidR="009A31D3" w:rsidRPr="00FC74AB">
        <w:rPr>
          <w:lang w:val="ca-ES"/>
        </w:rPr>
        <w:t>dels</w:t>
      </w:r>
      <w:r w:rsidR="005214BF" w:rsidRPr="00FC74AB">
        <w:rPr>
          <w:lang w:val="ca-ES"/>
        </w:rPr>
        <w:t xml:space="preserve"> </w:t>
      </w:r>
      <w:r w:rsidR="007E4E7F" w:rsidRPr="00FC74AB">
        <w:rPr>
          <w:lang w:val="ca-ES"/>
        </w:rPr>
        <w:t>drets humans</w:t>
      </w:r>
      <w:r w:rsidR="00EF7465" w:rsidRPr="00FC74AB">
        <w:rPr>
          <w:lang w:val="ca-ES"/>
        </w:rPr>
        <w:t>»</w:t>
      </w:r>
      <w:r w:rsidR="007E16DC" w:rsidRPr="00FC74AB">
        <w:rPr>
          <w:rStyle w:val="FootnoteReference"/>
          <w:lang w:val="ca-ES"/>
        </w:rPr>
        <w:footnoteReference w:id="119"/>
      </w:r>
      <w:r w:rsidR="007E16DC" w:rsidRPr="00FC74AB">
        <w:rPr>
          <w:lang w:val="ca-ES"/>
        </w:rPr>
        <w:t xml:space="preserve">. </w:t>
      </w:r>
      <w:r w:rsidRPr="00FC74AB">
        <w:rPr>
          <w:lang w:val="ca-ES"/>
        </w:rPr>
        <w:t>Al document</w:t>
      </w:r>
      <w:r w:rsidR="007E16DC" w:rsidRPr="00FC74AB">
        <w:rPr>
          <w:lang w:val="ca-ES"/>
        </w:rPr>
        <w:t xml:space="preserve"> s</w:t>
      </w:r>
      <w:r w:rsidRPr="00FC74AB">
        <w:rPr>
          <w:lang w:val="ca-ES"/>
        </w:rPr>
        <w:t>’estableix</w:t>
      </w:r>
      <w:r w:rsidR="007E16DC" w:rsidRPr="00FC74AB">
        <w:rPr>
          <w:lang w:val="ca-ES"/>
        </w:rPr>
        <w:t xml:space="preserve">en </w:t>
      </w:r>
      <w:r w:rsidRPr="00FC74AB">
        <w:rPr>
          <w:lang w:val="ca-ES"/>
        </w:rPr>
        <w:t xml:space="preserve">diverses </w:t>
      </w:r>
      <w:r w:rsidR="009F581B" w:rsidRPr="00FC74AB">
        <w:rPr>
          <w:lang w:val="ca-ES"/>
        </w:rPr>
        <w:t>obligacions</w:t>
      </w:r>
      <w:r w:rsidR="007E16DC" w:rsidRPr="00FC74AB">
        <w:rPr>
          <w:lang w:val="ca-ES"/>
        </w:rPr>
        <w:t xml:space="preserve"> que s</w:t>
      </w:r>
      <w:r w:rsidRPr="00FC74AB">
        <w:rPr>
          <w:lang w:val="ca-ES"/>
        </w:rPr>
        <w:t xml:space="preserve">’imposaran </w:t>
      </w:r>
      <w:r w:rsidR="009A31D3" w:rsidRPr="00FC74AB">
        <w:rPr>
          <w:lang w:val="ca-ES"/>
        </w:rPr>
        <w:t>als</w:t>
      </w:r>
      <w:r w:rsidR="005214BF" w:rsidRPr="00FC74AB">
        <w:rPr>
          <w:lang w:val="ca-ES"/>
        </w:rPr>
        <w:t xml:space="preserve"> </w:t>
      </w:r>
      <w:r w:rsidR="00195395" w:rsidRPr="00FC74AB">
        <w:rPr>
          <w:lang w:val="ca-ES"/>
        </w:rPr>
        <w:t>Estats</w:t>
      </w:r>
      <w:r w:rsidRPr="00FC74AB">
        <w:rPr>
          <w:lang w:val="ca-ES"/>
        </w:rPr>
        <w:t xml:space="preserve"> pe</w:t>
      </w:r>
      <w:r w:rsidR="007E16DC" w:rsidRPr="00FC74AB">
        <w:rPr>
          <w:lang w:val="ca-ES"/>
        </w:rPr>
        <w:t>r</w:t>
      </w:r>
      <w:r w:rsidRPr="00FC74AB">
        <w:rPr>
          <w:lang w:val="ca-ES"/>
        </w:rPr>
        <w:t>què promulgui</w:t>
      </w:r>
      <w:r w:rsidR="007E16DC" w:rsidRPr="00FC74AB">
        <w:rPr>
          <w:lang w:val="ca-ES"/>
        </w:rPr>
        <w:t>n l</w:t>
      </w:r>
      <w:r w:rsidRPr="00FC74AB">
        <w:rPr>
          <w:lang w:val="ca-ES"/>
        </w:rPr>
        <w:t xml:space="preserve">leis </w:t>
      </w:r>
      <w:r w:rsidR="007E4E7F" w:rsidRPr="00FC74AB">
        <w:rPr>
          <w:lang w:val="ca-ES"/>
        </w:rPr>
        <w:t xml:space="preserve">i </w:t>
      </w:r>
      <w:r w:rsidRPr="00FC74AB">
        <w:rPr>
          <w:lang w:val="ca-ES"/>
        </w:rPr>
        <w:t>reglament</w:t>
      </w:r>
      <w:r w:rsidR="007E16DC" w:rsidRPr="00FC74AB">
        <w:rPr>
          <w:lang w:val="ca-ES"/>
        </w:rPr>
        <w:t>s que ve</w:t>
      </w:r>
      <w:r w:rsidRPr="00FC74AB">
        <w:rPr>
          <w:lang w:val="ca-ES"/>
        </w:rPr>
        <w:t xml:space="preserve">tllin perquè </w:t>
      </w:r>
      <w:r w:rsidR="00B3113E" w:rsidRPr="00FC74AB">
        <w:rPr>
          <w:lang w:val="ca-ES"/>
        </w:rPr>
        <w:t xml:space="preserve">les </w:t>
      </w:r>
      <w:r w:rsidR="00E31C4A" w:rsidRPr="00FC74AB">
        <w:rPr>
          <w:lang w:val="ca-ES"/>
        </w:rPr>
        <w:t>empreses</w:t>
      </w:r>
      <w:r w:rsidR="007E16DC" w:rsidRPr="00FC74AB">
        <w:rPr>
          <w:lang w:val="ca-ES"/>
        </w:rPr>
        <w:t xml:space="preserve"> </w:t>
      </w:r>
      <w:r w:rsidR="009F581B" w:rsidRPr="00FC74AB">
        <w:rPr>
          <w:lang w:val="ca-ES"/>
        </w:rPr>
        <w:t>privades</w:t>
      </w:r>
      <w:r w:rsidR="007E16DC" w:rsidRPr="00FC74AB">
        <w:rPr>
          <w:lang w:val="ca-ES"/>
        </w:rPr>
        <w:t xml:space="preserve"> respe</w:t>
      </w:r>
      <w:r w:rsidRPr="00FC74AB">
        <w:rPr>
          <w:lang w:val="ca-ES"/>
        </w:rPr>
        <w:t>cti</w:t>
      </w:r>
      <w:r w:rsidR="007E16DC" w:rsidRPr="00FC74AB">
        <w:rPr>
          <w:lang w:val="ca-ES"/>
        </w:rPr>
        <w:t>n de</w:t>
      </w:r>
      <w:r w:rsidRPr="00FC74AB">
        <w:rPr>
          <w:lang w:val="ca-ES"/>
        </w:rPr>
        <w:t>gu</w:t>
      </w:r>
      <w:r w:rsidR="007E16DC" w:rsidRPr="00FC74AB">
        <w:rPr>
          <w:lang w:val="ca-ES"/>
        </w:rPr>
        <w:t>dament</w:t>
      </w:r>
      <w:r w:rsidR="005214BF" w:rsidRPr="00FC74AB">
        <w:rPr>
          <w:lang w:val="ca-ES"/>
        </w:rPr>
        <w:t xml:space="preserve"> els </w:t>
      </w:r>
      <w:r w:rsidR="007E4E7F" w:rsidRPr="00FC74AB">
        <w:rPr>
          <w:lang w:val="ca-ES"/>
        </w:rPr>
        <w:t>drets humans</w:t>
      </w:r>
      <w:r w:rsidR="007E16DC" w:rsidRPr="00FC74AB">
        <w:rPr>
          <w:lang w:val="ca-ES"/>
        </w:rPr>
        <w:t xml:space="preserve">, </w:t>
      </w:r>
      <w:r w:rsidR="00FE4AD6" w:rsidRPr="00FC74AB">
        <w:rPr>
          <w:lang w:val="ca-ES"/>
        </w:rPr>
        <w:t>cosa extremadament important pe</w:t>
      </w:r>
      <w:r w:rsidR="007E16DC" w:rsidRPr="00FC74AB">
        <w:rPr>
          <w:lang w:val="ca-ES"/>
        </w:rPr>
        <w:t>r</w:t>
      </w:r>
      <w:r w:rsidR="00FE4AD6" w:rsidRPr="00FC74AB">
        <w:rPr>
          <w:lang w:val="ca-ES"/>
        </w:rPr>
        <w:t xml:space="preserve"> </w:t>
      </w:r>
      <w:r w:rsidR="007E16DC" w:rsidRPr="00FC74AB">
        <w:rPr>
          <w:lang w:val="ca-ES"/>
        </w:rPr>
        <w:t xml:space="preserve">a la </w:t>
      </w:r>
      <w:r w:rsidR="007E4E7F" w:rsidRPr="00FC74AB">
        <w:rPr>
          <w:lang w:val="ca-ES"/>
        </w:rPr>
        <w:t>privatització</w:t>
      </w:r>
      <w:r w:rsidR="007E16DC" w:rsidRPr="00FC74AB">
        <w:rPr>
          <w:lang w:val="ca-ES"/>
        </w:rPr>
        <w:t xml:space="preserve"> </w:t>
      </w:r>
      <w:r w:rsidR="007E4E7F" w:rsidRPr="00FC74AB">
        <w:rPr>
          <w:lang w:val="ca-ES"/>
        </w:rPr>
        <w:t>dels serveis d’aigua i sanejament</w:t>
      </w:r>
      <w:r w:rsidR="007E16DC" w:rsidRPr="00FC74AB">
        <w:rPr>
          <w:lang w:val="ca-ES"/>
        </w:rPr>
        <w:t xml:space="preserve">. </w:t>
      </w:r>
      <w:r w:rsidR="00FE4AD6" w:rsidRPr="00FC74AB">
        <w:rPr>
          <w:lang w:val="ca-ES"/>
        </w:rPr>
        <w:t xml:space="preserve">Tot i que encara no </w:t>
      </w:r>
      <w:r w:rsidR="00096FEB" w:rsidRPr="00FC74AB">
        <w:rPr>
          <w:lang w:val="ca-ES"/>
        </w:rPr>
        <w:t>és vigent</w:t>
      </w:r>
      <w:r w:rsidR="007E16DC" w:rsidRPr="00FC74AB">
        <w:rPr>
          <w:lang w:val="ca-ES"/>
        </w:rPr>
        <w:t xml:space="preserve">, </w:t>
      </w:r>
      <w:r w:rsidR="00FE4AD6" w:rsidRPr="00FC74AB">
        <w:rPr>
          <w:lang w:val="ca-ES"/>
        </w:rPr>
        <w:t>aquest document ofereix un marc</w:t>
      </w:r>
      <w:r w:rsidR="007E16DC" w:rsidRPr="00FC74AB">
        <w:rPr>
          <w:lang w:val="ca-ES"/>
        </w:rPr>
        <w:t xml:space="preserve"> ad</w:t>
      </w:r>
      <w:r w:rsidR="00FE4AD6" w:rsidRPr="00FC74AB">
        <w:rPr>
          <w:lang w:val="ca-ES"/>
        </w:rPr>
        <w:t>dicional per</w:t>
      </w:r>
      <w:r w:rsidR="007E16DC" w:rsidRPr="00FC74AB">
        <w:rPr>
          <w:lang w:val="ca-ES"/>
        </w:rPr>
        <w:t xml:space="preserve"> definir</w:t>
      </w:r>
      <w:r w:rsidR="00B3113E" w:rsidRPr="00FC74AB">
        <w:rPr>
          <w:lang w:val="ca-ES"/>
        </w:rPr>
        <w:t xml:space="preserve"> les </w:t>
      </w:r>
      <w:r w:rsidR="009F581B" w:rsidRPr="00FC74AB">
        <w:rPr>
          <w:lang w:val="ca-ES"/>
        </w:rPr>
        <w:t>obligacions</w:t>
      </w:r>
      <w:r w:rsidR="007E16DC" w:rsidRPr="00FC74AB">
        <w:rPr>
          <w:lang w:val="ca-ES"/>
        </w:rPr>
        <w:t xml:space="preserve"> </w:t>
      </w:r>
      <w:r w:rsidR="009A31D3" w:rsidRPr="00FC74AB">
        <w:rPr>
          <w:lang w:val="ca-ES"/>
        </w:rPr>
        <w:t>dels</w:t>
      </w:r>
      <w:r w:rsidR="005214BF" w:rsidRPr="00FC74AB">
        <w:rPr>
          <w:lang w:val="ca-ES"/>
        </w:rPr>
        <w:t xml:space="preserve"> </w:t>
      </w:r>
      <w:r w:rsidR="00FE4AD6" w:rsidRPr="00FC74AB">
        <w:rPr>
          <w:lang w:val="ca-ES"/>
        </w:rPr>
        <w:t>proveïdors</w:t>
      </w:r>
      <w:r w:rsidR="007E16DC" w:rsidRPr="00FC74AB">
        <w:rPr>
          <w:lang w:val="ca-ES"/>
        </w:rPr>
        <w:t xml:space="preserve"> de </w:t>
      </w:r>
      <w:r w:rsidR="003B7411" w:rsidRPr="00FC74AB">
        <w:rPr>
          <w:lang w:val="ca-ES"/>
        </w:rPr>
        <w:t>serveis</w:t>
      </w:r>
      <w:r w:rsidR="007E16DC" w:rsidRPr="00FC74AB">
        <w:rPr>
          <w:lang w:val="ca-ES"/>
        </w:rPr>
        <w:t xml:space="preserve"> </w:t>
      </w:r>
      <w:r w:rsidR="004879F7" w:rsidRPr="00FC74AB">
        <w:rPr>
          <w:lang w:val="ca-ES"/>
        </w:rPr>
        <w:t>privat</w:t>
      </w:r>
      <w:r w:rsidR="007E16DC" w:rsidRPr="00FC74AB">
        <w:rPr>
          <w:lang w:val="ca-ES"/>
        </w:rPr>
        <w:t xml:space="preserve">s </w:t>
      </w:r>
      <w:r w:rsidR="00FE4AD6" w:rsidRPr="00FC74AB">
        <w:rPr>
          <w:lang w:val="ca-ES"/>
        </w:rPr>
        <w:t xml:space="preserve">a nivell </w:t>
      </w:r>
      <w:r w:rsidR="007E16DC" w:rsidRPr="00FC74AB">
        <w:rPr>
          <w:lang w:val="ca-ES"/>
        </w:rPr>
        <w:t>nacional.</w:t>
      </w:r>
    </w:p>
    <w:p w14:paraId="525F0A04" w14:textId="1DF05901" w:rsidR="007E16DC" w:rsidRPr="00FC74AB" w:rsidRDefault="007176B7" w:rsidP="00154F28">
      <w:pPr>
        <w:pStyle w:val="SingleTxt"/>
        <w:numPr>
          <w:ilvl w:val="2"/>
          <w:numId w:val="49"/>
        </w:numPr>
        <w:spacing w:line="240" w:lineRule="atLeast"/>
        <w:ind w:left="1267" w:firstLine="0"/>
        <w:rPr>
          <w:lang w:val="ca-ES"/>
        </w:rPr>
      </w:pPr>
      <w:r w:rsidRPr="00FC74AB">
        <w:rPr>
          <w:lang w:val="ca-ES"/>
        </w:rPr>
        <w:t xml:space="preserve">Tot i que </w:t>
      </w:r>
      <w:r w:rsidR="00682041" w:rsidRPr="00FC74AB">
        <w:rPr>
          <w:lang w:val="ca-ES"/>
        </w:rPr>
        <w:t xml:space="preserve">les entitats del sector privat </w:t>
      </w:r>
      <w:r w:rsidRPr="00FC74AB">
        <w:rPr>
          <w:lang w:val="ca-ES"/>
        </w:rPr>
        <w:t>no estan directament subjectes a la legislació internacional sobre drets humans, les lleis, els contractes i les normatives nacionals defineixen un conjunt d’obligacions vinculants per a les empreses i poden incorporar obligacions internacionals relatives als drets humans.</w:t>
      </w:r>
      <w:r w:rsidR="007E16DC" w:rsidRPr="00FC74AB">
        <w:rPr>
          <w:lang w:val="ca-ES"/>
        </w:rPr>
        <w:t xml:space="preserve"> </w:t>
      </w:r>
      <w:r w:rsidRPr="00FC74AB">
        <w:rPr>
          <w:lang w:val="ca-ES"/>
        </w:rPr>
        <w:t xml:space="preserve">Sobre la base d’un marc jurídic i institucional que incorpori els drets humans a l’aigua i el sanejament, les clàusules contractuals haurien d’imposar </w:t>
      </w:r>
      <w:r w:rsidR="008205E6" w:rsidRPr="00FC74AB">
        <w:rPr>
          <w:lang w:val="ca-ES"/>
        </w:rPr>
        <w:t xml:space="preserve">a les empreses </w:t>
      </w:r>
      <w:r w:rsidRPr="00FC74AB">
        <w:rPr>
          <w:lang w:val="ca-ES"/>
        </w:rPr>
        <w:t xml:space="preserve">obligacions en matèria de drets humans a través del </w:t>
      </w:r>
      <w:r w:rsidR="00682041" w:rsidRPr="00FC74AB">
        <w:rPr>
          <w:lang w:val="ca-ES"/>
        </w:rPr>
        <w:t>sistema jurídic</w:t>
      </w:r>
      <w:r w:rsidR="007E16DC" w:rsidRPr="00FC74AB">
        <w:rPr>
          <w:lang w:val="ca-ES"/>
        </w:rPr>
        <w:t xml:space="preserve"> nacional. </w:t>
      </w:r>
      <w:r w:rsidR="007C7A95" w:rsidRPr="00FC74AB">
        <w:rPr>
          <w:lang w:val="ca-ES"/>
        </w:rPr>
        <w:t>A més</w:t>
      </w:r>
      <w:r w:rsidR="007E16DC" w:rsidRPr="00FC74AB">
        <w:rPr>
          <w:lang w:val="ca-ES"/>
        </w:rPr>
        <w:t>,</w:t>
      </w:r>
      <w:r w:rsidR="00B3113E" w:rsidRPr="00FC74AB">
        <w:rPr>
          <w:lang w:val="ca-ES"/>
        </w:rPr>
        <w:t xml:space="preserve"> les </w:t>
      </w:r>
      <w:r w:rsidR="00E31C4A" w:rsidRPr="00FC74AB">
        <w:rPr>
          <w:lang w:val="ca-ES"/>
        </w:rPr>
        <w:t>empreses</w:t>
      </w:r>
      <w:r w:rsidR="007E16DC" w:rsidRPr="00FC74AB">
        <w:rPr>
          <w:lang w:val="ca-ES"/>
        </w:rPr>
        <w:t xml:space="preserve"> tenen la </w:t>
      </w:r>
      <w:r w:rsidR="00FE4AD6" w:rsidRPr="00FC74AB">
        <w:rPr>
          <w:lang w:val="ca-ES"/>
        </w:rPr>
        <w:t>responsabilitat</w:t>
      </w:r>
      <w:r w:rsidR="007E16DC" w:rsidRPr="00FC74AB">
        <w:rPr>
          <w:lang w:val="ca-ES"/>
        </w:rPr>
        <w:t xml:space="preserve"> </w:t>
      </w:r>
      <w:r w:rsidR="003206AC" w:rsidRPr="00FC74AB">
        <w:rPr>
          <w:lang w:val="ca-ES"/>
        </w:rPr>
        <w:t xml:space="preserve">de no </w:t>
      </w:r>
      <w:r w:rsidR="007E16DC" w:rsidRPr="00FC74AB">
        <w:rPr>
          <w:lang w:val="ca-ES"/>
        </w:rPr>
        <w:t xml:space="preserve">actuar </w:t>
      </w:r>
      <w:r w:rsidR="006B391B" w:rsidRPr="00FC74AB">
        <w:rPr>
          <w:lang w:val="ca-ES"/>
        </w:rPr>
        <w:t xml:space="preserve">sense tenir en compte </w:t>
      </w:r>
      <w:r w:rsidR="00FE4AD6" w:rsidRPr="00FC74AB">
        <w:rPr>
          <w:lang w:val="ca-ES"/>
        </w:rPr>
        <w:t>el marc</w:t>
      </w:r>
      <w:r w:rsidR="007E16DC"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007E16DC" w:rsidRPr="00FC74AB">
        <w:rPr>
          <w:lang w:val="ca-ES"/>
        </w:rPr>
        <w:t xml:space="preserve"> </w:t>
      </w:r>
      <w:r w:rsidR="00917C3D" w:rsidRPr="00FC74AB">
        <w:rPr>
          <w:lang w:val="ca-ES"/>
        </w:rPr>
        <w:t xml:space="preserve">prohibint </w:t>
      </w:r>
      <w:r w:rsidR="007E16DC" w:rsidRPr="00FC74AB">
        <w:rPr>
          <w:lang w:val="ca-ES"/>
        </w:rPr>
        <w:t>me</w:t>
      </w:r>
      <w:r w:rsidR="001D78F6" w:rsidRPr="00FC74AB">
        <w:rPr>
          <w:lang w:val="ca-ES"/>
        </w:rPr>
        <w:t>sures com els tall</w:t>
      </w:r>
      <w:r w:rsidR="00FE4AD6" w:rsidRPr="00FC74AB">
        <w:rPr>
          <w:lang w:val="ca-ES"/>
        </w:rPr>
        <w:t xml:space="preserve">s i </w:t>
      </w:r>
      <w:r w:rsidR="00917C3D" w:rsidRPr="00FC74AB">
        <w:rPr>
          <w:lang w:val="ca-ES"/>
        </w:rPr>
        <w:t xml:space="preserve">actuant </w:t>
      </w:r>
      <w:r w:rsidR="00154F28" w:rsidRPr="00FC74AB">
        <w:rPr>
          <w:lang w:val="ca-ES"/>
        </w:rPr>
        <w:t xml:space="preserve">d’acord </w:t>
      </w:r>
      <w:r w:rsidR="00FE4AD6" w:rsidRPr="00FC74AB">
        <w:rPr>
          <w:lang w:val="ca-ES"/>
        </w:rPr>
        <w:t xml:space="preserve">amb </w:t>
      </w:r>
      <w:r w:rsidR="007E16DC" w:rsidRPr="00FC74AB">
        <w:rPr>
          <w:lang w:val="ca-ES"/>
        </w:rPr>
        <w:t>l</w:t>
      </w:r>
      <w:r w:rsidR="00FE4AD6" w:rsidRPr="00FC74AB">
        <w:rPr>
          <w:lang w:val="ca-ES"/>
        </w:rPr>
        <w:t>’exercici</w:t>
      </w:r>
      <w:r w:rsidR="007E16DC" w:rsidRPr="00FC74AB">
        <w:rPr>
          <w:lang w:val="ca-ES"/>
        </w:rPr>
        <w:t xml:space="preserve"> efecti</w:t>
      </w:r>
      <w:r w:rsidR="00FE4AD6" w:rsidRPr="00FC74AB">
        <w:rPr>
          <w:lang w:val="ca-ES"/>
        </w:rPr>
        <w:t>u d’aquests drets</w:t>
      </w:r>
      <w:r w:rsidR="001D78F6" w:rsidRPr="00FC74AB">
        <w:rPr>
          <w:lang w:val="ca-ES"/>
        </w:rPr>
        <w:t>. Pe</w:t>
      </w:r>
      <w:r w:rsidR="007E16DC" w:rsidRPr="00FC74AB">
        <w:rPr>
          <w:lang w:val="ca-ES"/>
        </w:rPr>
        <w:t xml:space="preserve">r </w:t>
      </w:r>
      <w:r w:rsidR="00FE4AD6" w:rsidRPr="00FC74AB">
        <w:rPr>
          <w:lang w:val="ca-ES"/>
        </w:rPr>
        <w:t>tant</w:t>
      </w:r>
      <w:r w:rsidR="007E16DC" w:rsidRPr="00FC74AB">
        <w:rPr>
          <w:lang w:val="ca-ES"/>
        </w:rPr>
        <w:t xml:space="preserve">, </w:t>
      </w:r>
      <w:r w:rsidR="00917C3D" w:rsidRPr="00FC74AB">
        <w:rPr>
          <w:lang w:val="ca-ES"/>
        </w:rPr>
        <w:t xml:space="preserve">en els processos de licitació i en els contractes </w:t>
      </w:r>
      <w:r w:rsidR="00FE4AD6" w:rsidRPr="00FC74AB">
        <w:rPr>
          <w:lang w:val="ca-ES"/>
        </w:rPr>
        <w:t xml:space="preserve">han </w:t>
      </w:r>
      <w:r w:rsidR="007E16DC" w:rsidRPr="00FC74AB">
        <w:rPr>
          <w:lang w:val="ca-ES"/>
        </w:rPr>
        <w:t>d</w:t>
      </w:r>
      <w:r w:rsidR="00FE4AD6" w:rsidRPr="00FC74AB">
        <w:rPr>
          <w:lang w:val="ca-ES"/>
        </w:rPr>
        <w:t>’</w:t>
      </w:r>
      <w:r w:rsidR="007E16DC" w:rsidRPr="00FC74AB">
        <w:rPr>
          <w:lang w:val="ca-ES"/>
        </w:rPr>
        <w:t>identificar</w:t>
      </w:r>
      <w:r w:rsidR="007E4E7F" w:rsidRPr="00FC74AB">
        <w:rPr>
          <w:lang w:val="ca-ES"/>
        </w:rPr>
        <w:t xml:space="preserve"> i </w:t>
      </w:r>
      <w:r w:rsidR="007E16DC" w:rsidRPr="00FC74AB">
        <w:rPr>
          <w:lang w:val="ca-ES"/>
        </w:rPr>
        <w:t>abordar de manera proactiva</w:t>
      </w:r>
      <w:r w:rsidR="00B3113E" w:rsidRPr="00FC74AB">
        <w:rPr>
          <w:lang w:val="ca-ES"/>
        </w:rPr>
        <w:t xml:space="preserve"> les </w:t>
      </w:r>
      <w:r w:rsidR="001D78F6" w:rsidRPr="00FC74AB">
        <w:rPr>
          <w:lang w:val="ca-ES"/>
        </w:rPr>
        <w:t>qüestions</w:t>
      </w:r>
      <w:r w:rsidR="007E16DC" w:rsidRPr="00FC74AB">
        <w:rPr>
          <w:lang w:val="ca-ES"/>
        </w:rPr>
        <w:t xml:space="preserve"> </w:t>
      </w:r>
      <w:r w:rsidR="003206AC" w:rsidRPr="00FC74AB">
        <w:rPr>
          <w:lang w:val="ca-ES"/>
        </w:rPr>
        <w:t>relatives als</w:t>
      </w:r>
      <w:r w:rsidR="007E16DC" w:rsidRPr="00FC74AB">
        <w:rPr>
          <w:lang w:val="ca-ES"/>
        </w:rPr>
        <w:t xml:space="preserve"> </w:t>
      </w:r>
      <w:r w:rsidR="007E4E7F" w:rsidRPr="00FC74AB">
        <w:rPr>
          <w:lang w:val="ca-ES"/>
        </w:rPr>
        <w:t>drets humans</w:t>
      </w:r>
      <w:r w:rsidR="007E16DC" w:rsidRPr="00FC74AB">
        <w:rPr>
          <w:lang w:val="ca-ES"/>
        </w:rPr>
        <w:t xml:space="preserve"> </w:t>
      </w:r>
      <w:r w:rsidR="001D78F6" w:rsidRPr="00FC74AB">
        <w:rPr>
          <w:lang w:val="ca-ES"/>
        </w:rPr>
        <w:t xml:space="preserve">i </w:t>
      </w:r>
      <w:r w:rsidRPr="00FC74AB">
        <w:rPr>
          <w:lang w:val="ca-ES"/>
        </w:rPr>
        <w:t xml:space="preserve">evitar ser còmplices de situacions que </w:t>
      </w:r>
      <w:r w:rsidR="003206AC" w:rsidRPr="00FC74AB">
        <w:rPr>
          <w:lang w:val="ca-ES"/>
        </w:rPr>
        <w:t xml:space="preserve">en </w:t>
      </w:r>
      <w:r w:rsidRPr="00FC74AB">
        <w:rPr>
          <w:lang w:val="ca-ES"/>
        </w:rPr>
        <w:t>puguin afectar negativament el gaudi</w:t>
      </w:r>
      <w:r w:rsidR="001D78F6" w:rsidRPr="00FC74AB">
        <w:rPr>
          <w:lang w:val="ca-ES"/>
        </w:rPr>
        <w:t>. També</w:t>
      </w:r>
      <w:r w:rsidR="007E16DC" w:rsidRPr="00FC74AB">
        <w:rPr>
          <w:lang w:val="ca-ES"/>
        </w:rPr>
        <w:t xml:space="preserve"> </w:t>
      </w:r>
      <w:r w:rsidR="001D78F6" w:rsidRPr="00FC74AB">
        <w:rPr>
          <w:lang w:val="ca-ES"/>
        </w:rPr>
        <w:t xml:space="preserve">han </w:t>
      </w:r>
      <w:r w:rsidR="007E16DC" w:rsidRPr="00FC74AB">
        <w:rPr>
          <w:lang w:val="ca-ES"/>
        </w:rPr>
        <w:t>de</w:t>
      </w:r>
      <w:r w:rsidR="001D78F6" w:rsidRPr="00FC74AB">
        <w:rPr>
          <w:lang w:val="ca-ES"/>
        </w:rPr>
        <w:t xml:space="preserve"> respond</w:t>
      </w:r>
      <w:r w:rsidR="007E16DC" w:rsidRPr="00FC74AB">
        <w:rPr>
          <w:lang w:val="ca-ES"/>
        </w:rPr>
        <w:t>r</w:t>
      </w:r>
      <w:r w:rsidR="001D78F6" w:rsidRPr="00FC74AB">
        <w:rPr>
          <w:lang w:val="ca-ES"/>
        </w:rPr>
        <w:t>e</w:t>
      </w:r>
      <w:r w:rsidR="007E16DC" w:rsidRPr="00FC74AB">
        <w:rPr>
          <w:lang w:val="ca-ES"/>
        </w:rPr>
        <w:t xml:space="preserve"> </w:t>
      </w:r>
      <w:r w:rsidR="001D78F6" w:rsidRPr="00FC74AB">
        <w:rPr>
          <w:lang w:val="ca-ES"/>
        </w:rPr>
        <w:t xml:space="preserve">oportunament </w:t>
      </w:r>
      <w:r w:rsidR="007E16DC" w:rsidRPr="00FC74AB">
        <w:rPr>
          <w:lang w:val="ca-ES"/>
        </w:rPr>
        <w:t>a</w:t>
      </w:r>
      <w:r w:rsidR="00B3113E" w:rsidRPr="00FC74AB">
        <w:rPr>
          <w:lang w:val="ca-ES"/>
        </w:rPr>
        <w:t xml:space="preserve"> les </w:t>
      </w:r>
      <w:r w:rsidR="007E16DC" w:rsidRPr="00FC74AB">
        <w:rPr>
          <w:lang w:val="ca-ES"/>
        </w:rPr>
        <w:t>que</w:t>
      </w:r>
      <w:r w:rsidR="001D78F6" w:rsidRPr="00FC74AB">
        <w:rPr>
          <w:lang w:val="ca-ES"/>
        </w:rPr>
        <w:t>ixe</w:t>
      </w:r>
      <w:r w:rsidR="007E16DC" w:rsidRPr="00FC74AB">
        <w:rPr>
          <w:lang w:val="ca-ES"/>
        </w:rPr>
        <w:t xml:space="preserve">s </w:t>
      </w:r>
      <w:r w:rsidR="009A31D3" w:rsidRPr="00FC74AB">
        <w:rPr>
          <w:lang w:val="ca-ES"/>
        </w:rPr>
        <w:t>dels</w:t>
      </w:r>
      <w:r w:rsidR="005214BF" w:rsidRPr="00FC74AB">
        <w:rPr>
          <w:lang w:val="ca-ES"/>
        </w:rPr>
        <w:t xml:space="preserve"> </w:t>
      </w:r>
      <w:r w:rsidR="001D78F6" w:rsidRPr="00FC74AB">
        <w:rPr>
          <w:lang w:val="ca-ES"/>
        </w:rPr>
        <w:t>usuari</w:t>
      </w:r>
      <w:r w:rsidR="007E16DC" w:rsidRPr="00FC74AB">
        <w:rPr>
          <w:lang w:val="ca-ES"/>
        </w:rPr>
        <w:t xml:space="preserve">s </w:t>
      </w:r>
      <w:r w:rsidR="007E4E7F" w:rsidRPr="00FC74AB">
        <w:rPr>
          <w:lang w:val="ca-ES"/>
        </w:rPr>
        <w:t xml:space="preserve">i </w:t>
      </w:r>
      <w:r w:rsidR="003206AC" w:rsidRPr="00FC74AB">
        <w:rPr>
          <w:lang w:val="ca-ES"/>
        </w:rPr>
        <w:t xml:space="preserve">facilitar </w:t>
      </w:r>
      <w:r w:rsidR="000355E2" w:rsidRPr="00FC74AB">
        <w:rPr>
          <w:lang w:val="ca-ES"/>
        </w:rPr>
        <w:t>informació</w:t>
      </w:r>
      <w:r w:rsidR="007E16DC" w:rsidRPr="00FC74AB">
        <w:rPr>
          <w:lang w:val="ca-ES"/>
        </w:rPr>
        <w:t xml:space="preserve"> relacionada </w:t>
      </w:r>
      <w:r w:rsidR="001D78F6" w:rsidRPr="00FC74AB">
        <w:rPr>
          <w:lang w:val="ca-ES"/>
        </w:rPr>
        <w:t>amb</w:t>
      </w:r>
      <w:r w:rsidR="00B3113E" w:rsidRPr="00FC74AB">
        <w:rPr>
          <w:lang w:val="ca-ES"/>
        </w:rPr>
        <w:t xml:space="preserve"> les </w:t>
      </w:r>
      <w:r w:rsidR="001D78F6" w:rsidRPr="00FC74AB">
        <w:rPr>
          <w:lang w:val="ca-ES"/>
        </w:rPr>
        <w:t>presumptes</w:t>
      </w:r>
      <w:r w:rsidR="007E16DC" w:rsidRPr="00FC74AB">
        <w:rPr>
          <w:lang w:val="ca-ES"/>
        </w:rPr>
        <w:t xml:space="preserve"> </w:t>
      </w:r>
      <w:r w:rsidR="001D78F6" w:rsidRPr="00FC74AB">
        <w:rPr>
          <w:lang w:val="ca-ES"/>
        </w:rPr>
        <w:t>vulneracions</w:t>
      </w:r>
      <w:r w:rsidR="007E16DC" w:rsidRPr="00FC74AB">
        <w:rPr>
          <w:lang w:val="ca-ES"/>
        </w:rPr>
        <w:t xml:space="preserve"> </w:t>
      </w:r>
      <w:r w:rsidR="009A31D3" w:rsidRPr="00FC74AB">
        <w:rPr>
          <w:lang w:val="ca-ES"/>
        </w:rPr>
        <w:t>dels</w:t>
      </w:r>
      <w:r w:rsidR="005214BF" w:rsidRPr="00FC74AB">
        <w:rPr>
          <w:lang w:val="ca-ES"/>
        </w:rPr>
        <w:t xml:space="preserve"> </w:t>
      </w:r>
      <w:r w:rsidR="007E4E7F" w:rsidRPr="00FC74AB">
        <w:rPr>
          <w:lang w:val="ca-ES"/>
        </w:rPr>
        <w:t>drets humans</w:t>
      </w:r>
      <w:r w:rsidR="007E16DC" w:rsidRPr="00FC74AB">
        <w:rPr>
          <w:lang w:val="ca-ES"/>
        </w:rPr>
        <w:t xml:space="preserve">, </w:t>
      </w:r>
      <w:r w:rsidR="001D78F6" w:rsidRPr="00FC74AB">
        <w:rPr>
          <w:lang w:val="ca-ES"/>
        </w:rPr>
        <w:t xml:space="preserve">fins i tot si </w:t>
      </w:r>
      <w:r w:rsidR="00B3113E" w:rsidRPr="00FC74AB">
        <w:rPr>
          <w:lang w:val="ca-ES"/>
        </w:rPr>
        <w:t xml:space="preserve">les </w:t>
      </w:r>
      <w:r w:rsidR="00314E60" w:rsidRPr="00FC74AB">
        <w:rPr>
          <w:lang w:val="ca-ES"/>
        </w:rPr>
        <w:t>clàusules</w:t>
      </w:r>
      <w:r w:rsidR="007E16DC" w:rsidRPr="00FC74AB">
        <w:rPr>
          <w:lang w:val="ca-ES"/>
        </w:rPr>
        <w:t xml:space="preserve"> </w:t>
      </w:r>
      <w:r w:rsidR="001D78F6" w:rsidRPr="00FC74AB">
        <w:rPr>
          <w:lang w:val="ca-ES"/>
        </w:rPr>
        <w:t>contractuals</w:t>
      </w:r>
      <w:r w:rsidR="007E16DC" w:rsidRPr="00FC74AB">
        <w:rPr>
          <w:lang w:val="ca-ES"/>
        </w:rPr>
        <w:t xml:space="preserve"> no les obliguen a </w:t>
      </w:r>
      <w:r w:rsidR="001D78F6" w:rsidRPr="00FC74AB">
        <w:rPr>
          <w:lang w:val="ca-ES"/>
        </w:rPr>
        <w:t>fer-ho</w:t>
      </w:r>
      <w:r w:rsidR="007E16DC" w:rsidRPr="00FC74AB">
        <w:rPr>
          <w:lang w:val="ca-ES"/>
        </w:rPr>
        <w:t xml:space="preserve">. </w:t>
      </w:r>
      <w:r w:rsidR="001D78F6" w:rsidRPr="00FC74AB">
        <w:rPr>
          <w:lang w:val="ca-ES"/>
        </w:rPr>
        <w:t xml:space="preserve">Malgrat que </w:t>
      </w:r>
      <w:r w:rsidR="00B3113E" w:rsidRPr="00FC74AB">
        <w:rPr>
          <w:lang w:val="ca-ES"/>
        </w:rPr>
        <w:t xml:space="preserve">les </w:t>
      </w:r>
      <w:r w:rsidR="001D78F6" w:rsidRPr="00FC74AB">
        <w:rPr>
          <w:lang w:val="ca-ES"/>
        </w:rPr>
        <w:t>principal</w:t>
      </w:r>
      <w:r w:rsidR="007E16DC" w:rsidRPr="00FC74AB">
        <w:rPr>
          <w:lang w:val="ca-ES"/>
        </w:rPr>
        <w:t xml:space="preserve">s </w:t>
      </w:r>
      <w:r w:rsidR="00E31C4A" w:rsidRPr="00FC74AB">
        <w:rPr>
          <w:lang w:val="ca-ES"/>
        </w:rPr>
        <w:t>empreses</w:t>
      </w:r>
      <w:r w:rsidR="001D78F6" w:rsidRPr="00FC74AB">
        <w:rPr>
          <w:lang w:val="ca-ES"/>
        </w:rPr>
        <w:t xml:space="preserve"> multinacional</w:t>
      </w:r>
      <w:r w:rsidR="007E16DC" w:rsidRPr="00FC74AB">
        <w:rPr>
          <w:lang w:val="ca-ES"/>
        </w:rPr>
        <w:t xml:space="preserve">s han </w:t>
      </w:r>
      <w:r w:rsidR="001D78F6" w:rsidRPr="00FC74AB">
        <w:rPr>
          <w:lang w:val="ca-ES"/>
        </w:rPr>
        <w:t>donat suport a</w:t>
      </w:r>
      <w:r w:rsidR="007E16DC" w:rsidRPr="00FC74AB">
        <w:rPr>
          <w:lang w:val="ca-ES"/>
        </w:rPr>
        <w:t>l recon</w:t>
      </w:r>
      <w:r w:rsidR="001D78F6" w:rsidRPr="00FC74AB">
        <w:rPr>
          <w:lang w:val="ca-ES"/>
        </w:rPr>
        <w:t xml:space="preserve">eixement </w:t>
      </w:r>
      <w:r w:rsidR="009A31D3" w:rsidRPr="00FC74AB">
        <w:rPr>
          <w:lang w:val="ca-ES"/>
        </w:rPr>
        <w:t>dels</w:t>
      </w:r>
      <w:r w:rsidR="005214BF" w:rsidRPr="00FC74AB">
        <w:rPr>
          <w:lang w:val="ca-ES"/>
        </w:rPr>
        <w:t xml:space="preserve"> </w:t>
      </w:r>
      <w:r w:rsidR="001D78F6" w:rsidRPr="00FC74AB">
        <w:rPr>
          <w:lang w:val="ca-ES"/>
        </w:rPr>
        <w:t xml:space="preserve">drets </w:t>
      </w:r>
      <w:r w:rsidR="00D85349" w:rsidRPr="00FC74AB">
        <w:rPr>
          <w:lang w:val="ca-ES"/>
        </w:rPr>
        <w:t>a l’aigua</w:t>
      </w:r>
      <w:r w:rsidR="007E4E7F" w:rsidRPr="00FC74AB">
        <w:rPr>
          <w:lang w:val="ca-ES"/>
        </w:rPr>
        <w:t xml:space="preserve"> i </w:t>
      </w:r>
      <w:r w:rsidR="007E16DC" w:rsidRPr="00FC74AB">
        <w:rPr>
          <w:lang w:val="ca-ES"/>
        </w:rPr>
        <w:t xml:space="preserve">el </w:t>
      </w:r>
      <w:r w:rsidR="007E4E7F" w:rsidRPr="00FC74AB">
        <w:rPr>
          <w:lang w:val="ca-ES"/>
        </w:rPr>
        <w:t>sanejament</w:t>
      </w:r>
      <w:r w:rsidR="007E16DC" w:rsidRPr="00FC74AB">
        <w:rPr>
          <w:rStyle w:val="FootnoteReference"/>
          <w:lang w:val="ca-ES"/>
        </w:rPr>
        <w:footnoteReference w:id="120"/>
      </w:r>
      <w:r w:rsidR="007E16DC" w:rsidRPr="00FC74AB">
        <w:rPr>
          <w:lang w:val="ca-ES"/>
        </w:rPr>
        <w:t xml:space="preserve">, </w:t>
      </w:r>
      <w:r w:rsidR="001D78F6" w:rsidRPr="00FC74AB">
        <w:rPr>
          <w:lang w:val="ca-ES"/>
        </w:rPr>
        <w:t xml:space="preserve">encara </w:t>
      </w:r>
      <w:r w:rsidR="008205E6" w:rsidRPr="00FC74AB">
        <w:rPr>
          <w:lang w:val="ca-ES"/>
        </w:rPr>
        <w:t xml:space="preserve">hi ha mancances </w:t>
      </w:r>
      <w:r w:rsidR="003206AC" w:rsidRPr="00FC74AB">
        <w:rPr>
          <w:lang w:val="ca-ES"/>
        </w:rPr>
        <w:t xml:space="preserve">a esmenar pel que fa </w:t>
      </w:r>
      <w:r w:rsidR="008205E6" w:rsidRPr="00FC74AB">
        <w:rPr>
          <w:lang w:val="ca-ES"/>
        </w:rPr>
        <w:t xml:space="preserve">al paper </w:t>
      </w:r>
      <w:r w:rsidR="007E16DC" w:rsidRPr="00FC74AB">
        <w:rPr>
          <w:lang w:val="ca-ES"/>
        </w:rPr>
        <w:t>acti</w:t>
      </w:r>
      <w:r w:rsidR="008205E6" w:rsidRPr="00FC74AB">
        <w:rPr>
          <w:lang w:val="ca-ES"/>
        </w:rPr>
        <w:t>u</w:t>
      </w:r>
      <w:r w:rsidR="007E16DC" w:rsidRPr="00FC74AB">
        <w:rPr>
          <w:lang w:val="ca-ES"/>
        </w:rPr>
        <w:t xml:space="preserve"> de</w:t>
      </w:r>
      <w:r w:rsidR="00B3113E" w:rsidRPr="00FC74AB">
        <w:rPr>
          <w:lang w:val="ca-ES"/>
        </w:rPr>
        <w:t xml:space="preserve"> les </w:t>
      </w:r>
      <w:r w:rsidR="00E31C4A" w:rsidRPr="00FC74AB">
        <w:rPr>
          <w:lang w:val="ca-ES"/>
        </w:rPr>
        <w:t>empreses</w:t>
      </w:r>
      <w:r w:rsidR="008205E6" w:rsidRPr="00FC74AB">
        <w:rPr>
          <w:lang w:val="ca-ES"/>
        </w:rPr>
        <w:t xml:space="preserve"> en la promoció</w:t>
      </w:r>
      <w:r w:rsidR="007E4E7F" w:rsidRPr="00FC74AB">
        <w:rPr>
          <w:lang w:val="ca-ES"/>
        </w:rPr>
        <w:t xml:space="preserve"> i </w:t>
      </w:r>
      <w:r w:rsidR="007E16DC" w:rsidRPr="00FC74AB">
        <w:rPr>
          <w:lang w:val="ca-ES"/>
        </w:rPr>
        <w:t xml:space="preserve">el </w:t>
      </w:r>
      <w:r w:rsidR="008205E6" w:rsidRPr="00FC74AB">
        <w:rPr>
          <w:lang w:val="ca-ES"/>
        </w:rPr>
        <w:t>compliment</w:t>
      </w:r>
      <w:r w:rsidR="007E16DC" w:rsidRPr="00FC74AB">
        <w:rPr>
          <w:lang w:val="ca-ES"/>
        </w:rPr>
        <w:t xml:space="preserve"> de l</w:t>
      </w:r>
      <w:r w:rsidR="008205E6" w:rsidRPr="00FC74AB">
        <w:rPr>
          <w:lang w:val="ca-ES"/>
        </w:rPr>
        <w:t xml:space="preserve">’exercici efectiu </w:t>
      </w:r>
      <w:r w:rsidR="009A31D3" w:rsidRPr="00FC74AB">
        <w:rPr>
          <w:lang w:val="ca-ES"/>
        </w:rPr>
        <w:t>dels</w:t>
      </w:r>
      <w:r w:rsidR="005214BF" w:rsidRPr="00FC74AB">
        <w:rPr>
          <w:lang w:val="ca-ES"/>
        </w:rPr>
        <w:t xml:space="preserve"> </w:t>
      </w:r>
      <w:r w:rsidR="007E4E7F" w:rsidRPr="00FC74AB">
        <w:rPr>
          <w:lang w:val="ca-ES"/>
        </w:rPr>
        <w:t>drets humans</w:t>
      </w:r>
      <w:r w:rsidR="008205E6" w:rsidRPr="00FC74AB">
        <w:rPr>
          <w:lang w:val="ca-ES"/>
        </w:rPr>
        <w:t xml:space="preserve"> </w:t>
      </w:r>
      <w:r w:rsidR="003206AC" w:rsidRPr="00FC74AB">
        <w:rPr>
          <w:lang w:val="ca-ES"/>
        </w:rPr>
        <w:t>a través de la</w:t>
      </w:r>
      <w:r w:rsidR="008205E6" w:rsidRPr="00FC74AB">
        <w:rPr>
          <w:lang w:val="ca-ES"/>
        </w:rPr>
        <w:t xml:space="preserve"> conciliació dels</w:t>
      </w:r>
      <w:r w:rsidR="007E16DC" w:rsidRPr="00FC74AB">
        <w:rPr>
          <w:lang w:val="ca-ES"/>
        </w:rPr>
        <w:t xml:space="preserve"> s</w:t>
      </w:r>
      <w:r w:rsidR="008205E6" w:rsidRPr="00FC74AB">
        <w:rPr>
          <w:lang w:val="ca-ES"/>
        </w:rPr>
        <w:t>e</w:t>
      </w:r>
      <w:r w:rsidR="007E16DC" w:rsidRPr="00FC74AB">
        <w:rPr>
          <w:lang w:val="ca-ES"/>
        </w:rPr>
        <w:t xml:space="preserve">us </w:t>
      </w:r>
      <w:r w:rsidR="008205E6" w:rsidRPr="00FC74AB">
        <w:rPr>
          <w:lang w:val="ca-ES"/>
        </w:rPr>
        <w:t>interessos comercial</w:t>
      </w:r>
      <w:r w:rsidR="007E16DC" w:rsidRPr="00FC74AB">
        <w:rPr>
          <w:lang w:val="ca-ES"/>
        </w:rPr>
        <w:t xml:space="preserve">s </w:t>
      </w:r>
      <w:r w:rsidR="008205E6" w:rsidRPr="00FC74AB">
        <w:rPr>
          <w:lang w:val="ca-ES"/>
        </w:rPr>
        <w:t>amb</w:t>
      </w:r>
      <w:r w:rsidR="00B3113E" w:rsidRPr="00FC74AB">
        <w:rPr>
          <w:lang w:val="ca-ES"/>
        </w:rPr>
        <w:t xml:space="preserve"> les </w:t>
      </w:r>
      <w:r w:rsidR="009F581B" w:rsidRPr="00FC74AB">
        <w:rPr>
          <w:lang w:val="ca-ES"/>
        </w:rPr>
        <w:t>obligacions</w:t>
      </w:r>
      <w:r w:rsidR="007E16DC" w:rsidRPr="00FC74AB">
        <w:rPr>
          <w:lang w:val="ca-ES"/>
        </w:rPr>
        <w:t xml:space="preserve"> </w:t>
      </w:r>
      <w:r w:rsidR="009A31D3" w:rsidRPr="00FC74AB">
        <w:rPr>
          <w:lang w:val="ca-ES"/>
        </w:rPr>
        <w:t>dels</w:t>
      </w:r>
      <w:r w:rsidR="005214BF" w:rsidRPr="00FC74AB">
        <w:rPr>
          <w:lang w:val="ca-ES"/>
        </w:rPr>
        <w:t xml:space="preserve"> </w:t>
      </w:r>
      <w:r w:rsidR="00195395" w:rsidRPr="00FC74AB">
        <w:rPr>
          <w:lang w:val="ca-ES"/>
        </w:rPr>
        <w:t>Estats</w:t>
      </w:r>
      <w:r w:rsidR="007E16DC" w:rsidRPr="00FC74AB">
        <w:rPr>
          <w:lang w:val="ca-ES"/>
        </w:rPr>
        <w:t xml:space="preserve"> en </w:t>
      </w:r>
      <w:r w:rsidR="009F581B" w:rsidRPr="00FC74AB">
        <w:rPr>
          <w:lang w:val="ca-ES"/>
        </w:rPr>
        <w:t>matèria</w:t>
      </w:r>
      <w:r w:rsidR="007E16DC" w:rsidRPr="00FC74AB">
        <w:rPr>
          <w:lang w:val="ca-ES"/>
        </w:rPr>
        <w:t xml:space="preserve"> de </w:t>
      </w:r>
      <w:r w:rsidR="007E4E7F" w:rsidRPr="00FC74AB">
        <w:rPr>
          <w:lang w:val="ca-ES"/>
        </w:rPr>
        <w:t>drets humans</w:t>
      </w:r>
      <w:r w:rsidR="007E16DC" w:rsidRPr="00FC74AB">
        <w:rPr>
          <w:lang w:val="ca-ES"/>
        </w:rPr>
        <w:t>.</w:t>
      </w:r>
    </w:p>
    <w:p w14:paraId="231029F9" w14:textId="1A58CF1D" w:rsidR="007E16DC" w:rsidRPr="00FC74AB" w:rsidRDefault="00FE4AD6" w:rsidP="00FE4AD6">
      <w:pPr>
        <w:pStyle w:val="SingleTxt"/>
        <w:numPr>
          <w:ilvl w:val="2"/>
          <w:numId w:val="49"/>
        </w:numPr>
        <w:spacing w:line="240" w:lineRule="atLeast"/>
        <w:ind w:left="1267" w:firstLine="0"/>
        <w:rPr>
          <w:lang w:val="ca-ES"/>
        </w:rPr>
      </w:pPr>
      <w:r w:rsidRPr="00FC74AB">
        <w:rPr>
          <w:b/>
          <w:bCs/>
          <w:lang w:val="ca-ES"/>
        </w:rPr>
        <w:t>Per tant</w:t>
      </w:r>
      <w:r w:rsidR="007E16DC" w:rsidRPr="00FC74AB">
        <w:rPr>
          <w:b/>
          <w:bCs/>
          <w:lang w:val="ca-ES"/>
        </w:rPr>
        <w:t xml:space="preserve">, el Relator Especial </w:t>
      </w:r>
      <w:r w:rsidRPr="00FC74AB">
        <w:rPr>
          <w:b/>
          <w:bCs/>
          <w:lang w:val="ca-ES"/>
        </w:rPr>
        <w:t xml:space="preserve">recomana </w:t>
      </w:r>
      <w:r w:rsidR="007E16DC" w:rsidRPr="00FC74AB">
        <w:rPr>
          <w:b/>
          <w:bCs/>
          <w:lang w:val="ca-ES"/>
        </w:rPr>
        <w:t>a</w:t>
      </w:r>
      <w:r w:rsidR="00B3113E" w:rsidRPr="00FC74AB">
        <w:rPr>
          <w:b/>
          <w:bCs/>
          <w:lang w:val="ca-ES"/>
        </w:rPr>
        <w:t xml:space="preserve"> les </w:t>
      </w:r>
      <w:r w:rsidR="00B02930" w:rsidRPr="00FC74AB">
        <w:rPr>
          <w:b/>
          <w:bCs/>
          <w:lang w:val="ca-ES"/>
        </w:rPr>
        <w:t>entitats</w:t>
      </w:r>
      <w:r w:rsidR="007E16DC" w:rsidRPr="00FC74AB">
        <w:rPr>
          <w:b/>
          <w:bCs/>
          <w:lang w:val="ca-ES"/>
        </w:rPr>
        <w:t xml:space="preserve"> del sector </w:t>
      </w:r>
      <w:r w:rsidR="004879F7" w:rsidRPr="00FC74AB">
        <w:rPr>
          <w:b/>
          <w:bCs/>
          <w:lang w:val="ca-ES"/>
        </w:rPr>
        <w:t>privat</w:t>
      </w:r>
      <w:r w:rsidR="007E16DC" w:rsidRPr="00FC74AB">
        <w:rPr>
          <w:b/>
          <w:bCs/>
          <w:lang w:val="ca-ES"/>
        </w:rPr>
        <w:t xml:space="preserve"> que </w:t>
      </w:r>
      <w:r w:rsidRPr="00FC74AB">
        <w:rPr>
          <w:b/>
          <w:bCs/>
          <w:lang w:val="ca-ES"/>
        </w:rPr>
        <w:t xml:space="preserve">ofereixen </w:t>
      </w:r>
      <w:r w:rsidR="003B7411" w:rsidRPr="00FC74AB">
        <w:rPr>
          <w:b/>
          <w:bCs/>
          <w:lang w:val="ca-ES"/>
        </w:rPr>
        <w:t>serveis</w:t>
      </w:r>
      <w:r w:rsidR="007E16DC" w:rsidRPr="00FC74AB">
        <w:rPr>
          <w:b/>
          <w:bCs/>
          <w:lang w:val="ca-ES"/>
        </w:rPr>
        <w:t xml:space="preserve"> </w:t>
      </w:r>
      <w:r w:rsidR="003A58C9" w:rsidRPr="00FC74AB">
        <w:rPr>
          <w:b/>
          <w:bCs/>
          <w:lang w:val="ca-ES"/>
        </w:rPr>
        <w:t>d’aigua</w:t>
      </w:r>
      <w:r w:rsidR="007E4E7F" w:rsidRPr="00FC74AB">
        <w:rPr>
          <w:b/>
          <w:bCs/>
          <w:lang w:val="ca-ES"/>
        </w:rPr>
        <w:t xml:space="preserve"> i sanejament</w:t>
      </w:r>
      <w:r w:rsidR="007E16DC" w:rsidRPr="00FC74AB">
        <w:rPr>
          <w:b/>
          <w:bCs/>
          <w:lang w:val="ca-ES"/>
        </w:rPr>
        <w:t>:</w:t>
      </w:r>
    </w:p>
    <w:p w14:paraId="3E270C39" w14:textId="298E6806" w:rsidR="007E16DC" w:rsidRPr="00FC74AB" w:rsidRDefault="007E16DC" w:rsidP="00DC2851">
      <w:pPr>
        <w:pStyle w:val="SingleTxt"/>
        <w:rPr>
          <w:lang w:val="ca-ES"/>
        </w:rPr>
      </w:pPr>
      <w:r w:rsidRPr="00FC74AB">
        <w:rPr>
          <w:lang w:val="ca-ES"/>
        </w:rPr>
        <w:tab/>
        <w:t>a)</w:t>
      </w:r>
      <w:r w:rsidRPr="00FC74AB">
        <w:rPr>
          <w:lang w:val="ca-ES"/>
        </w:rPr>
        <w:tab/>
      </w:r>
      <w:r w:rsidR="007176B7" w:rsidRPr="00FC74AB">
        <w:rPr>
          <w:b/>
          <w:bCs/>
          <w:lang w:val="ca-ES"/>
        </w:rPr>
        <w:t xml:space="preserve">Incorporar obligacions sobre drets humans, independentment de </w:t>
      </w:r>
      <w:r w:rsidR="008205E6" w:rsidRPr="00FC74AB">
        <w:rPr>
          <w:b/>
          <w:bCs/>
          <w:lang w:val="ca-ES"/>
        </w:rPr>
        <w:t xml:space="preserve">si </w:t>
      </w:r>
      <w:r w:rsidR="007176B7" w:rsidRPr="00FC74AB">
        <w:rPr>
          <w:b/>
          <w:bCs/>
          <w:lang w:val="ca-ES"/>
        </w:rPr>
        <w:t>la legislació nacional les recull o no, que compleixin les normes del dret internacional sobre drets humans</w:t>
      </w:r>
      <w:r w:rsidRPr="00FC74AB">
        <w:rPr>
          <w:b/>
          <w:bCs/>
          <w:lang w:val="ca-ES"/>
        </w:rPr>
        <w:t>;</w:t>
      </w:r>
    </w:p>
    <w:p w14:paraId="7B0CCD95" w14:textId="5F5C7759" w:rsidR="007E16DC" w:rsidRPr="00FC74AB" w:rsidRDefault="007E16DC" w:rsidP="00DC2851">
      <w:pPr>
        <w:pStyle w:val="SingleTxt"/>
        <w:rPr>
          <w:lang w:val="ca-ES"/>
        </w:rPr>
      </w:pPr>
      <w:r w:rsidRPr="00FC74AB">
        <w:rPr>
          <w:lang w:val="ca-ES"/>
        </w:rPr>
        <w:tab/>
        <w:t>b)</w:t>
      </w:r>
      <w:r w:rsidRPr="00FC74AB">
        <w:rPr>
          <w:lang w:val="ca-ES"/>
        </w:rPr>
        <w:tab/>
      </w:r>
      <w:r w:rsidR="007176B7" w:rsidRPr="00FC74AB">
        <w:rPr>
          <w:b/>
          <w:bCs/>
          <w:lang w:val="ca-ES"/>
        </w:rPr>
        <w:t>Identificar i abordar de manera proactiva les qüestions en matèria de drets humans, i evitar la complicitat amb situacions que puguin afectar negativament el gaudi d'aquests drets</w:t>
      </w:r>
      <w:r w:rsidRPr="00FC74AB">
        <w:rPr>
          <w:b/>
          <w:bCs/>
          <w:lang w:val="ca-ES"/>
        </w:rPr>
        <w:t>;</w:t>
      </w:r>
    </w:p>
    <w:p w14:paraId="3537B608" w14:textId="57396972" w:rsidR="007E16DC" w:rsidRPr="00FC74AB" w:rsidRDefault="007E16DC" w:rsidP="006B391B">
      <w:pPr>
        <w:pStyle w:val="SingleTxt"/>
        <w:rPr>
          <w:lang w:val="ca-ES"/>
        </w:rPr>
      </w:pPr>
      <w:r w:rsidRPr="00FC74AB">
        <w:rPr>
          <w:lang w:val="ca-ES"/>
        </w:rPr>
        <w:tab/>
        <w:t>c)</w:t>
      </w:r>
      <w:r w:rsidRPr="00FC74AB">
        <w:rPr>
          <w:lang w:val="ca-ES"/>
        </w:rPr>
        <w:tab/>
      </w:r>
      <w:r w:rsidR="007176B7" w:rsidRPr="00FC74AB">
        <w:rPr>
          <w:b/>
          <w:bCs/>
          <w:lang w:val="ca-ES"/>
        </w:rPr>
        <w:t>Comunicar al públic les formes en què l’empresa garanteix que els seus interessos comercials siguin compatibles amb l’exercici efectiu dels drets humans a l’aigua i al sanejament</w:t>
      </w:r>
      <w:r w:rsidRPr="00FC74AB">
        <w:rPr>
          <w:b/>
          <w:bCs/>
          <w:lang w:val="ca-ES"/>
        </w:rPr>
        <w:t>;</w:t>
      </w:r>
    </w:p>
    <w:p w14:paraId="354F0FC6" w14:textId="508F2E41" w:rsidR="007E16DC" w:rsidRPr="00FC74AB" w:rsidRDefault="007E16DC" w:rsidP="006B391B">
      <w:pPr>
        <w:pStyle w:val="SingleTxt"/>
        <w:rPr>
          <w:lang w:val="ca-ES"/>
        </w:rPr>
      </w:pPr>
      <w:r w:rsidRPr="00FC74AB">
        <w:rPr>
          <w:lang w:val="ca-ES"/>
        </w:rPr>
        <w:tab/>
        <w:t>d)</w:t>
      </w:r>
      <w:r w:rsidRPr="00FC74AB">
        <w:rPr>
          <w:lang w:val="ca-ES"/>
        </w:rPr>
        <w:tab/>
      </w:r>
      <w:r w:rsidR="007176B7" w:rsidRPr="00FC74AB">
        <w:rPr>
          <w:b/>
          <w:bCs/>
          <w:lang w:val="ca-ES"/>
        </w:rPr>
        <w:t>Abstenir-se d’actuar sense tenir en compte el contingut normatiu dels drets humans a l’aigua i al sanejament, com ara tallar el subministrament als usuaris que no poden pagar les factures o prestar serveis i invertir en infraestructures de forma selectiva per a</w:t>
      </w:r>
      <w:r w:rsidR="006B391B" w:rsidRPr="00FC74AB">
        <w:rPr>
          <w:b/>
          <w:bCs/>
          <w:lang w:val="ca-ES"/>
        </w:rPr>
        <w:t>ls</w:t>
      </w:r>
      <w:r w:rsidR="007176B7" w:rsidRPr="00FC74AB">
        <w:rPr>
          <w:b/>
          <w:bCs/>
          <w:lang w:val="ca-ES"/>
        </w:rPr>
        <w:t xml:space="preserve"> sectors de la societat amb més capacitat per pagar les tarifes</w:t>
      </w:r>
      <w:r w:rsidRPr="00FC74AB">
        <w:rPr>
          <w:b/>
          <w:bCs/>
          <w:lang w:val="ca-ES"/>
        </w:rPr>
        <w:t>;</w:t>
      </w:r>
    </w:p>
    <w:p w14:paraId="351CE19E" w14:textId="66CF1F3A" w:rsidR="007E16DC" w:rsidRPr="00FC74AB" w:rsidRDefault="007E16DC" w:rsidP="00FD3084">
      <w:pPr>
        <w:pStyle w:val="SingleTxt"/>
        <w:rPr>
          <w:b/>
          <w:bCs/>
          <w:lang w:val="ca-ES"/>
        </w:rPr>
      </w:pPr>
      <w:r w:rsidRPr="00FC74AB">
        <w:rPr>
          <w:lang w:val="ca-ES"/>
        </w:rPr>
        <w:tab/>
        <w:t>e)</w:t>
      </w:r>
      <w:r w:rsidRPr="00FC74AB">
        <w:rPr>
          <w:lang w:val="ca-ES"/>
        </w:rPr>
        <w:tab/>
      </w:r>
      <w:r w:rsidR="007176B7" w:rsidRPr="00FC74AB">
        <w:rPr>
          <w:b/>
          <w:bCs/>
          <w:lang w:val="ca-ES"/>
        </w:rPr>
        <w:t>Divulgar informació financera i operativa al públic de manera accessible, per tal que els organismes públics i la societat civil puguin supervisar exhaustivament el funcionament del servei.</w:t>
      </w:r>
    </w:p>
    <w:p w14:paraId="30083734" w14:textId="77777777" w:rsidR="007E16DC" w:rsidRPr="00FC74AB" w:rsidRDefault="007E16DC" w:rsidP="007E16DC">
      <w:pPr>
        <w:pStyle w:val="SingleTxt"/>
        <w:spacing w:after="0" w:line="120" w:lineRule="exact"/>
        <w:rPr>
          <w:sz w:val="10"/>
          <w:lang w:val="ca-ES"/>
        </w:rPr>
      </w:pPr>
    </w:p>
    <w:p w14:paraId="463A8056" w14:textId="77777777" w:rsidR="007E16DC" w:rsidRPr="00FC74AB" w:rsidRDefault="007E16DC" w:rsidP="007E16DC">
      <w:pPr>
        <w:pStyle w:val="SingleTxt"/>
        <w:spacing w:after="0" w:line="120" w:lineRule="exact"/>
        <w:rPr>
          <w:sz w:val="10"/>
          <w:lang w:val="ca-ES"/>
        </w:rPr>
      </w:pPr>
    </w:p>
    <w:p w14:paraId="4D5A30CB" w14:textId="575DA1C9" w:rsidR="007E16DC" w:rsidRPr="00FC74AB" w:rsidRDefault="007E16DC" w:rsidP="007944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ca-ES"/>
        </w:rPr>
      </w:pPr>
      <w:r w:rsidRPr="00FC74AB">
        <w:rPr>
          <w:lang w:val="ca-ES"/>
        </w:rPr>
        <w:tab/>
        <w:t>C.</w:t>
      </w:r>
      <w:r w:rsidRPr="00FC74AB">
        <w:rPr>
          <w:lang w:val="ca-ES"/>
        </w:rPr>
        <w:tab/>
      </w:r>
      <w:r w:rsidR="00195395" w:rsidRPr="00FC74AB">
        <w:rPr>
          <w:lang w:val="ca-ES"/>
        </w:rPr>
        <w:t>Institucions financeres internacionals</w:t>
      </w:r>
    </w:p>
    <w:p w14:paraId="180EB583" w14:textId="77777777" w:rsidR="007E16DC" w:rsidRPr="00FC74AB" w:rsidRDefault="007E16DC" w:rsidP="007E16DC">
      <w:pPr>
        <w:pStyle w:val="SingleTxt"/>
        <w:spacing w:after="0" w:line="120" w:lineRule="exact"/>
        <w:rPr>
          <w:sz w:val="10"/>
          <w:lang w:val="ca-ES"/>
        </w:rPr>
      </w:pPr>
    </w:p>
    <w:p w14:paraId="07562D4C" w14:textId="77777777" w:rsidR="007E16DC" w:rsidRPr="00FC74AB" w:rsidRDefault="007E16DC" w:rsidP="007E16DC">
      <w:pPr>
        <w:pStyle w:val="SingleTxt"/>
        <w:spacing w:after="0" w:line="120" w:lineRule="exact"/>
        <w:rPr>
          <w:sz w:val="10"/>
          <w:lang w:val="ca-ES"/>
        </w:rPr>
      </w:pPr>
    </w:p>
    <w:p w14:paraId="101473C3" w14:textId="71264830" w:rsidR="007E16DC" w:rsidRPr="00FC74AB" w:rsidRDefault="007176B7" w:rsidP="002C1B65">
      <w:pPr>
        <w:pStyle w:val="SingleTxt"/>
        <w:numPr>
          <w:ilvl w:val="2"/>
          <w:numId w:val="49"/>
        </w:numPr>
        <w:spacing w:line="240" w:lineRule="atLeast"/>
        <w:ind w:left="1267" w:firstLine="0"/>
        <w:rPr>
          <w:lang w:val="ca-ES"/>
        </w:rPr>
      </w:pPr>
      <w:r w:rsidRPr="00FC74AB">
        <w:rPr>
          <w:lang w:val="ca-ES"/>
        </w:rPr>
        <w:t>Diverses organitzacions internacionals han tingut un paper essencial en la promoció de la privatització dels serveis d’aigua i sanejament com a part de les seves polítiques de desenvolupament o com a condicions per a subvencions, préstecs i assistència tècnica als</w:t>
      </w:r>
      <w:r w:rsidR="002C1B65" w:rsidRPr="00FC74AB">
        <w:rPr>
          <w:lang w:val="ca-ES"/>
        </w:rPr>
        <w:t xml:space="preserve"> països en vies desenvolupament</w:t>
      </w:r>
      <w:r w:rsidR="007E16DC" w:rsidRPr="00FC74AB">
        <w:rPr>
          <w:lang w:val="ca-ES"/>
        </w:rPr>
        <w:t xml:space="preserve">, </w:t>
      </w:r>
      <w:r w:rsidR="003E41EF" w:rsidRPr="00FC74AB">
        <w:rPr>
          <w:lang w:val="ca-ES"/>
        </w:rPr>
        <w:t xml:space="preserve">com va ser el cas de </w:t>
      </w:r>
      <w:r w:rsidR="002C1B65" w:rsidRPr="00FC74AB">
        <w:rPr>
          <w:lang w:val="ca-ES"/>
        </w:rPr>
        <w:t>l’</w:t>
      </w:r>
      <w:r w:rsidR="007E16DC" w:rsidRPr="00FC74AB">
        <w:rPr>
          <w:lang w:val="ca-ES"/>
        </w:rPr>
        <w:t>FMI</w:t>
      </w:r>
      <w:r w:rsidR="007E4E7F" w:rsidRPr="00FC74AB">
        <w:rPr>
          <w:lang w:val="ca-ES"/>
        </w:rPr>
        <w:t xml:space="preserve"> i </w:t>
      </w:r>
      <w:r w:rsidR="002C1B65" w:rsidRPr="00FC74AB">
        <w:rPr>
          <w:lang w:val="ca-ES"/>
        </w:rPr>
        <w:t>el Banc</w:t>
      </w:r>
      <w:r w:rsidR="007E16DC" w:rsidRPr="00FC74AB">
        <w:rPr>
          <w:lang w:val="ca-ES"/>
        </w:rPr>
        <w:t xml:space="preserve"> Mundial </w:t>
      </w:r>
      <w:r w:rsidR="002C1B65" w:rsidRPr="00FC74AB">
        <w:rPr>
          <w:lang w:val="ca-ES"/>
        </w:rPr>
        <w:t>a la dè</w:t>
      </w:r>
      <w:r w:rsidR="007E16DC" w:rsidRPr="00FC74AB">
        <w:rPr>
          <w:lang w:val="ca-ES"/>
        </w:rPr>
        <w:t>cada de</w:t>
      </w:r>
      <w:r w:rsidR="002C1B65" w:rsidRPr="00FC74AB">
        <w:rPr>
          <w:lang w:val="ca-ES"/>
        </w:rPr>
        <w:t xml:space="preserve">ls </w:t>
      </w:r>
      <w:r w:rsidR="007E16DC" w:rsidRPr="00FC74AB">
        <w:rPr>
          <w:lang w:val="ca-ES"/>
        </w:rPr>
        <w:t>90</w:t>
      </w:r>
      <w:r w:rsidR="007E4E7F" w:rsidRPr="00FC74AB">
        <w:rPr>
          <w:lang w:val="ca-ES"/>
        </w:rPr>
        <w:t xml:space="preserve"> i </w:t>
      </w:r>
      <w:r w:rsidR="007E16DC" w:rsidRPr="00FC74AB">
        <w:rPr>
          <w:lang w:val="ca-ES"/>
        </w:rPr>
        <w:t>principis de</w:t>
      </w:r>
      <w:r w:rsidR="002C1B65" w:rsidRPr="00FC74AB">
        <w:rPr>
          <w:lang w:val="ca-ES"/>
        </w:rPr>
        <w:t>ls</w:t>
      </w:r>
      <w:r w:rsidR="007E16DC" w:rsidRPr="00FC74AB">
        <w:rPr>
          <w:lang w:val="ca-ES"/>
        </w:rPr>
        <w:t xml:space="preserve"> 2000</w:t>
      </w:r>
      <w:r w:rsidR="007E16DC" w:rsidRPr="00FC74AB">
        <w:rPr>
          <w:rStyle w:val="FootnoteReference"/>
          <w:lang w:val="ca-ES"/>
        </w:rPr>
        <w:footnoteReference w:id="121"/>
      </w:r>
      <w:r w:rsidR="007E16DC" w:rsidRPr="00FC74AB">
        <w:rPr>
          <w:lang w:val="ca-ES"/>
        </w:rPr>
        <w:t xml:space="preserve">. </w:t>
      </w:r>
      <w:r w:rsidRPr="00FC74AB">
        <w:rPr>
          <w:lang w:val="ca-ES"/>
        </w:rPr>
        <w:t>Al Relator Especial li preocupa que es segueixin produint aquesta mena de pressions i també opina que s’haurien de prohibir definitivament els incentius perquè els Estats privatitzin serveis. Les institucions financeres internacionals tenen obligacions específiques en matèria de drets humans</w:t>
      </w:r>
      <w:r w:rsidR="007E16DC" w:rsidRPr="00FC74AB">
        <w:rPr>
          <w:rStyle w:val="FootnoteReference"/>
          <w:lang w:val="ca-ES"/>
        </w:rPr>
        <w:footnoteReference w:id="122"/>
      </w:r>
      <w:r w:rsidR="007E16DC" w:rsidRPr="00FC74AB">
        <w:rPr>
          <w:lang w:val="ca-ES"/>
        </w:rPr>
        <w:t xml:space="preserve"> </w:t>
      </w:r>
      <w:r w:rsidR="002C1B65" w:rsidRPr="00FC74AB">
        <w:rPr>
          <w:lang w:val="ca-ES"/>
        </w:rPr>
        <w:t>que s’han d’aplicar en les situacions en què les seves operacions impliquin la prestació privada de serveis d’aigua i sanejament.</w:t>
      </w:r>
    </w:p>
    <w:p w14:paraId="7BA9A753" w14:textId="516321D0" w:rsidR="007E16DC" w:rsidRPr="00FC74AB" w:rsidRDefault="007E16DC" w:rsidP="002C1B65">
      <w:pPr>
        <w:pStyle w:val="SingleTxt"/>
        <w:numPr>
          <w:ilvl w:val="2"/>
          <w:numId w:val="49"/>
        </w:numPr>
        <w:spacing w:line="240" w:lineRule="auto"/>
        <w:ind w:left="1264" w:right="1264" w:firstLine="0"/>
        <w:rPr>
          <w:b/>
          <w:bCs/>
          <w:lang w:val="ca-ES"/>
        </w:rPr>
      </w:pPr>
      <w:r w:rsidRPr="00FC74AB">
        <w:rPr>
          <w:b/>
          <w:bCs/>
          <w:lang w:val="ca-ES"/>
        </w:rPr>
        <w:t xml:space="preserve">El Relator Especial </w:t>
      </w:r>
      <w:r w:rsidR="007176B7" w:rsidRPr="00FC74AB">
        <w:rPr>
          <w:b/>
          <w:bCs/>
          <w:lang w:val="ca-ES"/>
        </w:rPr>
        <w:t xml:space="preserve">recomana </w:t>
      </w:r>
      <w:r w:rsidRPr="00FC74AB">
        <w:rPr>
          <w:b/>
          <w:bCs/>
          <w:lang w:val="ca-ES"/>
        </w:rPr>
        <w:t>a</w:t>
      </w:r>
      <w:r w:rsidR="00B3113E" w:rsidRPr="00FC74AB">
        <w:rPr>
          <w:b/>
          <w:bCs/>
          <w:lang w:val="ca-ES"/>
        </w:rPr>
        <w:t xml:space="preserve"> les </w:t>
      </w:r>
      <w:r w:rsidR="002C1B65" w:rsidRPr="00FC74AB">
        <w:rPr>
          <w:b/>
          <w:bCs/>
          <w:lang w:val="ca-ES"/>
        </w:rPr>
        <w:t>institucion</w:t>
      </w:r>
      <w:r w:rsidRPr="00FC74AB">
        <w:rPr>
          <w:b/>
          <w:bCs/>
          <w:lang w:val="ca-ES"/>
        </w:rPr>
        <w:t xml:space="preserve">s </w:t>
      </w:r>
      <w:r w:rsidR="0012347D" w:rsidRPr="00FC74AB">
        <w:rPr>
          <w:b/>
          <w:bCs/>
          <w:lang w:val="ca-ES"/>
        </w:rPr>
        <w:t>financer</w:t>
      </w:r>
      <w:r w:rsidR="007176B7" w:rsidRPr="00FC74AB">
        <w:rPr>
          <w:b/>
          <w:bCs/>
          <w:lang w:val="ca-ES"/>
        </w:rPr>
        <w:t>e</w:t>
      </w:r>
      <w:r w:rsidRPr="00FC74AB">
        <w:rPr>
          <w:b/>
          <w:bCs/>
          <w:lang w:val="ca-ES"/>
        </w:rPr>
        <w:t xml:space="preserve">s </w:t>
      </w:r>
      <w:r w:rsidR="00F92C3D" w:rsidRPr="00FC74AB">
        <w:rPr>
          <w:b/>
          <w:bCs/>
          <w:lang w:val="ca-ES"/>
        </w:rPr>
        <w:t>internacionals</w:t>
      </w:r>
      <w:r w:rsidRPr="00FC74AB">
        <w:rPr>
          <w:b/>
          <w:bCs/>
          <w:lang w:val="ca-ES"/>
        </w:rPr>
        <w:t>:</w:t>
      </w:r>
    </w:p>
    <w:p w14:paraId="368510CA" w14:textId="57CD3DD2" w:rsidR="007E16DC" w:rsidRPr="00FC74AB" w:rsidRDefault="007E16DC" w:rsidP="002C1B65">
      <w:pPr>
        <w:pStyle w:val="SingleTxt"/>
        <w:rPr>
          <w:lang w:val="ca-ES"/>
        </w:rPr>
      </w:pPr>
      <w:r w:rsidRPr="00FC74AB">
        <w:rPr>
          <w:lang w:val="ca-ES"/>
        </w:rPr>
        <w:tab/>
        <w:t>a)</w:t>
      </w:r>
      <w:r w:rsidRPr="00FC74AB">
        <w:rPr>
          <w:lang w:val="ca-ES"/>
        </w:rPr>
        <w:tab/>
      </w:r>
      <w:r w:rsidR="007176B7" w:rsidRPr="00FC74AB">
        <w:rPr>
          <w:b/>
          <w:bCs/>
          <w:lang w:val="ca-ES"/>
        </w:rPr>
        <w:t>Participar activament en la incorporació del marc dels drets humans a l’aigua i el sanejament, i fomentar-ne la difusió entre els Estats associats quan decideixin el tipus de proveïdor</w:t>
      </w:r>
      <w:r w:rsidRPr="00FC74AB">
        <w:rPr>
          <w:b/>
          <w:bCs/>
          <w:lang w:val="ca-ES"/>
        </w:rPr>
        <w:t>;</w:t>
      </w:r>
    </w:p>
    <w:p w14:paraId="29E1F61E" w14:textId="77C978E1" w:rsidR="007E16DC" w:rsidRPr="00FC74AB" w:rsidRDefault="007E16DC" w:rsidP="002C1B65">
      <w:pPr>
        <w:pStyle w:val="SingleTxt"/>
        <w:rPr>
          <w:lang w:val="ca-ES"/>
        </w:rPr>
      </w:pPr>
      <w:r w:rsidRPr="00FC74AB">
        <w:rPr>
          <w:lang w:val="ca-ES"/>
        </w:rPr>
        <w:tab/>
        <w:t>b)</w:t>
      </w:r>
      <w:r w:rsidRPr="00FC74AB">
        <w:rPr>
          <w:lang w:val="ca-ES"/>
        </w:rPr>
        <w:tab/>
      </w:r>
      <w:r w:rsidR="007176B7" w:rsidRPr="00FC74AB">
        <w:rPr>
          <w:b/>
          <w:bCs/>
          <w:lang w:val="ca-ES"/>
        </w:rPr>
        <w:t>Prohibir les condicions que exigeixen als Estats privatitzar els serveis d’aigua i sanejament a l’hora de donar subvencions, préstecs i assistència tècnica</w:t>
      </w:r>
      <w:r w:rsidRPr="00FC74AB">
        <w:rPr>
          <w:b/>
          <w:bCs/>
          <w:lang w:val="ca-ES"/>
        </w:rPr>
        <w:t>;</w:t>
      </w:r>
    </w:p>
    <w:p w14:paraId="5CABA37B" w14:textId="40A1D53A" w:rsidR="007E16DC" w:rsidRPr="00FC74AB" w:rsidRDefault="007E16DC" w:rsidP="002C1B65">
      <w:pPr>
        <w:pStyle w:val="SingleTxt"/>
        <w:rPr>
          <w:lang w:val="ca-ES"/>
        </w:rPr>
      </w:pPr>
      <w:r w:rsidRPr="00FC74AB">
        <w:rPr>
          <w:lang w:val="ca-ES"/>
        </w:rPr>
        <w:tab/>
        <w:t>c)</w:t>
      </w:r>
      <w:r w:rsidRPr="00FC74AB">
        <w:rPr>
          <w:lang w:val="ca-ES"/>
        </w:rPr>
        <w:tab/>
      </w:r>
      <w:r w:rsidR="007176B7" w:rsidRPr="00FC74AB">
        <w:rPr>
          <w:b/>
          <w:bCs/>
          <w:lang w:val="ca-ES"/>
        </w:rPr>
        <w:t>Partir del marc de drets humans a l’hora de decidir si donar suport a operacions públiques o privades a països concrets i a l’hora de decidir promoure reformes institucionals i organitzatives</w:t>
      </w:r>
      <w:r w:rsidRPr="00FC74AB">
        <w:rPr>
          <w:b/>
          <w:bCs/>
          <w:lang w:val="ca-ES"/>
        </w:rPr>
        <w:t>.</w:t>
      </w:r>
    </w:p>
    <w:p w14:paraId="3FAB8392" w14:textId="77777777" w:rsidR="007E16DC" w:rsidRPr="00061D43" w:rsidRDefault="007E16DC" w:rsidP="007E16DC">
      <w:pPr>
        <w:pStyle w:val="SingleTxt"/>
        <w:rPr>
          <w:lang w:val="ca-ES"/>
        </w:rPr>
      </w:pPr>
      <w:r w:rsidRPr="00FC74AB">
        <w:rPr>
          <w:noProof/>
          <w:w w:val="100"/>
          <w:lang w:val="en-GB" w:eastAsia="ko-KR"/>
        </w:rPr>
        <mc:AlternateContent>
          <mc:Choice Requires="wps">
            <w:drawing>
              <wp:anchor distT="4294967295" distB="4294967295" distL="114300" distR="114300" simplePos="0" relativeHeight="251656704" behindDoc="0" locked="0" layoutInCell="1" allowOverlap="1" wp14:anchorId="31E3425E" wp14:editId="7675F12D">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1AA3FE"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7E16DC" w:rsidRPr="00061D43" w:rsidSect="004516C5">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0595" w16cex:dateUtc="2020-10-24T17:57:00Z"/>
  <w16cex:commentExtensible w16cex:durableId="233F0B89" w16cex:dateUtc="2020-10-24T18:22:00Z"/>
  <w16cex:commentExtensible w16cex:durableId="233FB5F8" w16cex:dateUtc="2020-10-25T07:29:00Z"/>
  <w16cex:commentExtensible w16cex:durableId="233FB640" w16cex:dateUtc="2020-10-25T07:30:00Z"/>
  <w16cex:commentExtensible w16cex:durableId="233FB748" w16cex:dateUtc="2020-10-25T07:35:00Z"/>
  <w16cex:commentExtensible w16cex:durableId="233FB832" w16cex:dateUtc="2020-10-25T07:39:00Z"/>
  <w16cex:commentExtensible w16cex:durableId="233FF6F3" w16cex:dateUtc="2020-10-25T12:06:00Z"/>
  <w16cex:commentExtensible w16cex:durableId="233FF696" w16cex:dateUtc="2020-10-25T12:05:00Z"/>
  <w16cex:commentExtensible w16cex:durableId="233FF551" w16cex:dateUtc="2020-10-25T12:00:00Z"/>
  <w16cex:commentExtensible w16cex:durableId="233FF633" w16cex:dateUtc="2020-10-25T12:03:00Z"/>
  <w16cex:commentExtensible w16cex:durableId="233FF664" w16cex:dateUtc="2020-10-25T12:04:00Z"/>
  <w16cex:commentExtensible w16cex:durableId="233FF754" w16cex:dateUtc="2020-10-25T12:08:00Z"/>
  <w16cex:commentExtensible w16cex:durableId="233FF859" w16cex:dateUtc="2020-10-25T12:12:00Z"/>
  <w16cex:commentExtensible w16cex:durableId="233FF8A6" w16cex:dateUtc="2020-10-25T12:14:00Z"/>
  <w16cex:commentExtensible w16cex:durableId="233FF912" w16cex:dateUtc="2020-10-25T12:16:00Z"/>
  <w16cex:commentExtensible w16cex:durableId="233FFA71" w16cex:dateUtc="2020-10-25T12:21:00Z"/>
  <w16cex:commentExtensible w16cex:durableId="233FFB0A" w16cex:dateUtc="2020-10-25T12:24:00Z"/>
  <w16cex:commentExtensible w16cex:durableId="23402FB8" w16cex:dateUtc="2020-10-25T16:09:00Z"/>
  <w16cex:commentExtensible w16cex:durableId="234030B3" w16cex:dateUtc="2020-10-25T16:13:00Z"/>
  <w16cex:commentExtensible w16cex:durableId="234031FE" w16cex:dateUtc="2020-10-25T16:18:00Z"/>
  <w16cex:commentExtensible w16cex:durableId="2340337B" w16cex:dateUtc="2020-10-25T16:25:00Z"/>
  <w16cex:commentExtensible w16cex:durableId="2340356C" w16cex:dateUtc="2020-10-25T16:33:00Z"/>
  <w16cex:commentExtensible w16cex:durableId="234035FA" w16cex:dateUtc="2020-10-25T16:35:00Z"/>
  <w16cex:commentExtensible w16cex:durableId="23403920" w16cex:dateUtc="2020-10-25T16:49:00Z"/>
  <w16cex:commentExtensible w16cex:durableId="23403933" w16cex:dateUtc="2020-10-25T16:49:00Z"/>
  <w16cex:commentExtensible w16cex:durableId="23403B74" w16cex:dateUtc="2020-10-25T16:59:00Z"/>
  <w16cex:commentExtensible w16cex:durableId="23403E64" w16cex:dateUtc="2020-10-25T17:11:00Z"/>
  <w16cex:commentExtensible w16cex:durableId="23403F7C" w16cex:dateUtc="2020-10-25T17:16:00Z"/>
  <w16cex:commentExtensible w16cex:durableId="23403FF0" w16cex:dateUtc="2020-10-25T17:18:00Z"/>
  <w16cex:commentExtensible w16cex:durableId="23403FFB" w16cex:dateUtc="2020-10-25T17:18:00Z"/>
  <w16cex:commentExtensible w16cex:durableId="23404210" w16cex:dateUtc="2020-10-25T17:27:00Z"/>
  <w16cex:commentExtensible w16cex:durableId="23404686" w16cex:dateUtc="2020-10-25T17:46:00Z"/>
  <w16cex:commentExtensible w16cex:durableId="23404337" w16cex:dateUtc="2020-10-25T17:32:00Z"/>
  <w16cex:commentExtensible w16cex:durableId="234047A4" w16cex:dateUtc="2020-10-25T17:51:00Z"/>
  <w16cex:commentExtensible w16cex:durableId="23404A36" w16cex:dateUtc="2020-10-25T18:02:00Z"/>
  <w16cex:commentExtensible w16cex:durableId="23404D55" w16cex:dateUtc="2020-10-25T18:15:00Z"/>
  <w16cex:commentExtensible w16cex:durableId="234050B2" w16cex:dateUtc="2020-10-25T18:29:00Z"/>
  <w16cex:commentExtensible w16cex:durableId="234050FE" w16cex:dateUtc="2020-10-25T18:31:00Z"/>
  <w16cex:commentExtensible w16cex:durableId="234070DE" w16cex:dateUtc="2020-10-25T20:47:00Z"/>
  <w16cex:commentExtensible w16cex:durableId="2340739C" w16cex:dateUtc="2020-10-25T20:58:00Z"/>
  <w16cex:commentExtensible w16cex:durableId="234074E7" w16cex:dateUtc="2020-10-25T21:04:00Z"/>
  <w16cex:commentExtensible w16cex:durableId="23407781" w16cex:dateUtc="2020-10-25T21:15:00Z"/>
  <w16cex:commentExtensible w16cex:durableId="2340797C" w16cex:dateUtc="2020-10-25T21:23:00Z"/>
  <w16cex:commentExtensible w16cex:durableId="23407A48" w16cex:dateUtc="2020-10-25T21:27:00Z"/>
  <w16cex:commentExtensible w16cex:durableId="23407B75" w16cex:dateUtc="2020-10-25T21:32:00Z"/>
  <w16cex:commentExtensible w16cex:durableId="23407C0C" w16cex:dateUtc="2020-10-25T21:34:00Z"/>
  <w16cex:commentExtensible w16cex:durableId="23407C51" w16cex:dateUtc="2020-10-25T21:36:00Z"/>
  <w16cex:commentExtensible w16cex:durableId="23407D79" w16cex:dateUtc="2020-10-25T21:40:00Z"/>
  <w16cex:commentExtensible w16cex:durableId="23407E12" w16cex:dateUtc="2020-10-25T21:43:00Z"/>
  <w16cex:commentExtensible w16cex:durableId="23408255" w16cex:dateUtc="2020-10-25T22:01:00Z"/>
  <w16cex:commentExtensible w16cex:durableId="23416CE9" w16cex:dateUtc="2020-10-26T14:42:00Z"/>
  <w16cex:commentExtensible w16cex:durableId="23416ED2" w16cex:dateUtc="2020-10-26T14:50:00Z"/>
  <w16cex:commentExtensible w16cex:durableId="23416FF3" w16cex:dateUtc="2020-10-26T14:55:00Z"/>
  <w16cex:commentExtensible w16cex:durableId="23417058" w16cex:dateUtc="2020-10-26T14:57:00Z"/>
  <w16cex:commentExtensible w16cex:durableId="234170AF" w16cex:dateUtc="2020-10-26T14:58:00Z"/>
  <w16cex:commentExtensible w16cex:durableId="23417166" w16cex:dateUtc="2020-10-26T15:01:00Z"/>
  <w16cex:commentExtensible w16cex:durableId="234188E0" w16cex:dateUtc="2020-10-26T16:41:00Z"/>
  <w16cex:commentExtensible w16cex:durableId="23418F35" w16cex:dateUtc="2020-10-26T17:08:00Z"/>
  <w16cex:commentExtensible w16cex:durableId="234196A9" w16cex:dateUtc="2020-10-26T17:40:00Z"/>
  <w16cex:commentExtensible w16cex:durableId="2341B9D1" w16cex:dateUtc="2020-10-26T20:10:00Z"/>
  <w16cex:commentExtensible w16cex:durableId="2341BA60" w16cex:dateUtc="2020-10-26T20:13:00Z"/>
  <w16cex:commentExtensible w16cex:durableId="2341BD62" w16cex:dateUtc="2020-10-26T20:25:00Z"/>
  <w16cex:commentExtensible w16cex:durableId="2341BE1B" w16cex:dateUtc="2020-10-26T20:28:00Z"/>
  <w16cex:commentExtensible w16cex:durableId="2341BE3D" w16cex:dateUtc="2020-10-26T20:29:00Z"/>
  <w16cex:commentExtensible w16cex:durableId="2341C158" w16cex:dateUtc="2020-10-26T20:42:00Z"/>
  <w16cex:commentExtensible w16cex:durableId="2341C256" w16cex:dateUtc="2020-10-26T20:47:00Z"/>
  <w16cex:commentExtensible w16cex:durableId="2341C31C" w16cex:dateUtc="2020-10-26T20:50:00Z"/>
  <w16cex:commentExtensible w16cex:durableId="2341C5BA" w16cex:dateUtc="2020-10-26T21:01:00Z"/>
  <w16cex:commentExtensible w16cex:durableId="2341C621" w16cex:dateUtc="2020-10-26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09BD3C" w16cid:durableId="22EE3104"/>
  <w16cid:commentId w16cid:paraId="7019C681" w16cid:durableId="233F0595"/>
  <w16cid:commentId w16cid:paraId="6A4133FD" w16cid:durableId="233F03A9"/>
  <w16cid:commentId w16cid:paraId="69B8EAAB" w16cid:durableId="233F0B89"/>
  <w16cid:commentId w16cid:paraId="04B1B94E" w16cid:durableId="233FB5F8"/>
  <w16cid:commentId w16cid:paraId="148B4639" w16cid:durableId="233FB640"/>
  <w16cid:commentId w16cid:paraId="55478502" w16cid:durableId="233F03AA"/>
  <w16cid:commentId w16cid:paraId="79EB68CB" w16cid:durableId="233FB748"/>
  <w16cid:commentId w16cid:paraId="3A921FD3" w16cid:durableId="233FB832"/>
  <w16cid:commentId w16cid:paraId="76BEA2B9" w16cid:durableId="233FF6F3"/>
  <w16cid:commentId w16cid:paraId="236F1CB3" w16cid:durableId="233FF696"/>
  <w16cid:commentId w16cid:paraId="59BDCD3C" w16cid:durableId="233F03AB"/>
  <w16cid:commentId w16cid:paraId="7EAC4CB8" w16cid:durableId="233FF551"/>
  <w16cid:commentId w16cid:paraId="05A05C40" w16cid:durableId="233FF633"/>
  <w16cid:commentId w16cid:paraId="2D47CCB9" w16cid:durableId="233FF664"/>
  <w16cid:commentId w16cid:paraId="25645B18" w16cid:durableId="233FF754"/>
  <w16cid:commentId w16cid:paraId="2CD3A7E4" w16cid:durableId="233FF859"/>
  <w16cid:commentId w16cid:paraId="1A99F493" w16cid:durableId="233FF8A6"/>
  <w16cid:commentId w16cid:paraId="2C73710F" w16cid:durableId="233F03AC"/>
  <w16cid:commentId w16cid:paraId="28C4940D" w16cid:durableId="233FF912"/>
  <w16cid:commentId w16cid:paraId="179E681F" w16cid:durableId="233F03AD"/>
  <w16cid:commentId w16cid:paraId="1A241857" w16cid:durableId="233FFA71"/>
  <w16cid:commentId w16cid:paraId="0F004612" w16cid:durableId="233FFB0A"/>
  <w16cid:commentId w16cid:paraId="16897137" w16cid:durableId="23402FB8"/>
  <w16cid:commentId w16cid:paraId="0CB0BC06" w16cid:durableId="234030B3"/>
  <w16cid:commentId w16cid:paraId="312CE7BB" w16cid:durableId="234031FE"/>
  <w16cid:commentId w16cid:paraId="27C3BAE5" w16cid:durableId="2340337B"/>
  <w16cid:commentId w16cid:paraId="02C9A98A" w16cid:durableId="2340356C"/>
  <w16cid:commentId w16cid:paraId="5AB06308" w16cid:durableId="234035FA"/>
  <w16cid:commentId w16cid:paraId="607CBC35" w16cid:durableId="23403920"/>
  <w16cid:commentId w16cid:paraId="53571203" w16cid:durableId="23403933"/>
  <w16cid:commentId w16cid:paraId="4A631B73" w16cid:durableId="23403B74"/>
  <w16cid:commentId w16cid:paraId="39CCA88F" w16cid:durableId="23403E64"/>
  <w16cid:commentId w16cid:paraId="0B1B7247" w16cid:durableId="23403F7C"/>
  <w16cid:commentId w16cid:paraId="5F69F10B" w16cid:durableId="23403FF0"/>
  <w16cid:commentId w16cid:paraId="7C1805B3" w16cid:durableId="23403FFB"/>
  <w16cid:commentId w16cid:paraId="5597601E" w16cid:durableId="23404210"/>
  <w16cid:commentId w16cid:paraId="54521CC1" w16cid:durableId="23404686"/>
  <w16cid:commentId w16cid:paraId="5AA17CBA" w16cid:durableId="23404337"/>
  <w16cid:commentId w16cid:paraId="5AA7FAE2" w16cid:durableId="234047A4"/>
  <w16cid:commentId w16cid:paraId="720695B0" w16cid:durableId="23404A36"/>
  <w16cid:commentId w16cid:paraId="64B7D80E" w16cid:durableId="23404D55"/>
  <w16cid:commentId w16cid:paraId="5B241AEE" w16cid:durableId="234050B2"/>
  <w16cid:commentId w16cid:paraId="437FD20D" w16cid:durableId="234050FE"/>
  <w16cid:commentId w16cid:paraId="5161B9EE" w16cid:durableId="234070DE"/>
  <w16cid:commentId w16cid:paraId="031941D5" w16cid:durableId="2340739C"/>
  <w16cid:commentId w16cid:paraId="2D0F2F8C" w16cid:durableId="233F03AE"/>
  <w16cid:commentId w16cid:paraId="525FBA01" w16cid:durableId="234074E7"/>
  <w16cid:commentId w16cid:paraId="7B448301" w16cid:durableId="233F03AF"/>
  <w16cid:commentId w16cid:paraId="0C8827AF" w16cid:durableId="23407781"/>
  <w16cid:commentId w16cid:paraId="405D91E1" w16cid:durableId="2340797C"/>
  <w16cid:commentId w16cid:paraId="056EDAFA" w16cid:durableId="233F03B0"/>
  <w16cid:commentId w16cid:paraId="71653421" w16cid:durableId="23407A48"/>
  <w16cid:commentId w16cid:paraId="08D95524" w16cid:durableId="23407B75"/>
  <w16cid:commentId w16cid:paraId="72D7CC0F" w16cid:durableId="23407C0C"/>
  <w16cid:commentId w16cid:paraId="0C9ECBE8" w16cid:durableId="23407C51"/>
  <w16cid:commentId w16cid:paraId="240D0A74" w16cid:durableId="23407D79"/>
  <w16cid:commentId w16cid:paraId="6C89E9D3" w16cid:durableId="23407E12"/>
  <w16cid:commentId w16cid:paraId="4094F6AE" w16cid:durableId="23408255"/>
  <w16cid:commentId w16cid:paraId="3E6BC3D4" w16cid:durableId="23416CE9"/>
  <w16cid:commentId w16cid:paraId="74234FA3" w16cid:durableId="23416ED2"/>
  <w16cid:commentId w16cid:paraId="4FDF22C7" w16cid:durableId="23416FF3"/>
  <w16cid:commentId w16cid:paraId="6DD28C1D" w16cid:durableId="23417058"/>
  <w16cid:commentId w16cid:paraId="6A33D246" w16cid:durableId="234170AF"/>
  <w16cid:commentId w16cid:paraId="10EF003A" w16cid:durableId="23417166"/>
  <w16cid:commentId w16cid:paraId="789B1806" w16cid:durableId="234188E0"/>
  <w16cid:commentId w16cid:paraId="72842E7A" w16cid:durableId="23418F35"/>
  <w16cid:commentId w16cid:paraId="7F56C7CE" w16cid:durableId="234196A9"/>
  <w16cid:commentId w16cid:paraId="62F8F365" w16cid:durableId="2341B9D1"/>
  <w16cid:commentId w16cid:paraId="3D52A346" w16cid:durableId="2341BA60"/>
  <w16cid:commentId w16cid:paraId="4EA4CDC5" w16cid:durableId="2341BD62"/>
  <w16cid:commentId w16cid:paraId="27402723" w16cid:durableId="2341BE1B"/>
  <w16cid:commentId w16cid:paraId="4A30FC20" w16cid:durableId="2341BE3D"/>
  <w16cid:commentId w16cid:paraId="3B249D11" w16cid:durableId="2341C158"/>
  <w16cid:commentId w16cid:paraId="04E0142D" w16cid:durableId="2341C256"/>
  <w16cid:commentId w16cid:paraId="0FCF9EF2" w16cid:durableId="2341C31C"/>
  <w16cid:commentId w16cid:paraId="219CDD6B" w16cid:durableId="2341C5BA"/>
  <w16cid:commentId w16cid:paraId="5122282F" w16cid:durableId="2341C621"/>
  <w16cid:commentId w16cid:paraId="57D74C3C" w16cid:durableId="233F0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042A" w14:textId="77777777" w:rsidR="000E6763" w:rsidRDefault="000E6763" w:rsidP="00101B18">
      <w:r>
        <w:separator/>
      </w:r>
    </w:p>
  </w:endnote>
  <w:endnote w:type="continuationSeparator" w:id="0">
    <w:p w14:paraId="4DF3D1E5" w14:textId="77777777" w:rsidR="000E6763" w:rsidRDefault="000E676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920"/>
      <w:gridCol w:w="4920"/>
    </w:tblGrid>
    <w:tr w:rsidR="00B41CCB" w14:paraId="65166548" w14:textId="77777777" w:rsidTr="007C5527">
      <w:tc>
        <w:tcPr>
          <w:tcW w:w="4920" w:type="dxa"/>
          <w:shd w:val="clear" w:color="auto" w:fill="auto"/>
          <w:vAlign w:val="bottom"/>
        </w:tcPr>
        <w:p w14:paraId="58BBD218" w14:textId="6FE9B67E" w:rsidR="00B41CCB" w:rsidRPr="007C5527" w:rsidRDefault="00B41CCB" w:rsidP="007C5527">
          <w:pPr>
            <w:pStyle w:val="Footer"/>
            <w:rPr>
              <w:color w:val="000000"/>
            </w:rPr>
          </w:pPr>
          <w:r>
            <w:fldChar w:fldCharType="begin"/>
          </w:r>
          <w:r>
            <w:instrText xml:space="preserve"> PAGE  \* Arabic  \* MERGEFORMAT </w:instrText>
          </w:r>
          <w:r>
            <w:fldChar w:fldCharType="separate"/>
          </w:r>
          <w:r w:rsidR="00FC74AB">
            <w:t>12</w:t>
          </w:r>
          <w:r>
            <w:fldChar w:fldCharType="end"/>
          </w:r>
          <w:r>
            <w:t>/</w:t>
          </w:r>
          <w:fldSimple w:instr=" NUMPAGES  \* Arabic  \* MERGEFORMAT ">
            <w:r w:rsidR="00FC74AB">
              <w:t>26</w:t>
            </w:r>
          </w:fldSimple>
        </w:p>
      </w:tc>
      <w:tc>
        <w:tcPr>
          <w:tcW w:w="4920" w:type="dxa"/>
          <w:shd w:val="clear" w:color="auto" w:fill="auto"/>
          <w:vAlign w:val="bottom"/>
        </w:tcPr>
        <w:p w14:paraId="3877C03B" w14:textId="77AB03E7" w:rsidR="00B41CCB" w:rsidRPr="007C5527" w:rsidRDefault="00B41CCB" w:rsidP="007C552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20-09830</w:t>
          </w:r>
          <w:r>
            <w:rPr>
              <w:b w:val="0"/>
              <w:color w:val="000000"/>
              <w:sz w:val="14"/>
            </w:rPr>
            <w:fldChar w:fldCharType="end"/>
          </w:r>
        </w:p>
      </w:tc>
    </w:tr>
  </w:tbl>
  <w:p w14:paraId="273870CC" w14:textId="77777777" w:rsidR="00B41CCB" w:rsidRPr="007C5527" w:rsidRDefault="00B41CCB" w:rsidP="007C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920"/>
      <w:gridCol w:w="4920"/>
    </w:tblGrid>
    <w:tr w:rsidR="00B41CCB" w14:paraId="71FC69DA" w14:textId="77777777" w:rsidTr="007C5527">
      <w:tc>
        <w:tcPr>
          <w:tcW w:w="4920" w:type="dxa"/>
          <w:shd w:val="clear" w:color="auto" w:fill="auto"/>
          <w:vAlign w:val="bottom"/>
        </w:tcPr>
        <w:p w14:paraId="6D1C0186" w14:textId="7F7F4151" w:rsidR="00B41CCB" w:rsidRPr="007C5527" w:rsidRDefault="00B41CCB" w:rsidP="007C552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20-09830</w:t>
          </w:r>
          <w:r>
            <w:rPr>
              <w:b w:val="0"/>
              <w:color w:val="000000"/>
              <w:sz w:val="14"/>
            </w:rPr>
            <w:fldChar w:fldCharType="end"/>
          </w:r>
        </w:p>
      </w:tc>
      <w:tc>
        <w:tcPr>
          <w:tcW w:w="4920" w:type="dxa"/>
          <w:shd w:val="clear" w:color="auto" w:fill="auto"/>
          <w:vAlign w:val="bottom"/>
        </w:tcPr>
        <w:p w14:paraId="667357CE" w14:textId="32E261D6" w:rsidR="00B41CCB" w:rsidRPr="007C5527" w:rsidRDefault="00B41CCB" w:rsidP="007C5527">
          <w:pPr>
            <w:pStyle w:val="Footer"/>
            <w:jc w:val="right"/>
          </w:pPr>
          <w:r>
            <w:fldChar w:fldCharType="begin"/>
          </w:r>
          <w:r>
            <w:instrText xml:space="preserve"> PAGE  \* Arabic  \* MERGEFORMAT </w:instrText>
          </w:r>
          <w:r>
            <w:fldChar w:fldCharType="separate"/>
          </w:r>
          <w:r w:rsidR="00FC74AB">
            <w:t>13</w:t>
          </w:r>
          <w:r>
            <w:fldChar w:fldCharType="end"/>
          </w:r>
          <w:r>
            <w:t>/</w:t>
          </w:r>
          <w:fldSimple w:instr=" NUMPAGES  \* Arabic  \* MERGEFORMAT ">
            <w:r w:rsidR="00FC74AB">
              <w:t>26</w:t>
            </w:r>
          </w:fldSimple>
        </w:p>
      </w:tc>
    </w:tr>
  </w:tbl>
  <w:p w14:paraId="7B75BF3C" w14:textId="77777777" w:rsidR="00B41CCB" w:rsidRPr="007C5527" w:rsidRDefault="00B41CCB" w:rsidP="007C5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9260" w14:textId="77777777" w:rsidR="00B41CCB" w:rsidRPr="007C5527" w:rsidRDefault="00B41CCB" w:rsidP="007C5527">
    <w:pPr>
      <w:pStyle w:val="Footer"/>
      <w:spacing w:line="120" w:lineRule="exact"/>
      <w:rPr>
        <w:b w:val="0"/>
        <w:sz w:val="10"/>
      </w:rPr>
    </w:pPr>
    <w:r>
      <w:rPr>
        <w:b w:val="0"/>
        <w:sz w:val="10"/>
        <w:lang w:val="en-GB" w:eastAsia="ko-KR"/>
      </w:rPr>
      <w:drawing>
        <wp:anchor distT="0" distB="0" distL="114300" distR="114300" simplePos="0" relativeHeight="251658240" behindDoc="0" locked="0" layoutInCell="1" allowOverlap="1" wp14:anchorId="0B7D8EEB" wp14:editId="6AE0857D">
          <wp:simplePos x="0" y="0"/>
          <wp:positionH relativeFrom="column">
            <wp:posOffset>5568315</wp:posOffset>
          </wp:positionH>
          <wp:positionV relativeFrom="paragraph">
            <wp:posOffset>-283210</wp:posOffset>
          </wp:positionV>
          <wp:extent cx="694690" cy="69469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41CCB" w:rsidRPr="00A00998" w14:paraId="774F1781" w14:textId="77777777" w:rsidTr="007C5527">
      <w:tc>
        <w:tcPr>
          <w:tcW w:w="3830" w:type="dxa"/>
          <w:shd w:val="clear" w:color="auto" w:fill="auto"/>
        </w:tcPr>
        <w:p w14:paraId="2B247339" w14:textId="530C9CCC" w:rsidR="00B41CCB" w:rsidRPr="00A00998" w:rsidRDefault="00B41CCB" w:rsidP="007C5527">
          <w:pPr>
            <w:pStyle w:val="ReleaseDate0"/>
          </w:pPr>
          <w:r w:rsidRPr="00A00998">
            <w:t>20-09830 (S)    200820    010920</w:t>
          </w:r>
        </w:p>
        <w:p w14:paraId="30651F69" w14:textId="77777777" w:rsidR="00B41CCB" w:rsidRPr="00A00998" w:rsidRDefault="00B41CCB" w:rsidP="007C5527">
          <w:pPr>
            <w:pStyle w:val="Footer"/>
            <w:spacing w:before="80" w:line="210" w:lineRule="exact"/>
            <w:rPr>
              <w:rFonts w:ascii="Barcode 3 of 9 by request" w:hAnsi="Barcode 3 of 9 by request"/>
              <w:b w:val="0"/>
              <w:sz w:val="24"/>
              <w:lang w:val="es-ES"/>
            </w:rPr>
          </w:pPr>
          <w:r w:rsidRPr="00A00998">
            <w:rPr>
              <w:rFonts w:ascii="Barcode 3 of 9 by request" w:hAnsi="Barcode 3 of 9 by request"/>
              <w:sz w:val="24"/>
              <w:lang w:val="es-ES"/>
            </w:rPr>
            <w:t>*2009830*</w:t>
          </w:r>
        </w:p>
      </w:tc>
      <w:tc>
        <w:tcPr>
          <w:tcW w:w="4920" w:type="dxa"/>
          <w:shd w:val="clear" w:color="auto" w:fill="auto"/>
        </w:tcPr>
        <w:p w14:paraId="3272C07C" w14:textId="77777777" w:rsidR="00B41CCB" w:rsidRPr="00A00998" w:rsidRDefault="00B41CCB" w:rsidP="007C5527">
          <w:pPr>
            <w:pStyle w:val="Footer"/>
            <w:jc w:val="right"/>
            <w:rPr>
              <w:b w:val="0"/>
              <w:sz w:val="20"/>
            </w:rPr>
          </w:pPr>
          <w:r w:rsidRPr="00A00998">
            <w:rPr>
              <w:b w:val="0"/>
              <w:sz w:val="20"/>
              <w:lang w:val="en-GB" w:eastAsia="ko-KR"/>
            </w:rPr>
            <w:drawing>
              <wp:inline distT="0" distB="0" distL="0" distR="0" wp14:anchorId="426E0E7C" wp14:editId="132E917A">
                <wp:extent cx="1082042" cy="231648"/>
                <wp:effectExtent l="0" t="0" r="3810" b="0"/>
                <wp:docPr id="8"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045B47D" w14:textId="77777777" w:rsidR="00B41CCB" w:rsidRPr="007C5527" w:rsidRDefault="00B41CCB" w:rsidP="007C552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2EB5" w14:textId="77777777" w:rsidR="000E6763" w:rsidRPr="007E16DC" w:rsidRDefault="000E6763" w:rsidP="007E16DC">
      <w:pPr>
        <w:pStyle w:val="Footer"/>
        <w:spacing w:after="80"/>
        <w:ind w:left="792"/>
        <w:rPr>
          <w:sz w:val="16"/>
        </w:rPr>
      </w:pPr>
      <w:r w:rsidRPr="007E16DC">
        <w:rPr>
          <w:sz w:val="16"/>
        </w:rPr>
        <w:t>__________________</w:t>
      </w:r>
    </w:p>
  </w:footnote>
  <w:footnote w:type="continuationSeparator" w:id="0">
    <w:p w14:paraId="45E7D6C5" w14:textId="77777777" w:rsidR="000E6763" w:rsidRPr="007E16DC" w:rsidRDefault="000E6763" w:rsidP="007E16DC">
      <w:pPr>
        <w:pStyle w:val="Footer"/>
        <w:spacing w:after="80"/>
        <w:ind w:left="792"/>
        <w:rPr>
          <w:sz w:val="16"/>
        </w:rPr>
      </w:pPr>
      <w:r w:rsidRPr="007E16DC">
        <w:rPr>
          <w:sz w:val="16"/>
        </w:rPr>
        <w:t>__________________</w:t>
      </w:r>
    </w:p>
  </w:footnote>
  <w:footnote w:id="1">
    <w:p w14:paraId="25B2542B" w14:textId="3F41CF79" w:rsidR="00B41CCB" w:rsidRPr="002B1C7D" w:rsidRDefault="00B41CCB" w:rsidP="004A76B7">
      <w:pPr>
        <w:pStyle w:val="FootnoteText"/>
        <w:tabs>
          <w:tab w:val="clear" w:pos="418"/>
          <w:tab w:val="right" w:pos="1195"/>
          <w:tab w:val="left" w:pos="1267"/>
          <w:tab w:val="left" w:pos="1742"/>
          <w:tab w:val="left" w:pos="2218"/>
          <w:tab w:val="left" w:pos="2693"/>
        </w:tabs>
        <w:ind w:left="1267" w:right="1267" w:hanging="432"/>
        <w:rPr>
          <w:lang w:val="en-US"/>
        </w:rPr>
      </w:pPr>
      <w:r w:rsidRPr="002B1C7D">
        <w:rPr>
          <w:szCs w:val="18"/>
          <w:lang w:val="es-ES_tradnl"/>
        </w:rPr>
        <w:tab/>
      </w:r>
      <w:r w:rsidRPr="002B1C7D">
        <w:rPr>
          <w:rStyle w:val="FootnoteReference"/>
          <w:szCs w:val="18"/>
          <w:lang w:val="es-ES_tradnl"/>
        </w:rPr>
        <w:footnoteRef/>
      </w:r>
      <w:r w:rsidRPr="002B1C7D">
        <w:rPr>
          <w:lang w:val="en-US"/>
        </w:rPr>
        <w:tab/>
        <w:t xml:space="preserve">Maude Barlow, </w:t>
      </w:r>
      <w:r w:rsidRPr="002B1C7D">
        <w:rPr>
          <w:i/>
          <w:iCs/>
          <w:lang w:val="en-US"/>
        </w:rPr>
        <w:t>Whose Water Is It, Anyway?</w:t>
      </w:r>
      <w:r w:rsidRPr="002B1C7D">
        <w:rPr>
          <w:lang w:val="en-US"/>
        </w:rPr>
        <w:t xml:space="preserve">: </w:t>
      </w:r>
      <w:r w:rsidRPr="002B1C7D">
        <w:rPr>
          <w:i/>
          <w:iCs/>
          <w:lang w:val="en-US"/>
        </w:rPr>
        <w:t>Taking Water Protection into Public Hands</w:t>
      </w:r>
      <w:r w:rsidRPr="002B1C7D">
        <w:rPr>
          <w:lang w:val="en-US"/>
        </w:rPr>
        <w:t xml:space="preserve"> (Toronto, ECW Press, 2019); </w:t>
      </w:r>
      <w:r w:rsidRPr="004A76B7">
        <w:rPr>
          <w:lang w:val="ca-ES"/>
        </w:rPr>
        <w:t>i</w:t>
      </w:r>
      <w:r w:rsidRPr="002B1C7D">
        <w:rPr>
          <w:lang w:val="en-US"/>
        </w:rPr>
        <w:t xml:space="preserve"> Sharmila L. Murthy, “The human rights(s) to water and sanitation: history, meaning and the controversy over privatization”, </w:t>
      </w:r>
      <w:r w:rsidRPr="002B1C7D">
        <w:rPr>
          <w:i/>
          <w:iCs/>
          <w:lang w:val="en-US"/>
        </w:rPr>
        <w:t>Berkeley Journal of International Law</w:t>
      </w:r>
      <w:r w:rsidRPr="002B1C7D">
        <w:rPr>
          <w:lang w:val="en-US"/>
        </w:rPr>
        <w:t xml:space="preserve">, </w:t>
      </w:r>
      <w:r w:rsidRPr="004A76B7">
        <w:rPr>
          <w:lang w:val="ca-ES"/>
        </w:rPr>
        <w:t>vol. 31, núm. 1 (2013)</w:t>
      </w:r>
      <w:r w:rsidRPr="002B1C7D">
        <w:rPr>
          <w:lang w:val="en-US"/>
        </w:rPr>
        <w:t>.</w:t>
      </w:r>
      <w:bookmarkStart w:id="1" w:name="_Hlk47450846"/>
      <w:bookmarkEnd w:id="1"/>
    </w:p>
  </w:footnote>
  <w:footnote w:id="2">
    <w:p w14:paraId="4553C32C" w14:textId="277867DD" w:rsidR="00B41CCB" w:rsidRPr="004A76B7" w:rsidRDefault="00B41CCB" w:rsidP="00AA7BC9">
      <w:pPr>
        <w:pStyle w:val="FootnoteText"/>
        <w:tabs>
          <w:tab w:val="clear" w:pos="418"/>
          <w:tab w:val="right" w:pos="1195"/>
          <w:tab w:val="left" w:pos="1267"/>
          <w:tab w:val="left" w:pos="1742"/>
          <w:tab w:val="left" w:pos="2218"/>
          <w:tab w:val="left" w:pos="2693"/>
        </w:tabs>
        <w:ind w:left="1267" w:right="1267" w:hanging="432"/>
        <w:rPr>
          <w:lang w:val="ca-ES"/>
        </w:rPr>
      </w:pPr>
      <w:r w:rsidRPr="004A76B7">
        <w:rPr>
          <w:szCs w:val="18"/>
          <w:lang w:val="ca-ES"/>
        </w:rPr>
        <w:tab/>
      </w:r>
      <w:r w:rsidRPr="004A76B7">
        <w:rPr>
          <w:rStyle w:val="FootnoteReference"/>
          <w:szCs w:val="18"/>
          <w:lang w:val="ca-ES"/>
        </w:rPr>
        <w:footnoteRef/>
      </w:r>
      <w:r w:rsidRPr="004A76B7">
        <w:rPr>
          <w:lang w:val="ca-ES"/>
        </w:rPr>
        <w:tab/>
      </w:r>
      <w:r>
        <w:rPr>
          <w:lang w:val="ca-ES"/>
        </w:rPr>
        <w:t>Pode</w:t>
      </w:r>
      <w:r w:rsidRPr="00AA7BC9">
        <w:rPr>
          <w:lang w:val="ca-ES"/>
        </w:rPr>
        <w:t xml:space="preserve">m </w:t>
      </w:r>
      <w:r>
        <w:rPr>
          <w:lang w:val="ca-ES"/>
        </w:rPr>
        <w:t>veure’n</w:t>
      </w:r>
      <w:r w:rsidRPr="00AA7BC9">
        <w:rPr>
          <w:lang w:val="ca-ES"/>
        </w:rPr>
        <w:t xml:space="preserve"> un exemple a una comunicació de la Iniciativa per la Governança de l’Aigua de l’Organització per a la Cooperació i el Desenvolupament Econòmic</w:t>
      </w:r>
      <w:r>
        <w:rPr>
          <w:lang w:val="ca-ES"/>
        </w:rPr>
        <w:t xml:space="preserve"> </w:t>
      </w:r>
      <w:r w:rsidRPr="00AA7BC9">
        <w:rPr>
          <w:lang w:val="ca-ES"/>
        </w:rPr>
        <w:t xml:space="preserve">(OCDE), </w:t>
      </w:r>
      <w:r>
        <w:rPr>
          <w:lang w:val="ca-ES"/>
        </w:rPr>
        <w:t xml:space="preserve">on </w:t>
      </w:r>
      <w:r w:rsidRPr="00AA7BC9">
        <w:rPr>
          <w:lang w:val="ca-ES"/>
        </w:rPr>
        <w:t>s</w:t>
      </w:r>
      <w:r>
        <w:rPr>
          <w:lang w:val="ca-ES"/>
        </w:rPr>
        <w:t>’afirma que la qü</w:t>
      </w:r>
      <w:r w:rsidRPr="00AA7BC9">
        <w:rPr>
          <w:lang w:val="ca-ES"/>
        </w:rPr>
        <w:t>estió</w:t>
      </w:r>
      <w:r>
        <w:rPr>
          <w:lang w:val="ca-ES"/>
        </w:rPr>
        <w:t xml:space="preserve"> fon</w:t>
      </w:r>
      <w:r w:rsidRPr="00AA7BC9">
        <w:rPr>
          <w:lang w:val="ca-ES"/>
        </w:rPr>
        <w:t xml:space="preserve">amental </w:t>
      </w:r>
      <w:r>
        <w:rPr>
          <w:lang w:val="ca-ES"/>
        </w:rPr>
        <w:t>subj</w:t>
      </w:r>
      <w:r w:rsidRPr="00AA7BC9">
        <w:rPr>
          <w:lang w:val="ca-ES"/>
        </w:rPr>
        <w:t>ace</w:t>
      </w:r>
      <w:r>
        <w:rPr>
          <w:lang w:val="ca-ES"/>
        </w:rPr>
        <w:t>nt</w:t>
      </w:r>
      <w:r w:rsidRPr="00AA7BC9">
        <w:rPr>
          <w:lang w:val="ca-ES"/>
        </w:rPr>
        <w:t xml:space="preserve"> a la co</w:t>
      </w:r>
      <w:r>
        <w:rPr>
          <w:lang w:val="ca-ES"/>
        </w:rPr>
        <w:t>nsecució</w:t>
      </w:r>
      <w:r w:rsidRPr="004A76B7">
        <w:rPr>
          <w:lang w:val="ca-ES"/>
        </w:rPr>
        <w:t xml:space="preserve"> del d</w:t>
      </w:r>
      <w:r>
        <w:rPr>
          <w:lang w:val="ca-ES"/>
        </w:rPr>
        <w:t xml:space="preserve">ret humà a l’aigua i al </w:t>
      </w:r>
      <w:r w:rsidRPr="004A76B7">
        <w:rPr>
          <w:lang w:val="ca-ES"/>
        </w:rPr>
        <w:t>sane</w:t>
      </w:r>
      <w:r>
        <w:rPr>
          <w:lang w:val="ca-ES"/>
        </w:rPr>
        <w:t>j</w:t>
      </w:r>
      <w:r w:rsidRPr="004A76B7">
        <w:rPr>
          <w:lang w:val="ca-ES"/>
        </w:rPr>
        <w:t>am</w:t>
      </w:r>
      <w:r>
        <w:rPr>
          <w:lang w:val="ca-ES"/>
        </w:rPr>
        <w:t xml:space="preserve">ent no és </w:t>
      </w:r>
      <w:r w:rsidRPr="004A76B7">
        <w:rPr>
          <w:lang w:val="ca-ES"/>
        </w:rPr>
        <w:t xml:space="preserve">si la prestació de serveis </w:t>
      </w:r>
      <w:r>
        <w:rPr>
          <w:lang w:val="ca-ES"/>
        </w:rPr>
        <w:t xml:space="preserve">s’ha de  </w:t>
      </w:r>
      <w:r w:rsidRPr="004A76B7">
        <w:rPr>
          <w:lang w:val="ca-ES"/>
        </w:rPr>
        <w:t xml:space="preserve">gestionar </w:t>
      </w:r>
      <w:r>
        <w:rPr>
          <w:lang w:val="ca-ES"/>
        </w:rPr>
        <w:t>de forma pública o privada, sinó què resulta més eficaç en cada context</w:t>
      </w:r>
      <w:r w:rsidRPr="004A76B7">
        <w:rPr>
          <w:lang w:val="ca-ES"/>
        </w:rPr>
        <w:t>...</w:t>
      </w:r>
    </w:p>
  </w:footnote>
  <w:footnote w:id="3">
    <w:p w14:paraId="397348C0" w14:textId="0C9B564C" w:rsidR="00B41CCB" w:rsidRPr="002B1C7D" w:rsidRDefault="00B41CCB" w:rsidP="004A76B7">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rStyle w:val="Hyperlink4"/>
          <w:rFonts w:eastAsiaTheme="minorHAnsi"/>
          <w:lang w:val="es-ES_tradnl"/>
        </w:rPr>
        <w:tab/>
      </w:r>
      <w:r w:rsidRPr="002B1C7D">
        <w:rPr>
          <w:rStyle w:val="FootnoteReference"/>
          <w:szCs w:val="18"/>
          <w:lang w:val="es-ES_tradnl"/>
        </w:rPr>
        <w:footnoteRef/>
      </w:r>
      <w:r w:rsidRPr="002B1C7D">
        <w:rPr>
          <w:lang w:val="en-US"/>
        </w:rPr>
        <w:tab/>
        <w:t xml:space="preserve">Malcolm Langford, “Privatization and the right to water”, </w:t>
      </w:r>
      <w:r>
        <w:rPr>
          <w:lang w:val="en-US"/>
        </w:rPr>
        <w:t>a</w:t>
      </w:r>
      <w:r w:rsidRPr="002B1C7D">
        <w:rPr>
          <w:lang w:val="en-US"/>
        </w:rPr>
        <w:t xml:space="preserve"> </w:t>
      </w:r>
      <w:r w:rsidRPr="002B1C7D">
        <w:rPr>
          <w:i/>
          <w:iCs/>
          <w:lang w:val="en-US"/>
        </w:rPr>
        <w:t>The Human Right to Water: Theory, Practice and Prospects</w:t>
      </w:r>
      <w:r>
        <w:rPr>
          <w:lang w:val="en-US"/>
        </w:rPr>
        <w:t xml:space="preserve">, Malcolm Langford </w:t>
      </w:r>
      <w:r w:rsidRPr="005214BF">
        <w:rPr>
          <w:lang w:val="ca-ES"/>
        </w:rPr>
        <w:t>i</w:t>
      </w:r>
      <w:r w:rsidRPr="002B1C7D">
        <w:rPr>
          <w:lang w:val="en-US"/>
        </w:rPr>
        <w:t xml:space="preserve"> Anna F. S. Russell, eds. </w:t>
      </w:r>
      <w:r w:rsidRPr="002B1C7D">
        <w:rPr>
          <w:lang w:val="es-ES_tradnl"/>
        </w:rPr>
        <w:t xml:space="preserve">(Cambridge, </w:t>
      </w:r>
      <w:r w:rsidRPr="004A76B7">
        <w:rPr>
          <w:lang w:val="ca-ES"/>
        </w:rPr>
        <w:t>Re</w:t>
      </w:r>
      <w:r>
        <w:rPr>
          <w:lang w:val="ca-ES"/>
        </w:rPr>
        <w:t>gne</w:t>
      </w:r>
      <w:r w:rsidRPr="004A76B7">
        <w:rPr>
          <w:lang w:val="ca-ES"/>
        </w:rPr>
        <w:t xml:space="preserve"> Uni</w:t>
      </w:r>
      <w:r>
        <w:rPr>
          <w:lang w:val="ca-ES"/>
        </w:rPr>
        <w:t>t</w:t>
      </w:r>
      <w:r w:rsidRPr="004A76B7">
        <w:rPr>
          <w:lang w:val="ca-ES"/>
        </w:rPr>
        <w:t xml:space="preserve">, </w:t>
      </w:r>
      <w:r w:rsidRPr="004A76B7">
        <w:rPr>
          <w:lang w:val="en-GB"/>
        </w:rPr>
        <w:t xml:space="preserve">Cambridge University Press, </w:t>
      </w:r>
      <w:r w:rsidRPr="002B1C7D">
        <w:rPr>
          <w:lang w:val="es-ES_tradnl"/>
        </w:rPr>
        <w:t>2017).</w:t>
      </w:r>
    </w:p>
  </w:footnote>
  <w:footnote w:id="4">
    <w:p w14:paraId="16BAB875" w14:textId="63A1808B" w:rsidR="00B41CCB" w:rsidRPr="00BE7C83" w:rsidRDefault="00B41CCB" w:rsidP="00BE7C83">
      <w:pPr>
        <w:pStyle w:val="FootnoteText"/>
        <w:keepNext/>
        <w:keepLines/>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BE7C83">
        <w:rPr>
          <w:lang w:val="ca-ES"/>
        </w:rPr>
        <w:t>V</w:t>
      </w:r>
      <w:r>
        <w:rPr>
          <w:lang w:val="ca-ES"/>
        </w:rPr>
        <w:t xml:space="preserve">egeu </w:t>
      </w:r>
      <w:r w:rsidRPr="00BE7C83">
        <w:rPr>
          <w:lang w:val="ca-ES"/>
        </w:rPr>
        <w:t>Oficina de</w:t>
      </w:r>
      <w:r>
        <w:rPr>
          <w:lang w:val="ca-ES"/>
        </w:rPr>
        <w:t xml:space="preserve"> l’</w:t>
      </w:r>
      <w:r w:rsidRPr="00BE7C83">
        <w:rPr>
          <w:lang w:val="ca-ES"/>
        </w:rPr>
        <w:t>Alt Comi</w:t>
      </w:r>
      <w:r>
        <w:rPr>
          <w:lang w:val="ca-ES"/>
        </w:rPr>
        <w:t>ssionat</w:t>
      </w:r>
      <w:r w:rsidRPr="00BE7C83">
        <w:rPr>
          <w:lang w:val="ca-ES"/>
        </w:rPr>
        <w:t xml:space="preserve"> de les </w:t>
      </w:r>
      <w:r>
        <w:rPr>
          <w:lang w:val="ca-ES"/>
        </w:rPr>
        <w:t>Nacions Unides pe</w:t>
      </w:r>
      <w:r w:rsidRPr="00BE7C83">
        <w:rPr>
          <w:lang w:val="ca-ES"/>
        </w:rPr>
        <w:t>r</w:t>
      </w:r>
      <w:r>
        <w:rPr>
          <w:lang w:val="ca-ES"/>
        </w:rPr>
        <w:t xml:space="preserve"> </w:t>
      </w:r>
      <w:r w:rsidRPr="00BE7C83">
        <w:rPr>
          <w:lang w:val="ca-ES"/>
        </w:rPr>
        <w:t>a</w:t>
      </w:r>
      <w:r>
        <w:rPr>
          <w:lang w:val="ca-ES"/>
        </w:rPr>
        <w:t>l</w:t>
      </w:r>
      <w:r w:rsidRPr="00BE7C83">
        <w:rPr>
          <w:lang w:val="ca-ES"/>
        </w:rPr>
        <w:t>s D</w:t>
      </w:r>
      <w:r>
        <w:rPr>
          <w:lang w:val="ca-ES"/>
        </w:rPr>
        <w:t>rets Human</w:t>
      </w:r>
      <w:r w:rsidRPr="00BE7C83">
        <w:rPr>
          <w:lang w:val="ca-ES"/>
        </w:rPr>
        <w:t>s</w:t>
      </w:r>
      <w:r>
        <w:rPr>
          <w:lang w:val="ca-ES"/>
        </w:rPr>
        <w:t xml:space="preserve"> i Fundació</w:t>
      </w:r>
      <w:r w:rsidRPr="00BE7C83">
        <w:rPr>
          <w:lang w:val="ca-ES"/>
        </w:rPr>
        <w:t xml:space="preserve"> Heinrich </w:t>
      </w:r>
      <w:r w:rsidRPr="00C151D9">
        <w:rPr>
          <w:lang w:val="de-DE"/>
        </w:rPr>
        <w:t>Böll</w:t>
      </w:r>
      <w:r w:rsidRPr="00BE7C83">
        <w:rPr>
          <w:lang w:val="ca-ES"/>
        </w:rPr>
        <w:t xml:space="preserve">, </w:t>
      </w:r>
      <w:r w:rsidRPr="006A531E">
        <w:rPr>
          <w:i/>
          <w:iCs/>
        </w:rPr>
        <w:t>El otro déficit de infraestructura: La sostenibilidad – Perspectivas de derechos humanos y del medioambiente</w:t>
      </w:r>
      <w:r w:rsidRPr="00BE7C83">
        <w:rPr>
          <w:lang w:val="ca-ES"/>
        </w:rPr>
        <w:t xml:space="preserve"> (2018), p</w:t>
      </w:r>
      <w:r>
        <w:rPr>
          <w:lang w:val="ca-ES"/>
        </w:rPr>
        <w:t>à</w:t>
      </w:r>
      <w:r w:rsidRPr="00BE7C83">
        <w:rPr>
          <w:lang w:val="ca-ES"/>
        </w:rPr>
        <w:t>g. 115.</w:t>
      </w:r>
    </w:p>
  </w:footnote>
  <w:footnote w:id="5">
    <w:p w14:paraId="144317A7" w14:textId="03AA3AA3" w:rsidR="00B41CCB" w:rsidRPr="00BE7C83" w:rsidRDefault="00B41CCB" w:rsidP="00BE7C83">
      <w:pPr>
        <w:pStyle w:val="FootnoteText"/>
        <w:tabs>
          <w:tab w:val="clear" w:pos="418"/>
          <w:tab w:val="right" w:pos="1195"/>
          <w:tab w:val="left" w:pos="1267"/>
          <w:tab w:val="left" w:pos="1742"/>
          <w:tab w:val="left" w:pos="2218"/>
          <w:tab w:val="left" w:pos="2693"/>
        </w:tabs>
        <w:ind w:left="1267" w:right="1267" w:hanging="432"/>
        <w:rPr>
          <w:lang w:val="ca-ES"/>
        </w:rPr>
      </w:pPr>
      <w:r w:rsidRPr="00BE7C83">
        <w:rPr>
          <w:szCs w:val="17"/>
          <w:lang w:val="ca-ES"/>
        </w:rPr>
        <w:tab/>
      </w:r>
      <w:r w:rsidRPr="00BE7C83">
        <w:rPr>
          <w:rStyle w:val="FootnoteReference"/>
          <w:szCs w:val="17"/>
          <w:lang w:val="ca-ES"/>
        </w:rPr>
        <w:footnoteRef/>
      </w:r>
      <w:r w:rsidRPr="00BE7C83">
        <w:rPr>
          <w:lang w:val="ca-ES"/>
        </w:rPr>
        <w:tab/>
        <w:t>Vegeu</w:t>
      </w:r>
      <w:r>
        <w:rPr>
          <w:lang w:val="ca-ES"/>
        </w:rPr>
        <w:t>, per exemple</w:t>
      </w:r>
      <w:r w:rsidRPr="00BE7C83">
        <w:rPr>
          <w:lang w:val="ca-ES"/>
        </w:rPr>
        <w:t xml:space="preserve">, </w:t>
      </w:r>
      <w:hyperlink r:id="rId1" w:history="1">
        <w:r w:rsidRPr="00083D6A">
          <w:rPr>
            <w:rStyle w:val="Hyperlink"/>
            <w:lang w:val="ca-ES"/>
          </w:rPr>
          <w:t>A/69/402</w:t>
        </w:r>
      </w:hyperlink>
      <w:r w:rsidRPr="00083D6A">
        <w:rPr>
          <w:lang w:val="ca-ES"/>
        </w:rPr>
        <w:t xml:space="preserve"> i </w:t>
      </w:r>
      <w:hyperlink r:id="rId2" w:history="1">
        <w:r w:rsidRPr="00083D6A">
          <w:rPr>
            <w:rStyle w:val="Hyperlink"/>
            <w:lang w:val="ca-ES"/>
          </w:rPr>
          <w:t>A/73/396</w:t>
        </w:r>
      </w:hyperlink>
      <w:r w:rsidRPr="00083D6A">
        <w:rPr>
          <w:lang w:val="ca-ES"/>
        </w:rPr>
        <w:t>.</w:t>
      </w:r>
    </w:p>
  </w:footnote>
  <w:footnote w:id="6">
    <w:p w14:paraId="6CEF2F84" w14:textId="79B29A74" w:rsidR="00B41CCB" w:rsidRPr="004C5042"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szCs w:val="17"/>
          <w:lang w:val="es-ES_tradnl"/>
        </w:rPr>
        <w:tab/>
      </w:r>
      <w:r w:rsidRPr="002B1C7D">
        <w:rPr>
          <w:rStyle w:val="FootnoteReference"/>
          <w:szCs w:val="17"/>
          <w:lang w:val="es-ES_tradnl"/>
        </w:rPr>
        <w:footnoteRef/>
      </w:r>
      <w:r w:rsidRPr="002B1C7D">
        <w:rPr>
          <w:lang w:val="es-ES_tradnl"/>
        </w:rPr>
        <w:tab/>
      </w:r>
      <w:r>
        <w:rPr>
          <w:lang w:val="ca-ES"/>
        </w:rPr>
        <w:t>Vegeu</w:t>
      </w:r>
      <w:r w:rsidRPr="004C5042">
        <w:rPr>
          <w:lang w:val="ca-ES"/>
        </w:rPr>
        <w:t xml:space="preserve"> </w:t>
      </w:r>
      <w:hyperlink r:id="rId3" w:history="1">
        <w:r w:rsidRPr="004C5042">
          <w:rPr>
            <w:rStyle w:val="Hyperlink"/>
            <w:lang w:val="ca-ES"/>
          </w:rPr>
          <w:t>A/73/162</w:t>
        </w:r>
      </w:hyperlink>
      <w:r w:rsidRPr="004C5042">
        <w:rPr>
          <w:lang w:val="ca-ES"/>
        </w:rPr>
        <w:t>.</w:t>
      </w:r>
      <w:r w:rsidRPr="004C5042">
        <w:rPr>
          <w:szCs w:val="17"/>
          <w:cs/>
          <w:lang w:val="ca-ES"/>
        </w:rPr>
        <w:t>‎</w:t>
      </w:r>
    </w:p>
  </w:footnote>
  <w:footnote w:id="7">
    <w:p w14:paraId="2EFED098" w14:textId="4845F293" w:rsidR="00B41CCB" w:rsidRPr="004C5042"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4C5042">
        <w:rPr>
          <w:szCs w:val="17"/>
          <w:lang w:val="ca-ES"/>
        </w:rPr>
        <w:tab/>
      </w:r>
      <w:r w:rsidRPr="004C5042">
        <w:rPr>
          <w:rStyle w:val="FootnoteReference"/>
          <w:szCs w:val="17"/>
          <w:lang w:val="ca-ES"/>
        </w:rPr>
        <w:footnoteRef/>
      </w:r>
      <w:r w:rsidRPr="004C5042">
        <w:rPr>
          <w:lang w:val="ca-ES"/>
        </w:rPr>
        <w:tab/>
      </w:r>
      <w:r>
        <w:rPr>
          <w:lang w:val="ca-ES"/>
        </w:rPr>
        <w:t>Vegeu</w:t>
      </w:r>
      <w:r w:rsidRPr="004C5042">
        <w:rPr>
          <w:lang w:val="ca-ES"/>
        </w:rPr>
        <w:t xml:space="preserve"> </w:t>
      </w:r>
      <w:hyperlink r:id="rId4" w:history="1">
        <w:r w:rsidRPr="004C5042">
          <w:rPr>
            <w:rStyle w:val="Hyperlink"/>
            <w:lang w:val="ca-ES"/>
          </w:rPr>
          <w:t>A/HRC/36/45</w:t>
        </w:r>
      </w:hyperlink>
      <w:r w:rsidRPr="004C5042">
        <w:rPr>
          <w:lang w:val="ca-ES"/>
        </w:rPr>
        <w:t>.</w:t>
      </w:r>
    </w:p>
  </w:footnote>
  <w:footnote w:id="8">
    <w:p w14:paraId="00951198" w14:textId="164C6939" w:rsidR="00B41CCB" w:rsidRPr="004C5042"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4C5042">
        <w:rPr>
          <w:szCs w:val="17"/>
          <w:lang w:val="ca-ES"/>
        </w:rPr>
        <w:tab/>
      </w:r>
      <w:r w:rsidRPr="004C5042">
        <w:rPr>
          <w:rStyle w:val="FootnoteReference"/>
          <w:szCs w:val="17"/>
          <w:lang w:val="ca-ES"/>
        </w:rPr>
        <w:footnoteRef/>
      </w:r>
      <w:r w:rsidRPr="004C5042">
        <w:rPr>
          <w:lang w:val="ca-ES"/>
        </w:rPr>
        <w:tab/>
      </w:r>
      <w:r>
        <w:rPr>
          <w:lang w:val="ca-ES"/>
        </w:rPr>
        <w:t>Vegeu</w:t>
      </w:r>
      <w:r w:rsidRPr="004C5042">
        <w:rPr>
          <w:lang w:val="ca-ES"/>
        </w:rPr>
        <w:t xml:space="preserve"> </w:t>
      </w:r>
      <w:hyperlink r:id="rId5" w:history="1">
        <w:r w:rsidRPr="004C5042">
          <w:rPr>
            <w:rStyle w:val="Hyperlink"/>
            <w:lang w:val="ca-ES"/>
          </w:rPr>
          <w:t>A/HRC/30/39</w:t>
        </w:r>
      </w:hyperlink>
      <w:r w:rsidRPr="004C5042">
        <w:rPr>
          <w:lang w:val="ca-ES"/>
        </w:rPr>
        <w:t>.</w:t>
      </w:r>
    </w:p>
  </w:footnote>
  <w:footnote w:id="9">
    <w:p w14:paraId="71D0946F" w14:textId="5BD62FFF" w:rsidR="00B41CCB" w:rsidRPr="004C5042"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4C5042">
        <w:rPr>
          <w:szCs w:val="17"/>
          <w:lang w:val="ca-ES"/>
        </w:rPr>
        <w:tab/>
      </w:r>
      <w:r w:rsidRPr="004C5042">
        <w:rPr>
          <w:rStyle w:val="FootnoteReference"/>
          <w:szCs w:val="17"/>
          <w:lang w:val="ca-ES"/>
        </w:rPr>
        <w:footnoteRef/>
      </w:r>
      <w:r w:rsidRPr="004C5042">
        <w:rPr>
          <w:lang w:val="ca-ES"/>
        </w:rPr>
        <w:tab/>
      </w:r>
      <w:r>
        <w:rPr>
          <w:lang w:val="ca-ES"/>
        </w:rPr>
        <w:t>Vegeu</w:t>
      </w:r>
      <w:r w:rsidRPr="004C5042">
        <w:rPr>
          <w:lang w:val="ca-ES"/>
        </w:rPr>
        <w:t xml:space="preserve"> </w:t>
      </w:r>
      <w:hyperlink r:id="rId6" w:history="1">
        <w:r w:rsidRPr="004C5042">
          <w:rPr>
            <w:rStyle w:val="Hyperlink"/>
            <w:lang w:val="ca-ES"/>
          </w:rPr>
          <w:t>A/69/213</w:t>
        </w:r>
      </w:hyperlink>
      <w:r w:rsidRPr="004C5042">
        <w:rPr>
          <w:lang w:val="ca-ES"/>
        </w:rPr>
        <w:t>.</w:t>
      </w:r>
      <w:r w:rsidRPr="004C5042">
        <w:rPr>
          <w:szCs w:val="17"/>
          <w:cs/>
          <w:lang w:val="ca-ES"/>
        </w:rPr>
        <w:t>‎</w:t>
      </w:r>
    </w:p>
  </w:footnote>
  <w:footnote w:id="10">
    <w:p w14:paraId="69DB6A92" w14:textId="5D2EF966" w:rsidR="00B41CCB" w:rsidRPr="004C5042"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4C5042">
        <w:rPr>
          <w:szCs w:val="17"/>
          <w:lang w:val="ca-ES"/>
        </w:rPr>
        <w:tab/>
      </w:r>
      <w:r w:rsidRPr="004C5042">
        <w:rPr>
          <w:rStyle w:val="FootnoteReference"/>
          <w:szCs w:val="17"/>
          <w:lang w:val="ca-ES"/>
        </w:rPr>
        <w:footnoteRef/>
      </w:r>
      <w:r w:rsidRPr="004C5042">
        <w:rPr>
          <w:lang w:val="ca-ES"/>
        </w:rPr>
        <w:tab/>
      </w:r>
      <w:r>
        <w:rPr>
          <w:lang w:val="ca-ES"/>
        </w:rPr>
        <w:t>Vegeu</w:t>
      </w:r>
      <w:r w:rsidRPr="004C5042">
        <w:rPr>
          <w:lang w:val="ca-ES"/>
        </w:rPr>
        <w:t xml:space="preserve"> </w:t>
      </w:r>
      <w:hyperlink r:id="rId7" w:history="1">
        <w:r w:rsidRPr="004C5042">
          <w:rPr>
            <w:rStyle w:val="Hyperlink"/>
            <w:lang w:val="ca-ES"/>
          </w:rPr>
          <w:t>A/HRC/18/33</w:t>
        </w:r>
      </w:hyperlink>
      <w:r w:rsidRPr="004C5042">
        <w:rPr>
          <w:lang w:val="ca-ES"/>
        </w:rPr>
        <w:t>.</w:t>
      </w:r>
    </w:p>
  </w:footnote>
  <w:footnote w:id="11">
    <w:p w14:paraId="21945F59" w14:textId="3FFEDFCE" w:rsidR="00B41CCB" w:rsidRPr="004C5042"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4C5042">
        <w:rPr>
          <w:szCs w:val="17"/>
          <w:lang w:val="ca-ES"/>
        </w:rPr>
        <w:tab/>
      </w:r>
      <w:r w:rsidRPr="004C5042">
        <w:rPr>
          <w:rStyle w:val="FootnoteReference"/>
          <w:szCs w:val="17"/>
          <w:lang w:val="ca-ES"/>
        </w:rPr>
        <w:footnoteRef/>
      </w:r>
      <w:r w:rsidRPr="004C5042">
        <w:rPr>
          <w:lang w:val="ca-ES"/>
        </w:rPr>
        <w:tab/>
      </w:r>
      <w:r>
        <w:rPr>
          <w:lang w:val="ca-ES"/>
        </w:rPr>
        <w:t>Vegeu</w:t>
      </w:r>
      <w:r w:rsidRPr="004C5042">
        <w:rPr>
          <w:lang w:val="ca-ES"/>
        </w:rPr>
        <w:t xml:space="preserve"> </w:t>
      </w:r>
      <w:hyperlink r:id="rId8" w:history="1">
        <w:r w:rsidRPr="004C5042">
          <w:rPr>
            <w:rStyle w:val="Hyperlink"/>
            <w:lang w:val="ca-ES"/>
          </w:rPr>
          <w:t>A/66/255</w:t>
        </w:r>
      </w:hyperlink>
      <w:r w:rsidRPr="004C5042">
        <w:rPr>
          <w:lang w:val="ca-ES"/>
        </w:rPr>
        <w:t>.</w:t>
      </w:r>
      <w:r w:rsidRPr="004C5042">
        <w:rPr>
          <w:szCs w:val="17"/>
          <w:cs/>
          <w:lang w:val="ca-ES"/>
        </w:rPr>
        <w:t>‎</w:t>
      </w:r>
    </w:p>
  </w:footnote>
  <w:footnote w:id="12">
    <w:p w14:paraId="541A99EB" w14:textId="7E8D28B8" w:rsidR="00B41CCB" w:rsidRPr="004C5042"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4C5042">
        <w:rPr>
          <w:szCs w:val="17"/>
          <w:lang w:val="ca-ES"/>
        </w:rPr>
        <w:tab/>
      </w:r>
      <w:r w:rsidRPr="004C5042">
        <w:rPr>
          <w:rStyle w:val="FootnoteReference"/>
          <w:szCs w:val="17"/>
          <w:lang w:val="ca-ES"/>
        </w:rPr>
        <w:footnoteRef/>
      </w:r>
      <w:r w:rsidRPr="004C5042">
        <w:rPr>
          <w:lang w:val="ca-ES"/>
        </w:rPr>
        <w:tab/>
      </w:r>
      <w:r>
        <w:rPr>
          <w:lang w:val="ca-ES"/>
        </w:rPr>
        <w:t>Vegeu</w:t>
      </w:r>
      <w:r w:rsidRPr="004C5042">
        <w:rPr>
          <w:lang w:val="ca-ES"/>
        </w:rPr>
        <w:t xml:space="preserve"> </w:t>
      </w:r>
      <w:r>
        <w:rPr>
          <w:lang w:val="ca-ES"/>
        </w:rPr>
        <w:t>els document</w:t>
      </w:r>
      <w:r w:rsidRPr="004C5042">
        <w:rPr>
          <w:lang w:val="ca-ES"/>
        </w:rPr>
        <w:t xml:space="preserve">s </w:t>
      </w:r>
      <w:hyperlink r:id="rId9" w:history="1">
        <w:r w:rsidRPr="004C5042">
          <w:rPr>
            <w:rStyle w:val="Hyperlink"/>
            <w:lang w:val="ca-ES"/>
          </w:rPr>
          <w:t>A/HRC/21/42</w:t>
        </w:r>
      </w:hyperlink>
      <w:r w:rsidRPr="004C5042">
        <w:rPr>
          <w:lang w:val="ca-ES"/>
        </w:rPr>
        <w:t xml:space="preserve">, </w:t>
      </w:r>
      <w:hyperlink r:id="rId10" w:history="1">
        <w:r w:rsidRPr="004C5042">
          <w:rPr>
            <w:rStyle w:val="Hyperlink"/>
            <w:lang w:val="ca-ES"/>
          </w:rPr>
          <w:t>A/HRC/33/49</w:t>
        </w:r>
      </w:hyperlink>
      <w:r w:rsidRPr="004C5042">
        <w:rPr>
          <w:lang w:val="ca-ES"/>
        </w:rPr>
        <w:t xml:space="preserve">, </w:t>
      </w:r>
      <w:hyperlink r:id="rId11" w:history="1">
        <w:r w:rsidRPr="004C5042">
          <w:rPr>
            <w:rStyle w:val="Hyperlink"/>
            <w:lang w:val="ca-ES"/>
          </w:rPr>
          <w:t>A/HRC/39/55</w:t>
        </w:r>
      </w:hyperlink>
      <w:r>
        <w:rPr>
          <w:lang w:val="ca-ES"/>
        </w:rPr>
        <w:t xml:space="preserve"> i</w:t>
      </w:r>
      <w:r w:rsidRPr="004C5042">
        <w:rPr>
          <w:lang w:val="ca-ES"/>
        </w:rPr>
        <w:t xml:space="preserve"> </w:t>
      </w:r>
      <w:hyperlink r:id="rId12" w:history="1">
        <w:r w:rsidRPr="004C5042">
          <w:rPr>
            <w:rStyle w:val="Hyperlink"/>
            <w:lang w:val="ca-ES"/>
          </w:rPr>
          <w:t>A/HRC/42/47</w:t>
        </w:r>
      </w:hyperlink>
      <w:r w:rsidRPr="004C5042">
        <w:rPr>
          <w:lang w:val="ca-ES"/>
        </w:rPr>
        <w:t>.</w:t>
      </w:r>
    </w:p>
  </w:footnote>
  <w:footnote w:id="13">
    <w:p w14:paraId="1B8FBC3E" w14:textId="67473500" w:rsidR="00B41CCB" w:rsidRPr="002B1C7D" w:rsidRDefault="00B41CCB" w:rsidP="004C5042">
      <w:pPr>
        <w:pStyle w:val="FootnoteText"/>
        <w:tabs>
          <w:tab w:val="clear" w:pos="418"/>
          <w:tab w:val="right" w:pos="1195"/>
          <w:tab w:val="left" w:pos="1267"/>
          <w:tab w:val="left" w:pos="1742"/>
          <w:tab w:val="left" w:pos="2218"/>
          <w:tab w:val="left" w:pos="2693"/>
        </w:tabs>
        <w:ind w:left="1267" w:right="1267" w:hanging="432"/>
        <w:rPr>
          <w:lang w:val="es-ES_tradnl"/>
        </w:rPr>
      </w:pPr>
      <w:r w:rsidRPr="004C5042">
        <w:rPr>
          <w:rStyle w:val="Hyperlink4"/>
          <w:rFonts w:eastAsiaTheme="minorHAnsi"/>
          <w:szCs w:val="17"/>
          <w:lang w:val="ca-ES"/>
        </w:rPr>
        <w:tab/>
      </w:r>
      <w:r w:rsidRPr="004C5042">
        <w:rPr>
          <w:rStyle w:val="FootnoteReference"/>
          <w:szCs w:val="17"/>
          <w:lang w:val="ca-ES"/>
        </w:rPr>
        <w:footnoteRef/>
      </w:r>
      <w:r w:rsidRPr="004C5042">
        <w:rPr>
          <w:lang w:val="ca-ES"/>
        </w:rPr>
        <w:tab/>
        <w:t xml:space="preserve">Disponible </w:t>
      </w:r>
      <w:r>
        <w:rPr>
          <w:lang w:val="ca-ES"/>
        </w:rPr>
        <w:t>a</w:t>
      </w:r>
      <w:r w:rsidRPr="004C5042">
        <w:rPr>
          <w:lang w:val="ca-ES"/>
        </w:rPr>
        <w:t xml:space="preserve"> </w:t>
      </w:r>
      <w:hyperlink r:id="rId13" w:history="1">
        <w:r w:rsidRPr="004C5042">
          <w:rPr>
            <w:rStyle w:val="Hyperlink"/>
            <w:lang w:val="ca-ES"/>
          </w:rPr>
          <w:t>www.ohchr.org/EN/Issues/WaterAndSanitation/SRWater/Pages/PrivateSector Participation.aspx</w:t>
        </w:r>
      </w:hyperlink>
      <w:r w:rsidRPr="002B1C7D">
        <w:rPr>
          <w:lang w:val="es-ES_tradnl"/>
        </w:rPr>
        <w:t>.</w:t>
      </w:r>
    </w:p>
  </w:footnote>
  <w:footnote w:id="14">
    <w:p w14:paraId="74355144" w14:textId="0411CBAF" w:rsidR="00B41CCB" w:rsidRPr="00BB02C5"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rStyle w:val="None"/>
          <w:rFonts w:eastAsia="Arial Unicode MS"/>
          <w:szCs w:val="17"/>
          <w:lang w:val="es-ES_tradnl"/>
        </w:rPr>
        <w:tab/>
      </w:r>
      <w:r w:rsidRPr="002B1C7D">
        <w:rPr>
          <w:rStyle w:val="FootnoteReference"/>
          <w:szCs w:val="17"/>
          <w:lang w:val="es-ES_tradnl"/>
        </w:rPr>
        <w:footnoteRef/>
      </w:r>
      <w:r w:rsidRPr="002B1C7D">
        <w:rPr>
          <w:lang w:val="en-US"/>
        </w:rPr>
        <w:tab/>
      </w:r>
      <w:hyperlink r:id="rId14" w:history="1">
        <w:r w:rsidRPr="00BB02C5">
          <w:rPr>
            <w:rStyle w:val="Hyperlink"/>
            <w:lang w:val="ca-ES"/>
          </w:rPr>
          <w:t>A/73/396</w:t>
        </w:r>
      </w:hyperlink>
      <w:r w:rsidRPr="00BB02C5">
        <w:rPr>
          <w:lang w:val="ca-ES"/>
        </w:rPr>
        <w:t>, resum.</w:t>
      </w:r>
    </w:p>
  </w:footnote>
  <w:footnote w:id="15">
    <w:p w14:paraId="3C7B8721" w14:textId="75933BD5" w:rsidR="00B41CCB" w:rsidRPr="00F67D2A" w:rsidRDefault="00B41CCB" w:rsidP="00F67D2A">
      <w:pPr>
        <w:pStyle w:val="FootnoteText"/>
        <w:tabs>
          <w:tab w:val="clear" w:pos="418"/>
          <w:tab w:val="right" w:pos="1195"/>
          <w:tab w:val="left" w:pos="1267"/>
          <w:tab w:val="left" w:pos="1742"/>
          <w:tab w:val="left" w:pos="2218"/>
          <w:tab w:val="left" w:pos="2693"/>
        </w:tabs>
        <w:ind w:left="1267" w:right="1267" w:hanging="432"/>
        <w:rPr>
          <w:lang w:val="en-US"/>
        </w:rPr>
      </w:pPr>
      <w:r w:rsidRPr="00BB02C5">
        <w:rPr>
          <w:rStyle w:val="None"/>
          <w:szCs w:val="17"/>
          <w:lang w:val="ca-ES"/>
        </w:rPr>
        <w:tab/>
      </w:r>
      <w:r w:rsidRPr="00BB02C5">
        <w:rPr>
          <w:rStyle w:val="FootnoteReference"/>
          <w:szCs w:val="17"/>
          <w:lang w:val="ca-ES"/>
        </w:rPr>
        <w:footnoteRef/>
      </w:r>
      <w:r w:rsidRPr="00BB02C5">
        <w:rPr>
          <w:lang w:val="ca-ES"/>
        </w:rPr>
        <w:tab/>
      </w:r>
      <w:r w:rsidRPr="00F67D2A">
        <w:rPr>
          <w:lang w:val="en-US"/>
        </w:rPr>
        <w:t xml:space="preserve">Joseph Stiglitz, </w:t>
      </w:r>
      <w:r w:rsidRPr="00F67D2A">
        <w:rPr>
          <w:i/>
          <w:iCs/>
          <w:lang w:val="en-US"/>
        </w:rPr>
        <w:t>Globalization and Its Discontents Revisited: Anti-Globalization in the Era of Trump</w:t>
      </w:r>
      <w:r w:rsidRPr="00BB02C5">
        <w:rPr>
          <w:lang w:val="ca-ES"/>
        </w:rPr>
        <w:t xml:space="preserve"> (N</w:t>
      </w:r>
      <w:r>
        <w:rPr>
          <w:lang w:val="ca-ES"/>
        </w:rPr>
        <w:t>o</w:t>
      </w:r>
      <w:r w:rsidRPr="00BB02C5">
        <w:rPr>
          <w:lang w:val="ca-ES"/>
        </w:rPr>
        <w:t xml:space="preserve">va York, </w:t>
      </w:r>
      <w:r w:rsidRPr="00F67D2A">
        <w:rPr>
          <w:lang w:val="en-US"/>
        </w:rPr>
        <w:t>W.W. Norton and Co., 2017).</w:t>
      </w:r>
    </w:p>
  </w:footnote>
  <w:footnote w:id="16">
    <w:p w14:paraId="69FBC657" w14:textId="6DE72943" w:rsidR="00B41CCB" w:rsidRPr="00BB02C5" w:rsidRDefault="00B41CCB" w:rsidP="00F67D2A">
      <w:pPr>
        <w:pStyle w:val="FootnoteText"/>
        <w:tabs>
          <w:tab w:val="clear" w:pos="418"/>
          <w:tab w:val="right" w:pos="1195"/>
          <w:tab w:val="left" w:pos="1267"/>
          <w:tab w:val="left" w:pos="1742"/>
          <w:tab w:val="left" w:pos="2218"/>
          <w:tab w:val="left" w:pos="2693"/>
        </w:tabs>
        <w:ind w:left="1267" w:right="1267" w:hanging="432"/>
        <w:rPr>
          <w:lang w:val="ca-ES"/>
        </w:rPr>
      </w:pPr>
      <w:r w:rsidRPr="00BB02C5">
        <w:rPr>
          <w:szCs w:val="17"/>
          <w:lang w:val="ca-ES"/>
        </w:rPr>
        <w:tab/>
      </w:r>
      <w:r w:rsidRPr="00BB02C5">
        <w:rPr>
          <w:rStyle w:val="FootnoteReference"/>
          <w:szCs w:val="17"/>
          <w:lang w:val="ca-ES"/>
        </w:rPr>
        <w:footnoteRef/>
      </w:r>
      <w:r w:rsidRPr="00BB02C5">
        <w:rPr>
          <w:lang w:val="ca-ES"/>
        </w:rPr>
        <w:tab/>
        <w:t xml:space="preserve">A/73/396, </w:t>
      </w:r>
      <w:r w:rsidRPr="00F67D2A">
        <w:rPr>
          <w:lang w:val="ca-ES"/>
        </w:rPr>
        <w:t>§</w:t>
      </w:r>
      <w:r w:rsidRPr="00BB02C5">
        <w:rPr>
          <w:lang w:val="ca-ES"/>
        </w:rPr>
        <w:t xml:space="preserve"> 36.</w:t>
      </w:r>
    </w:p>
  </w:footnote>
  <w:footnote w:id="17">
    <w:p w14:paraId="7AF4F123" w14:textId="1123D69D" w:rsidR="00B41CCB" w:rsidRPr="00BB02C5" w:rsidRDefault="00B41CCB" w:rsidP="00F67D2A">
      <w:pPr>
        <w:pStyle w:val="FootnoteText"/>
        <w:tabs>
          <w:tab w:val="clear" w:pos="418"/>
          <w:tab w:val="right" w:pos="1195"/>
          <w:tab w:val="left" w:pos="1267"/>
          <w:tab w:val="left" w:pos="1742"/>
          <w:tab w:val="left" w:pos="2218"/>
          <w:tab w:val="left" w:pos="2693"/>
        </w:tabs>
        <w:ind w:left="1267" w:right="1267" w:hanging="432"/>
        <w:rPr>
          <w:lang w:val="ca-ES"/>
        </w:rPr>
      </w:pPr>
      <w:r w:rsidRPr="00BB02C5">
        <w:rPr>
          <w:lang w:val="ca-ES"/>
        </w:rPr>
        <w:tab/>
      </w:r>
      <w:r w:rsidRPr="00BB02C5">
        <w:rPr>
          <w:rStyle w:val="FootnoteReference"/>
          <w:lang w:val="ca-ES"/>
        </w:rPr>
        <w:footnoteRef/>
      </w:r>
      <w:r w:rsidRPr="00BB02C5">
        <w:rPr>
          <w:lang w:val="ca-ES"/>
        </w:rPr>
        <w:t xml:space="preserve"> </w:t>
      </w:r>
      <w:r w:rsidRPr="00BB02C5">
        <w:rPr>
          <w:lang w:val="ca-ES"/>
        </w:rPr>
        <w:tab/>
      </w:r>
      <w:r w:rsidRPr="00F67D2A">
        <w:rPr>
          <w:lang w:val="ca-ES"/>
        </w:rPr>
        <w:t xml:space="preserve">Molts titulars de mandats van fer crides perquè s'apliquessin aquestes mesures: vegeu </w:t>
      </w:r>
      <w:hyperlink r:id="rId15" w:history="1">
        <w:r w:rsidRPr="00BB02C5">
          <w:rPr>
            <w:rStyle w:val="Hyperlink"/>
            <w:lang w:val="ca-ES"/>
          </w:rPr>
          <w:t>www.ohchr.org/EN/NewsEvents/Pages/DisplayNews.aspx?NewsID=25746&amp;LangID=E</w:t>
        </w:r>
      </w:hyperlink>
      <w:r w:rsidRPr="00BB02C5">
        <w:rPr>
          <w:lang w:val="ca-ES"/>
        </w:rPr>
        <w:t>.</w:t>
      </w:r>
    </w:p>
  </w:footnote>
  <w:footnote w:id="18">
    <w:p w14:paraId="21D3BD62" w14:textId="36FB0E58" w:rsidR="00B41CCB" w:rsidRPr="00BB02C5" w:rsidRDefault="00B41CCB" w:rsidP="00F67D2A">
      <w:pPr>
        <w:pStyle w:val="FootnoteText"/>
        <w:tabs>
          <w:tab w:val="clear" w:pos="418"/>
          <w:tab w:val="right" w:pos="1195"/>
          <w:tab w:val="left" w:pos="1267"/>
          <w:tab w:val="left" w:pos="1742"/>
          <w:tab w:val="left" w:pos="2218"/>
          <w:tab w:val="left" w:pos="2693"/>
        </w:tabs>
        <w:ind w:left="1267" w:right="1267" w:hanging="432"/>
        <w:rPr>
          <w:lang w:val="ca-ES"/>
        </w:rPr>
      </w:pPr>
      <w:r w:rsidRPr="00BB02C5">
        <w:rPr>
          <w:lang w:val="ca-ES"/>
        </w:rPr>
        <w:tab/>
      </w:r>
      <w:r w:rsidRPr="00BB02C5">
        <w:rPr>
          <w:rStyle w:val="FootnoteReference"/>
          <w:lang w:val="ca-ES"/>
        </w:rPr>
        <w:footnoteRef/>
      </w:r>
      <w:r w:rsidRPr="00BB02C5">
        <w:rPr>
          <w:lang w:val="ca-ES"/>
        </w:rPr>
        <w:t xml:space="preserve"> </w:t>
      </w:r>
      <w:hyperlink r:id="rId16" w:history="1">
        <w:r w:rsidRPr="00BB02C5">
          <w:rPr>
            <w:rStyle w:val="Hyperlink"/>
            <w:lang w:val="ca-ES"/>
          </w:rPr>
          <w:tab/>
          <w:t>A/HRC/36/45/Add.1</w:t>
        </w:r>
      </w:hyperlink>
      <w:r w:rsidRPr="00BB02C5">
        <w:rPr>
          <w:lang w:val="ca-ES"/>
        </w:rPr>
        <w:t xml:space="preserve">, </w:t>
      </w:r>
      <w:r w:rsidRPr="00F67D2A">
        <w:rPr>
          <w:lang w:val="ca-ES"/>
        </w:rPr>
        <w:t>§</w:t>
      </w:r>
      <w:r>
        <w:rPr>
          <w:lang w:val="ca-ES"/>
        </w:rPr>
        <w:t xml:space="preserve"> 5 i</w:t>
      </w:r>
      <w:r w:rsidRPr="00BB02C5">
        <w:rPr>
          <w:lang w:val="ca-ES"/>
        </w:rPr>
        <w:t xml:space="preserve"> 6.</w:t>
      </w:r>
    </w:p>
  </w:footnote>
  <w:footnote w:id="19">
    <w:p w14:paraId="53152135" w14:textId="031457EF" w:rsidR="00B41CCB" w:rsidRPr="00BB02C5" w:rsidRDefault="00B41CCB" w:rsidP="00DE10E6">
      <w:pPr>
        <w:pStyle w:val="FootnoteText"/>
        <w:keepLines/>
        <w:tabs>
          <w:tab w:val="clear" w:pos="418"/>
          <w:tab w:val="right" w:pos="1195"/>
          <w:tab w:val="left" w:pos="1267"/>
          <w:tab w:val="left" w:pos="1742"/>
          <w:tab w:val="left" w:pos="2218"/>
          <w:tab w:val="left" w:pos="2693"/>
        </w:tabs>
        <w:ind w:left="1267" w:right="1267" w:hanging="432"/>
        <w:rPr>
          <w:lang w:val="ca-ES"/>
        </w:rPr>
      </w:pPr>
      <w:r w:rsidRPr="00BB02C5">
        <w:rPr>
          <w:lang w:val="ca-ES"/>
        </w:rPr>
        <w:tab/>
      </w:r>
      <w:r w:rsidRPr="00BB02C5">
        <w:rPr>
          <w:rStyle w:val="FootnoteReference"/>
          <w:lang w:val="ca-ES"/>
        </w:rPr>
        <w:footnoteRef/>
      </w:r>
      <w:r w:rsidRPr="00BB02C5">
        <w:rPr>
          <w:lang w:val="ca-ES"/>
        </w:rPr>
        <w:t xml:space="preserve"> </w:t>
      </w:r>
      <w:r w:rsidRPr="00BB02C5">
        <w:rPr>
          <w:lang w:val="ca-ES"/>
        </w:rPr>
        <w:tab/>
        <w:t>Seg</w:t>
      </w:r>
      <w:r>
        <w:rPr>
          <w:lang w:val="ca-ES"/>
        </w:rPr>
        <w:t>ons la contribució</w:t>
      </w:r>
      <w:r w:rsidRPr="00BB02C5">
        <w:rPr>
          <w:lang w:val="ca-ES"/>
        </w:rPr>
        <w:t xml:space="preserve"> d</w:t>
      </w:r>
      <w:r>
        <w:rPr>
          <w:lang w:val="ca-ES"/>
        </w:rPr>
        <w:t>’AquaFed, entre 2000 i 2019, el 75 % del</w:t>
      </w:r>
      <w:r w:rsidRPr="00BB02C5">
        <w:rPr>
          <w:lang w:val="ca-ES"/>
        </w:rPr>
        <w:t>s contra</w:t>
      </w:r>
      <w:r>
        <w:rPr>
          <w:lang w:val="ca-ES"/>
        </w:rPr>
        <w:t>cte</w:t>
      </w:r>
      <w:r w:rsidRPr="00BB02C5">
        <w:rPr>
          <w:lang w:val="ca-ES"/>
        </w:rPr>
        <w:t xml:space="preserve">s no </w:t>
      </w:r>
      <w:r>
        <w:rPr>
          <w:lang w:val="ca-ES"/>
        </w:rPr>
        <w:t>e</w:t>
      </w:r>
      <w:r w:rsidRPr="00BB02C5">
        <w:rPr>
          <w:lang w:val="ca-ES"/>
        </w:rPr>
        <w:t>s</w:t>
      </w:r>
      <w:r>
        <w:rPr>
          <w:lang w:val="ca-ES"/>
        </w:rPr>
        <w:t xml:space="preserve"> van</w:t>
      </w:r>
      <w:r w:rsidRPr="00BB02C5">
        <w:rPr>
          <w:lang w:val="ca-ES"/>
        </w:rPr>
        <w:t xml:space="preserve"> renovar, l</w:t>
      </w:r>
      <w:r>
        <w:rPr>
          <w:lang w:val="ca-ES"/>
        </w:rPr>
        <w:t xml:space="preserve">’11 % </w:t>
      </w:r>
      <w:r w:rsidRPr="00BB02C5">
        <w:rPr>
          <w:lang w:val="ca-ES"/>
        </w:rPr>
        <w:t>e</w:t>
      </w:r>
      <w:r>
        <w:rPr>
          <w:lang w:val="ca-ES"/>
        </w:rPr>
        <w:t>s</w:t>
      </w:r>
      <w:r w:rsidRPr="00BB02C5">
        <w:rPr>
          <w:lang w:val="ca-ES"/>
        </w:rPr>
        <w:t xml:space="preserve"> </w:t>
      </w:r>
      <w:r>
        <w:rPr>
          <w:lang w:val="ca-ES"/>
        </w:rPr>
        <w:t xml:space="preserve">van </w:t>
      </w:r>
      <w:r w:rsidRPr="00BB02C5">
        <w:rPr>
          <w:lang w:val="ca-ES"/>
        </w:rPr>
        <w:t>rescindir anticipadament</w:t>
      </w:r>
      <w:r>
        <w:rPr>
          <w:lang w:val="ca-ES"/>
        </w:rPr>
        <w:t xml:space="preserve"> i el 14 % </w:t>
      </w:r>
      <w:r w:rsidRPr="00BB02C5">
        <w:rPr>
          <w:lang w:val="ca-ES"/>
        </w:rPr>
        <w:t>e</w:t>
      </w:r>
      <w:r>
        <w:rPr>
          <w:lang w:val="ca-ES"/>
        </w:rPr>
        <w:t>s van prorrogar</w:t>
      </w:r>
      <w:r w:rsidRPr="00BB02C5">
        <w:rPr>
          <w:lang w:val="ca-ES"/>
        </w:rPr>
        <w:t>.</w:t>
      </w:r>
    </w:p>
  </w:footnote>
  <w:footnote w:id="20">
    <w:p w14:paraId="6CA7C877" w14:textId="619574AD"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Aquafed, </w:t>
      </w:r>
      <w:r w:rsidRPr="002B1C7D">
        <w:rPr>
          <w:i/>
          <w:iCs/>
          <w:lang w:val="en-US"/>
        </w:rPr>
        <w:t>Private Operators Delivering Performance for Water-Users and Public Authorities: Examples from Across the World</w:t>
      </w:r>
      <w:r w:rsidRPr="002B1C7D">
        <w:rPr>
          <w:lang w:val="en-US"/>
        </w:rPr>
        <w:t xml:space="preserve"> </w:t>
      </w:r>
      <w:r w:rsidRPr="00F92C3D">
        <w:rPr>
          <w:lang w:val="ca-ES"/>
        </w:rPr>
        <w:t>(París, 2015), pàg. 6; i</w:t>
      </w:r>
      <w:r w:rsidRPr="002B1C7D">
        <w:rPr>
          <w:lang w:val="en-US"/>
        </w:rPr>
        <w:t xml:space="preserve"> Ben Taylor, “Private sector involvement in water – global lessons”,</w:t>
      </w:r>
      <w:r w:rsidRPr="002B1C7D">
        <w:rPr>
          <w:i/>
          <w:iCs/>
          <w:lang w:val="en-US"/>
        </w:rPr>
        <w:t xml:space="preserve"> The Springfield Centre</w:t>
      </w:r>
      <w:r w:rsidRPr="002B1C7D">
        <w:rPr>
          <w:lang w:val="en-US"/>
        </w:rPr>
        <w:t xml:space="preserve"> (2016).</w:t>
      </w:r>
    </w:p>
  </w:footnote>
  <w:footnote w:id="21">
    <w:p w14:paraId="7BC271BE" w14:textId="3A072060" w:rsidR="00B41CCB" w:rsidRPr="00F92C3D" w:rsidRDefault="00B41CCB" w:rsidP="00E31C4A">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Pr>
          <w:lang w:val="ca-ES"/>
        </w:rPr>
        <w:tab/>
        <w:t>Projecte</w:t>
      </w:r>
      <w:r w:rsidRPr="00F92C3D">
        <w:rPr>
          <w:lang w:val="ca-ES"/>
        </w:rPr>
        <w:t xml:space="preserve"> de l</w:t>
      </w:r>
      <w:r>
        <w:rPr>
          <w:lang w:val="ca-ES"/>
        </w:rPr>
        <w:t>lei</w:t>
      </w:r>
      <w:r w:rsidRPr="00F92C3D">
        <w:rPr>
          <w:lang w:val="ca-ES"/>
        </w:rPr>
        <w:t xml:space="preserve"> núm. 4162/2019, art. 7, p</w:t>
      </w:r>
      <w:r>
        <w:rPr>
          <w:lang w:val="ca-ES"/>
        </w:rPr>
        <w:t xml:space="preserve">el qual es </w:t>
      </w:r>
      <w:r w:rsidRPr="00F92C3D">
        <w:rPr>
          <w:lang w:val="ca-ES"/>
        </w:rPr>
        <w:t>modifica la L</w:t>
      </w:r>
      <w:r>
        <w:rPr>
          <w:lang w:val="ca-ES"/>
        </w:rPr>
        <w:t>lei</w:t>
      </w:r>
      <w:r w:rsidRPr="00F92C3D">
        <w:rPr>
          <w:lang w:val="ca-ES"/>
        </w:rPr>
        <w:t xml:space="preserve"> núm. 11445/2007, art. 10.</w:t>
      </w:r>
    </w:p>
  </w:footnote>
  <w:footnote w:id="22">
    <w:p w14:paraId="6D92713E" w14:textId="60501EF5" w:rsidR="00B41CCB" w:rsidRPr="00F92C3D" w:rsidRDefault="00B41CCB" w:rsidP="00E31C4A">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Kate Bayliss, “Moving the goalposts: reconfiguring the role of the private sector in the provision of water”, </w:t>
      </w:r>
      <w:r>
        <w:rPr>
          <w:lang w:val="en-US"/>
        </w:rPr>
        <w:t>a</w:t>
      </w:r>
      <w:r w:rsidRPr="002B1C7D">
        <w:rPr>
          <w:lang w:val="en-US"/>
        </w:rPr>
        <w:t xml:space="preserve"> </w:t>
      </w:r>
      <w:r w:rsidRPr="002B1C7D">
        <w:rPr>
          <w:i/>
          <w:iCs/>
          <w:lang w:val="en-US"/>
        </w:rPr>
        <w:t>PPPs: A Critical Guide</w:t>
      </w:r>
      <w:r w:rsidRPr="002B1C7D">
        <w:rPr>
          <w:lang w:val="en-US"/>
        </w:rPr>
        <w:t xml:space="preserve">, J. Gideon </w:t>
      </w:r>
      <w:r>
        <w:rPr>
          <w:lang w:val="ca-ES"/>
        </w:rPr>
        <w:t>i</w:t>
      </w:r>
      <w:r w:rsidRPr="002B1C7D">
        <w:rPr>
          <w:lang w:val="en-US"/>
        </w:rPr>
        <w:t xml:space="preserve"> E. Unterhalter, eds. (</w:t>
      </w:r>
      <w:r w:rsidRPr="00F92C3D">
        <w:rPr>
          <w:lang w:val="ca-ES"/>
        </w:rPr>
        <w:t>Londres, Routledge, 2020) (pròxima publicació).</w:t>
      </w:r>
    </w:p>
  </w:footnote>
  <w:footnote w:id="23">
    <w:p w14:paraId="260F5508" w14:textId="0B146174" w:rsidR="00B41CCB" w:rsidRPr="00F92C3D" w:rsidRDefault="00B41CCB" w:rsidP="00E31C4A">
      <w:pPr>
        <w:pStyle w:val="FootnoteText"/>
        <w:tabs>
          <w:tab w:val="clear" w:pos="418"/>
          <w:tab w:val="right" w:pos="1195"/>
          <w:tab w:val="left" w:pos="1267"/>
          <w:tab w:val="left" w:pos="1742"/>
          <w:tab w:val="left" w:pos="2218"/>
          <w:tab w:val="left" w:pos="2693"/>
        </w:tabs>
        <w:ind w:left="1267" w:right="1267" w:hanging="432"/>
        <w:rPr>
          <w:lang w:val="ca-ES"/>
        </w:rPr>
      </w:pPr>
      <w:r w:rsidRPr="00F92C3D">
        <w:rPr>
          <w:lang w:val="ca-ES"/>
        </w:rPr>
        <w:tab/>
      </w:r>
      <w:r w:rsidRPr="00F92C3D">
        <w:rPr>
          <w:rStyle w:val="FootnoteReference"/>
          <w:lang w:val="ca-ES"/>
        </w:rPr>
        <w:footnoteRef/>
      </w:r>
      <w:r w:rsidRPr="00F92C3D">
        <w:rPr>
          <w:lang w:val="ca-ES"/>
        </w:rPr>
        <w:t xml:space="preserve"> </w:t>
      </w:r>
      <w:r w:rsidRPr="00F92C3D">
        <w:rPr>
          <w:lang w:val="ca-ES"/>
        </w:rPr>
        <w:tab/>
        <w:t>Contribució d</w:t>
      </w:r>
      <w:r>
        <w:rPr>
          <w:lang w:val="ca-ES"/>
        </w:rPr>
        <w:t>’</w:t>
      </w:r>
      <w:r w:rsidRPr="00F92C3D">
        <w:rPr>
          <w:lang w:val="ca-ES"/>
        </w:rPr>
        <w:t>Aquafed.</w:t>
      </w:r>
    </w:p>
  </w:footnote>
  <w:footnote w:id="24">
    <w:p w14:paraId="353DD0F9" w14:textId="71FE88AA"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Satoko Kishimoto, Lavinia Steinfort </w:t>
      </w:r>
      <w:r>
        <w:rPr>
          <w:lang w:val="ca-ES"/>
        </w:rPr>
        <w:t>i</w:t>
      </w:r>
      <w:r w:rsidRPr="002B1C7D">
        <w:rPr>
          <w:lang w:val="en-US"/>
        </w:rPr>
        <w:t xml:space="preserve"> Olivier </w:t>
      </w:r>
      <w:r w:rsidRPr="005637FF">
        <w:rPr>
          <w:lang w:val="fr-BE"/>
        </w:rPr>
        <w:t>Petitjean</w:t>
      </w:r>
      <w:r w:rsidRPr="002B1C7D">
        <w:rPr>
          <w:lang w:val="en-US"/>
        </w:rPr>
        <w:t xml:space="preserve">, eds., </w:t>
      </w:r>
      <w:r w:rsidRPr="002B1C7D">
        <w:rPr>
          <w:i/>
          <w:iCs/>
          <w:lang w:val="en-US"/>
        </w:rPr>
        <w:t>The Future is Public - Towards Democratic Ownership of Public Services</w:t>
      </w:r>
      <w:r w:rsidRPr="002B1C7D">
        <w:rPr>
          <w:lang w:val="en-US"/>
        </w:rPr>
        <w:t xml:space="preserve"> (</w:t>
      </w:r>
      <w:r w:rsidRPr="00F92C3D">
        <w:rPr>
          <w:lang w:val="ca-ES"/>
        </w:rPr>
        <w:t>Amsterdam</w:t>
      </w:r>
      <w:r w:rsidRPr="002B1C7D">
        <w:rPr>
          <w:lang w:val="en-US"/>
        </w:rPr>
        <w:t>, Transnational Institute, 2019).</w:t>
      </w:r>
    </w:p>
  </w:footnote>
  <w:footnote w:id="25">
    <w:p w14:paraId="1F86BBB9" w14:textId="370C3E21"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Lavinia Steinfort, “The 835 reasons not to sign trade and investment agreements”, </w:t>
      </w:r>
      <w:r>
        <w:rPr>
          <w:lang w:val="ca-ES"/>
        </w:rPr>
        <w:t>a</w:t>
      </w:r>
      <w:r w:rsidRPr="002B1C7D">
        <w:rPr>
          <w:lang w:val="en-US"/>
        </w:rPr>
        <w:t xml:space="preserve"> </w:t>
      </w:r>
      <w:r w:rsidRPr="002B1C7D">
        <w:rPr>
          <w:i/>
          <w:iCs/>
          <w:lang w:val="en-US"/>
        </w:rPr>
        <w:t xml:space="preserve">Reclaiming Public Services - </w:t>
      </w:r>
      <w:r w:rsidRPr="005637FF">
        <w:rPr>
          <w:i/>
          <w:iCs/>
          <w:lang w:val="en-GB"/>
        </w:rPr>
        <w:t>How Cities and Citizens Are Turning Back Privatisation</w:t>
      </w:r>
      <w:r w:rsidRPr="002B1C7D">
        <w:rPr>
          <w:lang w:val="en-US"/>
        </w:rPr>
        <w:t xml:space="preserve">, Satoko Kishimoto </w:t>
      </w:r>
      <w:r>
        <w:rPr>
          <w:lang w:val="ca-ES"/>
        </w:rPr>
        <w:t>i</w:t>
      </w:r>
      <w:r w:rsidRPr="002B1C7D">
        <w:rPr>
          <w:lang w:val="en-US"/>
        </w:rPr>
        <w:t xml:space="preserve"> Oliver Petitjean, eds. </w:t>
      </w:r>
      <w:r w:rsidRPr="002B1C7D">
        <w:rPr>
          <w:lang w:val="es-ES_tradnl"/>
        </w:rPr>
        <w:t>(</w:t>
      </w:r>
      <w:r>
        <w:rPr>
          <w:lang w:val="ca-ES"/>
        </w:rPr>
        <w:t>A</w:t>
      </w:r>
      <w:r w:rsidRPr="00F92C3D">
        <w:rPr>
          <w:lang w:val="ca-ES"/>
        </w:rPr>
        <w:t>msterdam</w:t>
      </w:r>
      <w:r w:rsidRPr="002B1C7D">
        <w:rPr>
          <w:lang w:val="es-ES_tradnl"/>
        </w:rPr>
        <w:t xml:space="preserve">, </w:t>
      </w:r>
      <w:r w:rsidRPr="005637FF">
        <w:rPr>
          <w:lang w:val="en-GB"/>
        </w:rPr>
        <w:t>Transnational Institute</w:t>
      </w:r>
      <w:r w:rsidRPr="002B1C7D">
        <w:rPr>
          <w:lang w:val="es-ES_tradnl"/>
        </w:rPr>
        <w:t>, 2017).</w:t>
      </w:r>
    </w:p>
  </w:footnote>
  <w:footnote w:id="26">
    <w:p w14:paraId="0EDC64D4" w14:textId="6DCBE74A"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5637FF">
        <w:rPr>
          <w:lang w:val="fr-BE"/>
        </w:rPr>
        <w:t>Anne</w:t>
      </w:r>
      <w:r w:rsidRPr="002B1C7D">
        <w:rPr>
          <w:lang w:val="es-ES_tradnl"/>
        </w:rPr>
        <w:t xml:space="preserve"> Le </w:t>
      </w:r>
      <w:r w:rsidRPr="005637FF">
        <w:rPr>
          <w:lang w:val="fr-BE"/>
        </w:rPr>
        <w:t>Strat</w:t>
      </w:r>
      <w:r w:rsidRPr="002B1C7D">
        <w:rPr>
          <w:lang w:val="es-ES_tradnl"/>
        </w:rPr>
        <w:t xml:space="preserve">, </w:t>
      </w:r>
      <w:r w:rsidRPr="002B1C7D">
        <w:rPr>
          <w:i/>
          <w:iCs/>
          <w:lang w:val="es-ES_tradnl"/>
        </w:rPr>
        <w:t>Una victoria contra</w:t>
      </w:r>
      <w:r>
        <w:rPr>
          <w:i/>
          <w:iCs/>
          <w:lang w:val="es-ES_tradnl"/>
        </w:rPr>
        <w:t xml:space="preserve"> las </w:t>
      </w:r>
      <w:r w:rsidRPr="002B1C7D">
        <w:rPr>
          <w:i/>
          <w:iCs/>
          <w:lang w:val="es-ES_tradnl"/>
        </w:rPr>
        <w:t>multinacionales: la batalla por el agua de París</w:t>
      </w:r>
      <w:r w:rsidRPr="002B1C7D">
        <w:rPr>
          <w:lang w:val="es-ES_tradnl"/>
        </w:rPr>
        <w:t xml:space="preserve"> </w:t>
      </w:r>
      <w:r>
        <w:rPr>
          <w:lang w:val="ca-ES"/>
        </w:rPr>
        <w:t>(Barcelona, Icà</w:t>
      </w:r>
      <w:r w:rsidRPr="00F92C3D">
        <w:rPr>
          <w:lang w:val="ca-ES"/>
        </w:rPr>
        <w:t>ria,</w:t>
      </w:r>
      <w:r w:rsidRPr="002B1C7D">
        <w:rPr>
          <w:lang w:val="es-ES_tradnl"/>
        </w:rPr>
        <w:t xml:space="preserve"> 2019).</w:t>
      </w:r>
    </w:p>
  </w:footnote>
  <w:footnote w:id="27">
    <w:p w14:paraId="3814CA78" w14:textId="6529E3BE" w:rsidR="00B41CCB" w:rsidRPr="002B1C7D" w:rsidRDefault="00B41CCB" w:rsidP="005637FF">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r>
      <w:r w:rsidRPr="00F92C3D">
        <w:rPr>
          <w:lang w:val="ca-ES"/>
        </w:rPr>
        <w:t>Vegeu</w:t>
      </w:r>
      <w:r w:rsidRPr="002B1C7D">
        <w:rPr>
          <w:lang w:val="en-US"/>
        </w:rPr>
        <w:t xml:space="preserve"> Erik Swyngedouw, “Troubled waters: the political economy of essential public services”, </w:t>
      </w:r>
      <w:r>
        <w:rPr>
          <w:lang w:val="ca-ES"/>
        </w:rPr>
        <w:t>a</w:t>
      </w:r>
      <w:r w:rsidRPr="002B1C7D">
        <w:rPr>
          <w:lang w:val="en-US"/>
        </w:rPr>
        <w:t xml:space="preserve"> </w:t>
      </w:r>
      <w:r w:rsidRPr="002B1C7D">
        <w:rPr>
          <w:i/>
          <w:iCs/>
          <w:lang w:val="en-US"/>
        </w:rPr>
        <w:t>Water and Sanitation Services: Public Policy and Management</w:t>
      </w:r>
      <w:r w:rsidRPr="002B1C7D">
        <w:rPr>
          <w:lang w:val="en-US"/>
        </w:rPr>
        <w:t>, José Est</w:t>
      </w:r>
      <w:r>
        <w:rPr>
          <w:lang w:val="en-US"/>
        </w:rPr>
        <w:t>e</w:t>
      </w:r>
      <w:r w:rsidRPr="002B1C7D">
        <w:rPr>
          <w:lang w:val="en-US"/>
        </w:rPr>
        <w:t xml:space="preserve">ban Castro </w:t>
      </w:r>
      <w:r>
        <w:rPr>
          <w:lang w:val="ca-ES"/>
        </w:rPr>
        <w:t>i</w:t>
      </w:r>
      <w:r w:rsidRPr="002B1C7D">
        <w:rPr>
          <w:lang w:val="en-US"/>
        </w:rPr>
        <w:t xml:space="preserve"> </w:t>
      </w:r>
      <w:r w:rsidRPr="005637FF">
        <w:rPr>
          <w:lang w:val="fr-BE"/>
        </w:rPr>
        <w:t>Léo</w:t>
      </w:r>
      <w:r w:rsidRPr="002B1C7D">
        <w:rPr>
          <w:lang w:val="en-US"/>
        </w:rPr>
        <w:t xml:space="preserve"> Heller, eds. (</w:t>
      </w:r>
      <w:r w:rsidRPr="00F92C3D">
        <w:rPr>
          <w:lang w:val="ca-ES"/>
        </w:rPr>
        <w:t>Londres</w:t>
      </w:r>
      <w:r w:rsidRPr="002B1C7D">
        <w:rPr>
          <w:lang w:val="en-US"/>
        </w:rPr>
        <w:t>, Zed Books, 2009).</w:t>
      </w:r>
    </w:p>
  </w:footnote>
  <w:footnote w:id="28">
    <w:p w14:paraId="10A832F1" w14:textId="460AD034" w:rsidR="00B41CCB" w:rsidRPr="00D239CD" w:rsidRDefault="00B41CCB" w:rsidP="00951712">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Pr>
          <w:lang w:val="en-US"/>
        </w:rPr>
        <w:t xml:space="preserve"> </w:t>
      </w:r>
      <w:r>
        <w:rPr>
          <w:lang w:val="en-US"/>
        </w:rPr>
        <w:tab/>
        <w:t>Isaac W. Wait i</w:t>
      </w:r>
      <w:r w:rsidRPr="002B1C7D">
        <w:rPr>
          <w:lang w:val="en-US"/>
        </w:rPr>
        <w:t xml:space="preserve"> William Adam Petrie, “Comparison of water pricing for publicly and privately owned water utilities in the United States”, </w:t>
      </w:r>
      <w:r w:rsidRPr="002B1C7D">
        <w:rPr>
          <w:i/>
          <w:iCs/>
          <w:lang w:val="en-US"/>
        </w:rPr>
        <w:t>Water International</w:t>
      </w:r>
      <w:r w:rsidRPr="002B1C7D">
        <w:rPr>
          <w:lang w:val="en-US"/>
        </w:rPr>
        <w:t xml:space="preserve">, </w:t>
      </w:r>
      <w:r w:rsidRPr="00D239CD">
        <w:rPr>
          <w:lang w:val="ca-ES"/>
        </w:rPr>
        <w:t>vol. 42, núm. 8 (desembre de</w:t>
      </w:r>
      <w:r>
        <w:rPr>
          <w:lang w:val="ca-ES"/>
        </w:rPr>
        <w:t xml:space="preserve"> </w:t>
      </w:r>
      <w:r w:rsidRPr="00D239CD">
        <w:rPr>
          <w:lang w:val="ca-ES"/>
        </w:rPr>
        <w:t>2017).</w:t>
      </w:r>
    </w:p>
  </w:footnote>
  <w:footnote w:id="29">
    <w:p w14:paraId="1FB6F6C2" w14:textId="505978D4" w:rsidR="00B41CCB" w:rsidRPr="00D239CD" w:rsidRDefault="00B41CCB" w:rsidP="00951712">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José Luis </w:t>
      </w:r>
      <w:r w:rsidRPr="00F61182">
        <w:rPr>
          <w:lang w:val="ca-ES"/>
        </w:rPr>
        <w:t>Guasch</w:t>
      </w:r>
      <w:r w:rsidRPr="002B1C7D">
        <w:rPr>
          <w:lang w:val="en-US"/>
        </w:rPr>
        <w:t xml:space="preserve"> </w:t>
      </w:r>
      <w:r>
        <w:rPr>
          <w:lang w:val="ca-ES"/>
        </w:rPr>
        <w:t>i</w:t>
      </w:r>
      <w:r w:rsidRPr="002B1C7D">
        <w:rPr>
          <w:lang w:val="en-US"/>
        </w:rPr>
        <w:t xml:space="preserve"> </w:t>
      </w:r>
      <w:r w:rsidRPr="00F61182">
        <w:rPr>
          <w:lang w:val="fr-BE"/>
        </w:rPr>
        <w:t>Stéphane</w:t>
      </w:r>
      <w:r w:rsidRPr="002B1C7D">
        <w:rPr>
          <w:lang w:val="en-US"/>
        </w:rPr>
        <w:t xml:space="preserve"> Straub, “Corruption and concession renegotiations: evidence from the water and transport sectors in Latin America”, </w:t>
      </w:r>
      <w:r w:rsidRPr="002B1C7D">
        <w:rPr>
          <w:i/>
          <w:iCs/>
          <w:lang w:val="en-US"/>
        </w:rPr>
        <w:t>Utilities Policy</w:t>
      </w:r>
      <w:r w:rsidRPr="002B1C7D">
        <w:rPr>
          <w:lang w:val="en-US"/>
        </w:rPr>
        <w:t xml:space="preserve">, </w:t>
      </w:r>
      <w:r w:rsidRPr="00D239CD">
        <w:rPr>
          <w:lang w:val="ca-ES"/>
        </w:rPr>
        <w:t>vol. 17, núm. 2 (jun</w:t>
      </w:r>
      <w:r>
        <w:rPr>
          <w:lang w:val="ca-ES"/>
        </w:rPr>
        <w:t>y</w:t>
      </w:r>
      <w:r w:rsidRPr="00D239CD">
        <w:rPr>
          <w:lang w:val="ca-ES"/>
        </w:rPr>
        <w:t xml:space="preserve"> de</w:t>
      </w:r>
      <w:r>
        <w:rPr>
          <w:lang w:val="ca-ES"/>
        </w:rPr>
        <w:t xml:space="preserve"> </w:t>
      </w:r>
      <w:r w:rsidRPr="00D239CD">
        <w:rPr>
          <w:lang w:val="ca-ES"/>
        </w:rPr>
        <w:t>2009).</w:t>
      </w:r>
    </w:p>
  </w:footnote>
  <w:footnote w:id="30">
    <w:p w14:paraId="49253496" w14:textId="1209C79D"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s-ES_tradnl"/>
        </w:rPr>
        <w:t xml:space="preserve"> </w:t>
      </w:r>
      <w:hyperlink r:id="rId17" w:history="1">
        <w:r w:rsidRPr="002B1C7D">
          <w:rPr>
            <w:rStyle w:val="Hyperlink"/>
            <w:lang w:val="es-ES_tradnl"/>
          </w:rPr>
          <w:tab/>
          <w:t>A/HRC/36/45</w:t>
        </w:r>
      </w:hyperlink>
      <w:r w:rsidRPr="002B1C7D">
        <w:rPr>
          <w:lang w:val="es-ES_tradnl"/>
        </w:rPr>
        <w:t xml:space="preserve">, </w:t>
      </w:r>
      <w:r>
        <w:rPr>
          <w:lang w:val="es-ES_tradnl"/>
        </w:rPr>
        <w:t>§</w:t>
      </w:r>
      <w:r w:rsidRPr="002B1C7D">
        <w:rPr>
          <w:lang w:val="es-ES_tradnl"/>
        </w:rPr>
        <w:t xml:space="preserve"> 26.</w:t>
      </w:r>
    </w:p>
  </w:footnote>
  <w:footnote w:id="31">
    <w:p w14:paraId="335F3C9A" w14:textId="129D5544" w:rsidR="00B41CCB" w:rsidRPr="00F61182" w:rsidRDefault="00B41CCB" w:rsidP="00951712">
      <w:pPr>
        <w:pStyle w:val="FootnoteText"/>
        <w:tabs>
          <w:tab w:val="clear" w:pos="418"/>
          <w:tab w:val="right" w:pos="1195"/>
          <w:tab w:val="left" w:pos="1267"/>
          <w:tab w:val="left" w:pos="1742"/>
          <w:tab w:val="left" w:pos="2218"/>
          <w:tab w:val="left" w:pos="2693"/>
        </w:tabs>
        <w:ind w:left="1267" w:right="1267" w:hanging="432"/>
        <w:rPr>
          <w:lang w:val="en-GB"/>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D239CD">
        <w:rPr>
          <w:lang w:val="ca-ES"/>
        </w:rPr>
        <w:t>Vegeu</w:t>
      </w:r>
      <w:r>
        <w:rPr>
          <w:lang w:val="ca-ES"/>
        </w:rPr>
        <w:t>, per exemple</w:t>
      </w:r>
      <w:r w:rsidRPr="00D239CD">
        <w:rPr>
          <w:lang w:val="ca-ES"/>
        </w:rPr>
        <w:t>, l</w:t>
      </w:r>
      <w:r>
        <w:rPr>
          <w:lang w:val="ca-ES"/>
        </w:rPr>
        <w:t>’</w:t>
      </w:r>
      <w:r w:rsidRPr="00D239CD">
        <w:rPr>
          <w:lang w:val="ca-ES"/>
        </w:rPr>
        <w:t>arbitra</w:t>
      </w:r>
      <w:r>
        <w:rPr>
          <w:lang w:val="ca-ES"/>
        </w:rPr>
        <w:t>tge del cas</w:t>
      </w:r>
      <w:r w:rsidRPr="00D239CD">
        <w:rPr>
          <w:lang w:val="ca-ES"/>
        </w:rPr>
        <w:t xml:space="preserve"> de Buenos Aires </w:t>
      </w:r>
      <w:r w:rsidRPr="00F61182">
        <w:rPr>
          <w:lang w:val="ca-ES"/>
        </w:rPr>
        <w:t>pel Centre Internacional d</w:t>
      </w:r>
      <w:r>
        <w:rPr>
          <w:lang w:val="ca-ES"/>
        </w:rPr>
        <w:t>’</w:t>
      </w:r>
      <w:r w:rsidRPr="00F61182">
        <w:rPr>
          <w:lang w:val="ca-ES"/>
        </w:rPr>
        <w:t>Arranjament de Diferències Relatives a Inversions</w:t>
      </w:r>
      <w:r w:rsidRPr="00D239CD">
        <w:rPr>
          <w:lang w:val="ca-ES"/>
        </w:rPr>
        <w:t xml:space="preserve"> </w:t>
      </w:r>
      <w:r>
        <w:rPr>
          <w:lang w:val="ca-ES"/>
        </w:rPr>
        <w:t>a</w:t>
      </w:r>
      <w:r w:rsidRPr="002B1C7D">
        <w:rPr>
          <w:lang w:val="es-ES_tradnl"/>
        </w:rPr>
        <w:t xml:space="preserve"> </w:t>
      </w:r>
      <w:r w:rsidRPr="00F61182">
        <w:rPr>
          <w:lang w:val="en-GB"/>
        </w:rPr>
        <w:t>Luke</w:t>
      </w:r>
      <w:r w:rsidRPr="002B1C7D">
        <w:rPr>
          <w:lang w:val="es-ES_tradnl"/>
        </w:rPr>
        <w:t xml:space="preserve"> Eric Peterson</w:t>
      </w:r>
      <w:r w:rsidRPr="00F61182">
        <w:rPr>
          <w:lang w:val="en-GB"/>
        </w:rPr>
        <w:t>, “Bilateral investment treaties and investment arbitration”</w:t>
      </w:r>
      <w:r w:rsidRPr="002B1C7D">
        <w:rPr>
          <w:lang w:val="es-ES_tradnl"/>
        </w:rPr>
        <w:t xml:space="preserve">, </w:t>
      </w:r>
      <w:r>
        <w:rPr>
          <w:lang w:val="es-ES_tradnl"/>
        </w:rPr>
        <w:t>a</w:t>
      </w:r>
      <w:r w:rsidRPr="002B1C7D">
        <w:rPr>
          <w:lang w:val="es-ES_tradnl"/>
        </w:rPr>
        <w:t xml:space="preserve"> </w:t>
      </w:r>
      <w:r w:rsidRPr="00F61182">
        <w:rPr>
          <w:i/>
          <w:iCs/>
          <w:lang w:val="en-GB"/>
        </w:rPr>
        <w:t>The Human Right to Water: Theory, Practice and Prospects</w:t>
      </w:r>
      <w:r w:rsidRPr="00F61182">
        <w:rPr>
          <w:lang w:val="en-GB"/>
        </w:rPr>
        <w:t>.</w:t>
      </w:r>
    </w:p>
  </w:footnote>
  <w:footnote w:id="32">
    <w:p w14:paraId="67A4BF2D" w14:textId="237FBFA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Eric Gutiérrez, Belinda U. </w:t>
      </w:r>
      <w:r>
        <w:rPr>
          <w:lang w:val="en-US"/>
        </w:rPr>
        <w:t xml:space="preserve">Calaguas, Joanne Blanche Green </w:t>
      </w:r>
      <w:r w:rsidRPr="0009482C">
        <w:rPr>
          <w:lang w:val="ca-ES"/>
        </w:rPr>
        <w:t>i</w:t>
      </w:r>
      <w:r w:rsidRPr="002B1C7D">
        <w:rPr>
          <w:lang w:val="en-US"/>
        </w:rPr>
        <w:t xml:space="preserve"> Virginia Roaf, </w:t>
      </w:r>
      <w:r w:rsidRPr="002B1C7D">
        <w:rPr>
          <w:i/>
          <w:iCs/>
          <w:lang w:val="en-US"/>
        </w:rPr>
        <w:t>New Rules, New Roles: Does PSP Benefit the Poor?</w:t>
      </w:r>
      <w:r w:rsidRPr="002B1C7D">
        <w:rPr>
          <w:lang w:val="en-US"/>
        </w:rPr>
        <w:t xml:space="preserve"> </w:t>
      </w:r>
      <w:r w:rsidRPr="002B1C7D">
        <w:rPr>
          <w:i/>
          <w:iCs/>
          <w:lang w:val="en-US"/>
        </w:rPr>
        <w:t>– synthesis report</w:t>
      </w:r>
      <w:r w:rsidRPr="002B1C7D">
        <w:rPr>
          <w:lang w:val="en-US"/>
        </w:rPr>
        <w:t xml:space="preserve"> (</w:t>
      </w:r>
      <w:r w:rsidRPr="0009482C">
        <w:rPr>
          <w:lang w:val="ca-ES"/>
        </w:rPr>
        <w:t>Londres</w:t>
      </w:r>
      <w:r w:rsidRPr="002B1C7D">
        <w:rPr>
          <w:lang w:val="en-US"/>
        </w:rPr>
        <w:t xml:space="preserve">, Water Aid </w:t>
      </w:r>
      <w:r>
        <w:rPr>
          <w:lang w:val="ca-ES"/>
        </w:rPr>
        <w:t>i</w:t>
      </w:r>
      <w:r w:rsidRPr="002B1C7D">
        <w:rPr>
          <w:lang w:val="en-US"/>
        </w:rPr>
        <w:t xml:space="preserve"> Tearfund, 2003).</w:t>
      </w:r>
    </w:p>
  </w:footnote>
  <w:footnote w:id="33">
    <w:p w14:paraId="36471C61" w14:textId="4B17FD3E" w:rsidR="00B41CCB" w:rsidRPr="002B1C7D" w:rsidRDefault="00B41CCB" w:rsidP="007E1393">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r>
      <w:r>
        <w:rPr>
          <w:lang w:val="ca-ES"/>
        </w:rPr>
        <w:t>Carta dels Relators Especial</w:t>
      </w:r>
      <w:r w:rsidRPr="0009482C">
        <w:rPr>
          <w:lang w:val="ca-ES"/>
        </w:rPr>
        <w:t>s a la Comis</w:t>
      </w:r>
      <w:r>
        <w:rPr>
          <w:lang w:val="ca-ES"/>
        </w:rPr>
        <w:t>sió</w:t>
      </w:r>
      <w:r w:rsidRPr="0009482C">
        <w:rPr>
          <w:lang w:val="ca-ES"/>
        </w:rPr>
        <w:t xml:space="preserve"> de les </w:t>
      </w:r>
      <w:r>
        <w:rPr>
          <w:lang w:val="ca-ES"/>
        </w:rPr>
        <w:t>Nacions Unides pe</w:t>
      </w:r>
      <w:r w:rsidRPr="0009482C">
        <w:rPr>
          <w:lang w:val="ca-ES"/>
        </w:rPr>
        <w:t>r</w:t>
      </w:r>
      <w:r>
        <w:rPr>
          <w:lang w:val="ca-ES"/>
        </w:rPr>
        <w:t xml:space="preserve"> a</w:t>
      </w:r>
      <w:r w:rsidRPr="0009482C">
        <w:rPr>
          <w:lang w:val="ca-ES"/>
        </w:rPr>
        <w:t>l D</w:t>
      </w:r>
      <w:r>
        <w:rPr>
          <w:lang w:val="ca-ES"/>
        </w:rPr>
        <w:t xml:space="preserve">ret </w:t>
      </w:r>
      <w:r w:rsidRPr="0009482C">
        <w:rPr>
          <w:lang w:val="ca-ES"/>
        </w:rPr>
        <w:t>Mercan</w:t>
      </w:r>
      <w:r>
        <w:rPr>
          <w:lang w:val="ca-ES"/>
        </w:rPr>
        <w:t>til Internacional. Disponible a</w:t>
      </w:r>
      <w:r w:rsidRPr="0009482C">
        <w:rPr>
          <w:lang w:val="ca-ES"/>
        </w:rPr>
        <w:t xml:space="preserve"> </w:t>
      </w:r>
      <w:hyperlink r:id="rId18" w:history="1">
        <w:r w:rsidRPr="002B1C7D">
          <w:rPr>
            <w:rStyle w:val="Hyperlink"/>
            <w:lang w:val="es-ES_tradnl"/>
          </w:rPr>
          <w:t>www.ohchr.org/Documents/Issues/Development/IEDebt/OL_ARM_</w:t>
        </w:r>
        <w:r w:rsidRPr="002B1C7D">
          <w:rPr>
            <w:rStyle w:val="Hyperlink"/>
            <w:lang w:val="es-ES_tradnl"/>
          </w:rPr>
          <w:br/>
          <w:t>07.03.19_1.2019.pdf</w:t>
        </w:r>
      </w:hyperlink>
      <w:r w:rsidRPr="002B1C7D">
        <w:rPr>
          <w:lang w:val="es-ES_tradnl"/>
        </w:rPr>
        <w:t>.</w:t>
      </w:r>
    </w:p>
  </w:footnote>
  <w:footnote w:id="34">
    <w:p w14:paraId="611898D1"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David A. McDonald, </w:t>
      </w:r>
      <w:r w:rsidRPr="0009482C">
        <w:rPr>
          <w:lang w:val="en-GB"/>
        </w:rPr>
        <w:t xml:space="preserve">“Remunicipalization: The future of water services?”, </w:t>
      </w:r>
      <w:r w:rsidRPr="0009482C">
        <w:rPr>
          <w:i/>
          <w:iCs/>
          <w:lang w:val="en-GB"/>
        </w:rPr>
        <w:t>Geoforum</w:t>
      </w:r>
      <w:r w:rsidRPr="0009482C">
        <w:rPr>
          <w:lang w:val="en-GB"/>
        </w:rPr>
        <w:t>,</w:t>
      </w:r>
      <w:r w:rsidRPr="002B1C7D">
        <w:rPr>
          <w:lang w:val="en-US"/>
        </w:rPr>
        <w:t xml:space="preserve"> vol. 91 (2018).</w:t>
      </w:r>
    </w:p>
  </w:footnote>
  <w:footnote w:id="35">
    <w:p w14:paraId="07AB7321" w14:textId="77777777" w:rsidR="00B41CCB" w:rsidRPr="0009482C"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n-US"/>
        </w:rPr>
        <w:t xml:space="preserve"> </w:t>
      </w:r>
      <w:r w:rsidRPr="0009482C">
        <w:rPr>
          <w:lang w:val="en-GB"/>
        </w:rPr>
        <w:tab/>
        <w:t>Cristy Clark, “Of what use is a deradicalized human right to water?”</w:t>
      </w:r>
      <w:r w:rsidRPr="002B1C7D">
        <w:rPr>
          <w:lang w:val="en-US"/>
        </w:rPr>
        <w:t xml:space="preserve">, </w:t>
      </w:r>
      <w:r w:rsidRPr="002B1C7D">
        <w:rPr>
          <w:i/>
          <w:iCs/>
          <w:lang w:val="en-US"/>
        </w:rPr>
        <w:t>Human Rights Law Review</w:t>
      </w:r>
      <w:r w:rsidRPr="002B1C7D">
        <w:rPr>
          <w:lang w:val="en-US"/>
        </w:rPr>
        <w:t xml:space="preserve">, </w:t>
      </w:r>
      <w:r w:rsidRPr="0009482C">
        <w:rPr>
          <w:lang w:val="ca-ES"/>
        </w:rPr>
        <w:t>vol. 17, núm. 2 (2017).</w:t>
      </w:r>
    </w:p>
  </w:footnote>
  <w:footnote w:id="36">
    <w:p w14:paraId="576C6D5D" w14:textId="77777777" w:rsidR="00B41CCB" w:rsidRPr="0009482C"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Stephen Tully, “A human right to access water? A critique of general comment No. 15”, </w:t>
      </w:r>
      <w:r w:rsidRPr="002B1C7D">
        <w:rPr>
          <w:i/>
          <w:iCs/>
          <w:lang w:val="en-US"/>
        </w:rPr>
        <w:t>Netherlands Quarterly of Human Rights</w:t>
      </w:r>
      <w:r w:rsidRPr="002B1C7D">
        <w:rPr>
          <w:lang w:val="en-US"/>
        </w:rPr>
        <w:t xml:space="preserve">, </w:t>
      </w:r>
      <w:r w:rsidRPr="0009482C">
        <w:rPr>
          <w:lang w:val="ca-ES"/>
        </w:rPr>
        <w:t>vol. 23, núm. 1 (2005).</w:t>
      </w:r>
    </w:p>
  </w:footnote>
  <w:footnote w:id="37">
    <w:p w14:paraId="75AC6159" w14:textId="2FE183BB" w:rsidR="00B41CCB" w:rsidRPr="0009482C" w:rsidRDefault="00B41CCB" w:rsidP="007E1393">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r>
      <w:r w:rsidRPr="0009482C">
        <w:rPr>
          <w:lang w:val="ca-ES"/>
        </w:rPr>
        <w:t>Vegeu</w:t>
      </w:r>
      <w:r w:rsidRPr="007E1393">
        <w:rPr>
          <w:lang w:val="fr-BE"/>
        </w:rPr>
        <w:t xml:space="preserve"> Anne Le Strat</w:t>
      </w:r>
      <w:r w:rsidRPr="002B1C7D">
        <w:rPr>
          <w:lang w:val="es-ES_tradnl"/>
        </w:rPr>
        <w:t xml:space="preserve">, </w:t>
      </w:r>
      <w:r w:rsidRPr="002B1C7D">
        <w:rPr>
          <w:i/>
          <w:iCs/>
          <w:lang w:val="es-ES_tradnl"/>
        </w:rPr>
        <w:t>Una victoria contra</w:t>
      </w:r>
      <w:r>
        <w:rPr>
          <w:i/>
          <w:iCs/>
          <w:lang w:val="es-ES_tradnl"/>
        </w:rPr>
        <w:t xml:space="preserve"> las </w:t>
      </w:r>
      <w:r w:rsidRPr="002B1C7D">
        <w:rPr>
          <w:i/>
          <w:iCs/>
          <w:lang w:val="es-ES_tradnl"/>
        </w:rPr>
        <w:t>multinacionales</w:t>
      </w:r>
      <w:r>
        <w:rPr>
          <w:lang w:val="ca-ES"/>
        </w:rPr>
        <w:t>, en referència a un cas</w:t>
      </w:r>
      <w:r w:rsidRPr="0009482C">
        <w:rPr>
          <w:lang w:val="ca-ES"/>
        </w:rPr>
        <w:t xml:space="preserve"> </w:t>
      </w:r>
      <w:r>
        <w:rPr>
          <w:lang w:val="ca-ES"/>
        </w:rPr>
        <w:t xml:space="preserve">a </w:t>
      </w:r>
      <w:r w:rsidRPr="0009482C">
        <w:rPr>
          <w:lang w:val="ca-ES"/>
        </w:rPr>
        <w:t>Fran</w:t>
      </w:r>
      <w:r>
        <w:rPr>
          <w:lang w:val="ca-ES"/>
        </w:rPr>
        <w:t>ç</w:t>
      </w:r>
      <w:r w:rsidRPr="0009482C">
        <w:rPr>
          <w:lang w:val="ca-ES"/>
        </w:rPr>
        <w:t>a.</w:t>
      </w:r>
    </w:p>
  </w:footnote>
  <w:footnote w:id="38">
    <w:p w14:paraId="711F87FE" w14:textId="44CDD7EA" w:rsidR="00B41CCB" w:rsidRPr="002B1C7D" w:rsidRDefault="00B41CCB" w:rsidP="007E1393">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hyperlink r:id="rId19" w:history="1">
        <w:r w:rsidRPr="002B1C7D">
          <w:rPr>
            <w:rStyle w:val="Hyperlink"/>
            <w:lang w:val="es-ES_tradnl"/>
          </w:rPr>
          <w:tab/>
          <w:t>A/HRC/27/55</w:t>
        </w:r>
      </w:hyperlink>
      <w:r w:rsidRPr="002B1C7D">
        <w:rPr>
          <w:lang w:val="es-ES_tradnl"/>
        </w:rPr>
        <w:t xml:space="preserve">, </w:t>
      </w:r>
      <w:r>
        <w:rPr>
          <w:lang w:val="es-ES_tradnl"/>
        </w:rPr>
        <w:t>§</w:t>
      </w:r>
      <w:r w:rsidRPr="002B1C7D">
        <w:rPr>
          <w:lang w:val="es-ES_tradnl"/>
        </w:rPr>
        <w:t xml:space="preserve"> 46 </w:t>
      </w:r>
      <w:r>
        <w:rPr>
          <w:lang w:val="es-ES_tradnl"/>
        </w:rPr>
        <w:t>i</w:t>
      </w:r>
      <w:r w:rsidRPr="002B1C7D">
        <w:rPr>
          <w:lang w:val="es-ES_tradnl"/>
        </w:rPr>
        <w:t xml:space="preserve"> 48.</w:t>
      </w:r>
    </w:p>
  </w:footnote>
  <w:footnote w:id="39">
    <w:p w14:paraId="61B1146E" w14:textId="15ABC921"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hyperlink r:id="rId20" w:history="1">
        <w:r w:rsidRPr="002B1C7D">
          <w:rPr>
            <w:rStyle w:val="Hyperlink"/>
            <w:lang w:val="es-ES_tradnl"/>
          </w:rPr>
          <w:tab/>
          <w:t>A/HRC/45/10</w:t>
        </w:r>
      </w:hyperlink>
      <w:r w:rsidRPr="002B1C7D">
        <w:rPr>
          <w:lang w:val="es-ES_tradnl"/>
        </w:rPr>
        <w:t>.</w:t>
      </w:r>
    </w:p>
  </w:footnote>
  <w:footnote w:id="40">
    <w:p w14:paraId="6169B539" w14:textId="326C850A"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hyperlink r:id="rId21" w:history="1">
        <w:r w:rsidRPr="002B1C7D">
          <w:rPr>
            <w:rStyle w:val="Hyperlink"/>
            <w:lang w:val="en-US"/>
          </w:rPr>
          <w:tab/>
          <w:t>A/HRC/24/44</w:t>
        </w:r>
      </w:hyperlink>
      <w:r w:rsidRPr="002B1C7D">
        <w:rPr>
          <w:lang w:val="en-US"/>
        </w:rPr>
        <w:t xml:space="preserve">, </w:t>
      </w:r>
      <w:r>
        <w:rPr>
          <w:lang w:val="en-US"/>
        </w:rPr>
        <w:t>§</w:t>
      </w:r>
      <w:r w:rsidRPr="002B1C7D">
        <w:rPr>
          <w:lang w:val="en-US"/>
        </w:rPr>
        <w:t xml:space="preserve"> 44.</w:t>
      </w:r>
    </w:p>
  </w:footnote>
  <w:footnote w:id="41">
    <w:p w14:paraId="2F5A2FD0" w14:textId="1A47A456"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r>
      <w:r w:rsidRPr="00C365A6">
        <w:rPr>
          <w:lang w:val="ca-ES"/>
        </w:rPr>
        <w:t>Vegeu</w:t>
      </w:r>
      <w:r w:rsidRPr="002B1C7D">
        <w:rPr>
          <w:lang w:val="en-US"/>
        </w:rPr>
        <w:t xml:space="preserve"> Manfred Nowak, </w:t>
      </w:r>
      <w:r w:rsidRPr="002B1C7D">
        <w:rPr>
          <w:i/>
          <w:iCs/>
          <w:lang w:val="en-US"/>
        </w:rPr>
        <w:t>Human Rights or Global Capitalism: The Limits of Privatization</w:t>
      </w:r>
      <w:r w:rsidRPr="002B1C7D">
        <w:rPr>
          <w:lang w:val="en-US"/>
        </w:rPr>
        <w:t xml:space="preserve"> (</w:t>
      </w:r>
      <w:r w:rsidRPr="00C365A6">
        <w:rPr>
          <w:lang w:val="ca-ES"/>
        </w:rPr>
        <w:t>Filadèlfia</w:t>
      </w:r>
      <w:r w:rsidRPr="002B1C7D">
        <w:rPr>
          <w:lang w:val="en-US"/>
        </w:rPr>
        <w:t>, University of Pennsylvania Press, 2017).</w:t>
      </w:r>
    </w:p>
  </w:footnote>
  <w:footnote w:id="42">
    <w:p w14:paraId="31E90BD1" w14:textId="7081D3C3" w:rsidR="00233BCF" w:rsidRPr="00CA78F9" w:rsidRDefault="00233BCF" w:rsidP="004C6C88">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CA78F9">
        <w:rPr>
          <w:rStyle w:val="FootnoteReference"/>
          <w:lang w:val="es-ES_tradnl"/>
        </w:rPr>
        <w:footnoteRef/>
      </w:r>
      <w:r w:rsidRPr="00CA78F9">
        <w:rPr>
          <w:lang w:val="en-US"/>
        </w:rPr>
        <w:t xml:space="preserve"> </w:t>
      </w:r>
      <w:r w:rsidRPr="00CA78F9">
        <w:rPr>
          <w:lang w:val="en-US"/>
        </w:rPr>
        <w:tab/>
      </w:r>
      <w:r w:rsidRPr="004C6C88">
        <w:rPr>
          <w:lang w:val="ca-ES"/>
        </w:rPr>
        <w:t>Contribució</w:t>
      </w:r>
      <w:r w:rsidRPr="00CA78F9">
        <w:rPr>
          <w:lang w:val="en-US"/>
        </w:rPr>
        <w:t xml:space="preserve"> de Brazilian Association of Private Concessionaires of Public Water and Sewage Services.</w:t>
      </w:r>
    </w:p>
  </w:footnote>
  <w:footnote w:id="43">
    <w:p w14:paraId="54770ED1" w14:textId="371AEC0C" w:rsidR="00233BCF" w:rsidRPr="00D76507" w:rsidRDefault="00233BCF" w:rsidP="007715A3">
      <w:pPr>
        <w:pStyle w:val="FootnoteText"/>
        <w:tabs>
          <w:tab w:val="clear" w:pos="418"/>
          <w:tab w:val="right" w:pos="1195"/>
          <w:tab w:val="left" w:pos="1267"/>
          <w:tab w:val="left" w:pos="1742"/>
          <w:tab w:val="left" w:pos="2218"/>
          <w:tab w:val="left" w:pos="2693"/>
        </w:tabs>
        <w:ind w:left="1267" w:right="1267" w:hanging="432"/>
        <w:rPr>
          <w:lang w:val="ca-ES"/>
        </w:rPr>
      </w:pPr>
      <w:r w:rsidRPr="00CA78F9">
        <w:rPr>
          <w:lang w:val="en-US"/>
        </w:rPr>
        <w:tab/>
      </w:r>
      <w:r w:rsidRPr="00CA78F9">
        <w:rPr>
          <w:rStyle w:val="FootnoteReference"/>
          <w:lang w:val="es-ES_tradnl"/>
        </w:rPr>
        <w:footnoteRef/>
      </w:r>
      <w:r w:rsidRPr="00CA78F9">
        <w:rPr>
          <w:lang w:val="en-US"/>
        </w:rPr>
        <w:t xml:space="preserve"> </w:t>
      </w:r>
      <w:r w:rsidRPr="00CA78F9">
        <w:rPr>
          <w:lang w:val="en-US"/>
        </w:rPr>
        <w:tab/>
        <w:t xml:space="preserve">Philippe Marin, </w:t>
      </w:r>
      <w:r w:rsidRPr="00CA78F9">
        <w:rPr>
          <w:i/>
          <w:iCs/>
          <w:lang w:val="en-US"/>
        </w:rPr>
        <w:t>Public-Private Partnerships for Urban Water Utilities: A Review of Experiences in Developing Countries</w:t>
      </w:r>
      <w:r w:rsidRPr="00CA78F9">
        <w:rPr>
          <w:lang w:val="en-US"/>
        </w:rPr>
        <w:t xml:space="preserve">, </w:t>
      </w:r>
      <w:r w:rsidRPr="007715A3">
        <w:rPr>
          <w:highlight w:val="yellow"/>
        </w:rPr>
        <w:t>Tendencias y opciones de políticas</w:t>
      </w:r>
      <w:r w:rsidRPr="00D76507">
        <w:rPr>
          <w:lang w:val="ca-ES"/>
        </w:rPr>
        <w:t>, núm. 8</w:t>
      </w:r>
      <w:r>
        <w:rPr>
          <w:lang w:val="ca-ES"/>
        </w:rPr>
        <w:t xml:space="preserve"> (Washington D. C., Banc</w:t>
      </w:r>
      <w:r w:rsidRPr="00D76507">
        <w:rPr>
          <w:lang w:val="ca-ES"/>
        </w:rPr>
        <w:t xml:space="preserve"> Mundial, 2009).</w:t>
      </w:r>
    </w:p>
  </w:footnote>
  <w:footnote w:id="44">
    <w:p w14:paraId="7680431C" w14:textId="77777777" w:rsidR="00233BCF" w:rsidRPr="00CA78F9" w:rsidRDefault="00233BCF" w:rsidP="007E16DC">
      <w:pPr>
        <w:pStyle w:val="FootnoteText"/>
        <w:tabs>
          <w:tab w:val="clear" w:pos="418"/>
          <w:tab w:val="right" w:pos="1195"/>
          <w:tab w:val="left" w:pos="1267"/>
          <w:tab w:val="left" w:pos="1742"/>
          <w:tab w:val="left" w:pos="2218"/>
          <w:tab w:val="left" w:pos="2693"/>
        </w:tabs>
        <w:ind w:left="1267" w:right="1267" w:hanging="432"/>
        <w:rPr>
          <w:lang w:val="en-US"/>
        </w:rPr>
      </w:pPr>
      <w:r w:rsidRPr="00CA78F9">
        <w:rPr>
          <w:lang w:val="en-US"/>
        </w:rPr>
        <w:tab/>
      </w:r>
      <w:r w:rsidRPr="00CA78F9">
        <w:rPr>
          <w:rStyle w:val="FootnoteReference"/>
          <w:lang w:val="es-ES_tradnl"/>
        </w:rPr>
        <w:footnoteRef/>
      </w:r>
      <w:r w:rsidRPr="00CA78F9">
        <w:rPr>
          <w:lang w:val="en-US"/>
        </w:rPr>
        <w:t xml:space="preserve"> </w:t>
      </w:r>
      <w:r w:rsidRPr="00CA78F9">
        <w:rPr>
          <w:lang w:val="en-US"/>
        </w:rPr>
        <w:tab/>
        <w:t xml:space="preserve">Eric Gutiérrez </w:t>
      </w:r>
      <w:r w:rsidRPr="00CA78F9">
        <w:rPr>
          <w:i/>
          <w:iCs/>
          <w:lang w:val="en-US"/>
        </w:rPr>
        <w:t>et al.</w:t>
      </w:r>
      <w:r w:rsidRPr="00CA78F9">
        <w:rPr>
          <w:lang w:val="en-US"/>
        </w:rPr>
        <w:t xml:space="preserve">, </w:t>
      </w:r>
      <w:r w:rsidRPr="00CA78F9">
        <w:rPr>
          <w:i/>
          <w:iCs/>
          <w:lang w:val="en-US"/>
        </w:rPr>
        <w:t>New Rules, New Roles.</w:t>
      </w:r>
    </w:p>
  </w:footnote>
  <w:footnote w:id="45">
    <w:p w14:paraId="319B8B8C" w14:textId="77777777" w:rsidR="00233BCF" w:rsidRPr="004C6C88" w:rsidRDefault="00233BCF" w:rsidP="007E16DC">
      <w:pPr>
        <w:pStyle w:val="FootnoteText"/>
        <w:tabs>
          <w:tab w:val="clear" w:pos="418"/>
          <w:tab w:val="right" w:pos="1195"/>
          <w:tab w:val="left" w:pos="1267"/>
          <w:tab w:val="left" w:pos="1742"/>
          <w:tab w:val="left" w:pos="2218"/>
          <w:tab w:val="left" w:pos="2693"/>
        </w:tabs>
        <w:ind w:left="1267" w:right="1267" w:hanging="432"/>
        <w:rPr>
          <w:lang w:val="ca-ES"/>
        </w:rPr>
      </w:pPr>
      <w:r w:rsidRPr="00CA78F9">
        <w:rPr>
          <w:lang w:val="en-US"/>
        </w:rPr>
        <w:tab/>
      </w:r>
      <w:r w:rsidRPr="00CA78F9">
        <w:rPr>
          <w:rStyle w:val="FootnoteReference"/>
          <w:lang w:val="es-ES_tradnl"/>
        </w:rPr>
        <w:footnoteRef/>
      </w:r>
      <w:r w:rsidRPr="00CA78F9">
        <w:rPr>
          <w:lang w:val="en-US"/>
        </w:rPr>
        <w:t xml:space="preserve"> </w:t>
      </w:r>
      <w:r w:rsidRPr="00CA78F9">
        <w:rPr>
          <w:lang w:val="en-US"/>
        </w:rPr>
        <w:tab/>
        <w:t xml:space="preserve">José Esteban Castro, “Neoliberal water and sanitation policies as a failed development strategy: lessons from developing countries”, </w:t>
      </w:r>
      <w:r w:rsidRPr="00CA78F9">
        <w:rPr>
          <w:i/>
          <w:iCs/>
          <w:lang w:val="en-US"/>
        </w:rPr>
        <w:t>Progress in Development Studies</w:t>
      </w:r>
      <w:r w:rsidRPr="00CA78F9">
        <w:rPr>
          <w:lang w:val="en-US"/>
        </w:rPr>
        <w:t xml:space="preserve">, </w:t>
      </w:r>
      <w:r w:rsidRPr="004C6C88">
        <w:rPr>
          <w:lang w:val="ca-ES"/>
        </w:rPr>
        <w:t>vol. 8, núm. 1 (2008).</w:t>
      </w:r>
    </w:p>
  </w:footnote>
  <w:footnote w:id="46">
    <w:p w14:paraId="374555CC" w14:textId="7ED44DF0" w:rsidR="00B41CCB" w:rsidRPr="00CA78F9"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CA78F9">
        <w:rPr>
          <w:lang w:val="en-US"/>
        </w:rPr>
        <w:tab/>
      </w:r>
      <w:r w:rsidRPr="00CA78F9">
        <w:rPr>
          <w:rStyle w:val="FootnoteReference"/>
          <w:lang w:val="es-ES_tradnl"/>
        </w:rPr>
        <w:footnoteRef/>
      </w:r>
      <w:r w:rsidRPr="00CA78F9">
        <w:rPr>
          <w:lang w:val="es-ES_tradnl"/>
        </w:rPr>
        <w:t xml:space="preserve"> </w:t>
      </w:r>
      <w:r w:rsidRPr="00CA78F9">
        <w:rPr>
          <w:lang w:val="es-ES_tradnl"/>
        </w:rPr>
        <w:tab/>
      </w:r>
      <w:hyperlink r:id="rId22" w:history="1">
        <w:r w:rsidRPr="00CA78F9">
          <w:rPr>
            <w:rStyle w:val="Hyperlink"/>
            <w:lang w:val="es-ES_tradnl"/>
          </w:rPr>
          <w:t>A/HRC/28/73</w:t>
        </w:r>
      </w:hyperlink>
      <w:r w:rsidRPr="00CA78F9">
        <w:rPr>
          <w:lang w:val="es-ES_tradnl"/>
        </w:rPr>
        <w:t xml:space="preserve">, </w:t>
      </w:r>
      <w:r>
        <w:rPr>
          <w:lang w:val="es-ES_tradnl"/>
        </w:rPr>
        <w:t>§</w:t>
      </w:r>
      <w:r w:rsidRPr="00CA78F9">
        <w:rPr>
          <w:lang w:val="es-ES_tradnl"/>
        </w:rPr>
        <w:t xml:space="preserve"> 20 c).</w:t>
      </w:r>
    </w:p>
  </w:footnote>
  <w:footnote w:id="47">
    <w:p w14:paraId="79F94813" w14:textId="062731EC" w:rsidR="00B41CCB" w:rsidRPr="004C6C88" w:rsidRDefault="00B41CCB" w:rsidP="007E16DC">
      <w:pPr>
        <w:pStyle w:val="FootnoteText"/>
        <w:tabs>
          <w:tab w:val="clear" w:pos="418"/>
          <w:tab w:val="right" w:pos="1195"/>
          <w:tab w:val="left" w:pos="1267"/>
          <w:tab w:val="left" w:pos="1742"/>
          <w:tab w:val="left" w:pos="2218"/>
          <w:tab w:val="left" w:pos="2693"/>
        </w:tabs>
        <w:spacing w:line="202" w:lineRule="exact"/>
        <w:ind w:left="1267" w:right="1267" w:hanging="432"/>
        <w:rPr>
          <w:lang w:val="ca-ES"/>
        </w:rPr>
      </w:pPr>
      <w:r w:rsidRPr="00CA78F9">
        <w:rPr>
          <w:lang w:val="es-ES_tradnl"/>
        </w:rPr>
        <w:tab/>
      </w:r>
      <w:r w:rsidRPr="00CA78F9">
        <w:rPr>
          <w:rStyle w:val="FootnoteReference"/>
          <w:lang w:val="es-ES_tradnl"/>
        </w:rPr>
        <w:footnoteRef/>
      </w:r>
      <w:r w:rsidRPr="00CA78F9">
        <w:rPr>
          <w:lang w:val="es-ES_tradnl"/>
        </w:rPr>
        <w:t xml:space="preserve"> </w:t>
      </w:r>
      <w:r w:rsidRPr="00CA78F9">
        <w:rPr>
          <w:lang w:val="es-ES_tradnl"/>
        </w:rPr>
        <w:tab/>
      </w:r>
      <w:r w:rsidRPr="004C6C88">
        <w:rPr>
          <w:i/>
          <w:iCs/>
          <w:lang w:val="la-Latn"/>
        </w:rPr>
        <w:t>Ibid</w:t>
      </w:r>
      <w:r w:rsidRPr="004C6C88">
        <w:rPr>
          <w:i/>
          <w:iCs/>
          <w:lang w:val="ca-ES"/>
        </w:rPr>
        <w:t>.</w:t>
      </w:r>
      <w:r w:rsidRPr="004C6C88">
        <w:rPr>
          <w:lang w:val="ca-ES"/>
        </w:rPr>
        <w:t>, § 8.</w:t>
      </w:r>
    </w:p>
  </w:footnote>
  <w:footnote w:id="48">
    <w:p w14:paraId="6B4F005A" w14:textId="6311C8B5" w:rsidR="00B41CCB" w:rsidRPr="004C6C88" w:rsidRDefault="00B41CCB" w:rsidP="004C6C88">
      <w:pPr>
        <w:pStyle w:val="FootnoteText"/>
        <w:tabs>
          <w:tab w:val="clear" w:pos="418"/>
          <w:tab w:val="right" w:pos="1195"/>
          <w:tab w:val="left" w:pos="1267"/>
          <w:tab w:val="left" w:pos="1742"/>
          <w:tab w:val="left" w:pos="2218"/>
          <w:tab w:val="left" w:pos="2693"/>
        </w:tabs>
        <w:spacing w:line="202" w:lineRule="exact"/>
        <w:ind w:left="1267" w:right="1267" w:hanging="432"/>
        <w:rPr>
          <w:lang w:val="ca-ES"/>
        </w:rPr>
      </w:pPr>
      <w:r w:rsidRPr="004C6C88">
        <w:rPr>
          <w:lang w:val="ca-ES"/>
        </w:rPr>
        <w:tab/>
      </w:r>
      <w:r w:rsidRPr="004C6C88">
        <w:rPr>
          <w:rStyle w:val="FootnoteReference"/>
          <w:lang w:val="ca-ES"/>
        </w:rPr>
        <w:footnoteRef/>
      </w:r>
      <w:r>
        <w:rPr>
          <w:lang w:val="ca-ES"/>
        </w:rPr>
        <w:t xml:space="preserve"> </w:t>
      </w:r>
      <w:r>
        <w:rPr>
          <w:lang w:val="ca-ES"/>
        </w:rPr>
        <w:tab/>
        <w:t>Contribucion</w:t>
      </w:r>
      <w:r w:rsidRPr="004C6C88">
        <w:rPr>
          <w:lang w:val="ca-ES"/>
        </w:rPr>
        <w:t>s de</w:t>
      </w:r>
      <w:r w:rsidRPr="00CA78F9">
        <w:rPr>
          <w:lang w:val="es-ES_tradnl"/>
        </w:rPr>
        <w:t xml:space="preserve"> </w:t>
      </w:r>
      <w:r w:rsidRPr="00D76507">
        <w:rPr>
          <w:lang w:val="en-US"/>
        </w:rPr>
        <w:t>Food &amp; Water Watch</w:t>
      </w:r>
      <w:r w:rsidRPr="00D76507">
        <w:rPr>
          <w:lang w:val="es-ES_tradnl"/>
        </w:rPr>
        <w:t xml:space="preserve">, </w:t>
      </w:r>
      <w:r w:rsidRPr="00D76507">
        <w:rPr>
          <w:lang w:val="ca-ES"/>
        </w:rPr>
        <w:t xml:space="preserve">d’Eulalio i </w:t>
      </w:r>
      <w:r w:rsidRPr="00D76507">
        <w:rPr>
          <w:lang w:val="en-US"/>
        </w:rPr>
        <w:t>Italian Forum</w:t>
      </w:r>
      <w:r w:rsidRPr="00D76507">
        <w:rPr>
          <w:lang w:val="ca-ES"/>
        </w:rPr>
        <w:t>.</w:t>
      </w:r>
    </w:p>
  </w:footnote>
  <w:footnote w:id="49">
    <w:p w14:paraId="50CD7BD9" w14:textId="1C970324" w:rsidR="00B41CCB" w:rsidRPr="004C6C88" w:rsidRDefault="00B41CCB" w:rsidP="004C6C88">
      <w:pPr>
        <w:pStyle w:val="FootnoteText"/>
        <w:tabs>
          <w:tab w:val="clear" w:pos="418"/>
          <w:tab w:val="right" w:pos="1195"/>
          <w:tab w:val="left" w:pos="1267"/>
          <w:tab w:val="left" w:pos="1742"/>
          <w:tab w:val="left" w:pos="2218"/>
          <w:tab w:val="left" w:pos="2693"/>
        </w:tabs>
        <w:spacing w:line="202" w:lineRule="exact"/>
        <w:ind w:left="1267" w:right="1267" w:hanging="432"/>
        <w:rPr>
          <w:lang w:val="ca-ES"/>
        </w:rPr>
      </w:pPr>
      <w:r w:rsidRPr="00CA78F9">
        <w:rPr>
          <w:lang w:val="es-ES_tradnl"/>
        </w:rPr>
        <w:tab/>
      </w:r>
      <w:r w:rsidRPr="00CA78F9">
        <w:rPr>
          <w:rStyle w:val="FootnoteReference"/>
          <w:lang w:val="es-ES_tradnl"/>
        </w:rPr>
        <w:footnoteRef/>
      </w:r>
      <w:r w:rsidRPr="00CA78F9">
        <w:rPr>
          <w:lang w:val="es-ES_tradnl"/>
        </w:rPr>
        <w:t xml:space="preserve"> </w:t>
      </w:r>
      <w:r w:rsidRPr="004C6C88">
        <w:rPr>
          <w:lang w:val="ca-ES"/>
        </w:rPr>
        <w:tab/>
        <w:t>Tribunal de Cassació</w:t>
      </w:r>
      <w:r>
        <w:rPr>
          <w:lang w:val="ca-ES"/>
        </w:rPr>
        <w:t>, sala</w:t>
      </w:r>
      <w:r w:rsidRPr="004C6C88">
        <w:rPr>
          <w:lang w:val="ca-ES"/>
        </w:rPr>
        <w:t xml:space="preserve"> penal (Fran</w:t>
      </w:r>
      <w:r>
        <w:rPr>
          <w:lang w:val="ca-ES"/>
        </w:rPr>
        <w:t>ça), sentè</w:t>
      </w:r>
      <w:r w:rsidRPr="004C6C88">
        <w:rPr>
          <w:lang w:val="ca-ES"/>
        </w:rPr>
        <w:t>ncia del 8 d</w:t>
      </w:r>
      <w:r>
        <w:rPr>
          <w:lang w:val="ca-ES"/>
        </w:rPr>
        <w:t>’</w:t>
      </w:r>
      <w:r w:rsidRPr="004C6C88">
        <w:rPr>
          <w:lang w:val="ca-ES"/>
        </w:rPr>
        <w:t>abril de 1999, recurs núm. 060 98-84539.</w:t>
      </w:r>
    </w:p>
  </w:footnote>
  <w:footnote w:id="50">
    <w:p w14:paraId="7615171C" w14:textId="59DDD6C9" w:rsidR="00B41CCB" w:rsidRPr="002B1C7D" w:rsidRDefault="00B41CCB" w:rsidP="004C6C88">
      <w:pPr>
        <w:pStyle w:val="FootnoteText"/>
        <w:tabs>
          <w:tab w:val="clear" w:pos="418"/>
          <w:tab w:val="right" w:pos="1195"/>
          <w:tab w:val="left" w:pos="1267"/>
          <w:tab w:val="left" w:pos="1742"/>
          <w:tab w:val="left" w:pos="2218"/>
          <w:tab w:val="left" w:pos="2693"/>
        </w:tabs>
        <w:spacing w:line="202" w:lineRule="exact"/>
        <w:ind w:left="1267" w:right="1267" w:hanging="432"/>
        <w:rPr>
          <w:lang w:val="en-US"/>
        </w:rPr>
      </w:pPr>
      <w:r w:rsidRPr="004C6C88">
        <w:rPr>
          <w:lang w:val="ca-ES"/>
        </w:rPr>
        <w:tab/>
      </w:r>
      <w:r w:rsidRPr="004C6C88">
        <w:rPr>
          <w:rStyle w:val="FootnoteReference"/>
          <w:lang w:val="ca-ES"/>
        </w:rPr>
        <w:footnoteRef/>
      </w:r>
      <w:r w:rsidRPr="004C6C88">
        <w:rPr>
          <w:lang w:val="ca-ES"/>
        </w:rPr>
        <w:t xml:space="preserve"> </w:t>
      </w:r>
      <w:r w:rsidRPr="004C6C88">
        <w:rPr>
          <w:lang w:val="ca-ES"/>
        </w:rPr>
        <w:tab/>
        <w:t>Contribució de</w:t>
      </w:r>
      <w:r w:rsidRPr="00CA78F9">
        <w:rPr>
          <w:lang w:val="en-US"/>
        </w:rPr>
        <w:t xml:space="preserve"> Food &amp; Water Watch.</w:t>
      </w:r>
    </w:p>
  </w:footnote>
  <w:footnote w:id="51">
    <w:p w14:paraId="222480DD" w14:textId="77777777" w:rsidR="00B41CCB" w:rsidRPr="007B1BA2" w:rsidRDefault="00B41CCB" w:rsidP="007E16DC">
      <w:pPr>
        <w:pStyle w:val="FootnoteText"/>
        <w:tabs>
          <w:tab w:val="clear" w:pos="418"/>
          <w:tab w:val="right" w:pos="1195"/>
          <w:tab w:val="left" w:pos="1267"/>
          <w:tab w:val="left" w:pos="1742"/>
          <w:tab w:val="left" w:pos="2218"/>
          <w:tab w:val="left" w:pos="2693"/>
        </w:tabs>
        <w:spacing w:line="202" w:lineRule="exact"/>
        <w:ind w:left="1267" w:right="1267" w:hanging="432"/>
        <w:rPr>
          <w:lang w:val="ca-E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Emanuele Lobina, “Problems with private water concessions: a review of experiences and analysis of dynamics”, </w:t>
      </w:r>
      <w:r w:rsidRPr="002B1C7D">
        <w:rPr>
          <w:i/>
          <w:iCs/>
          <w:lang w:val="en-US"/>
        </w:rPr>
        <w:t>International Journal of Water Resources Development</w:t>
      </w:r>
      <w:r w:rsidRPr="002B1C7D">
        <w:rPr>
          <w:lang w:val="en-US"/>
        </w:rPr>
        <w:t xml:space="preserve">, </w:t>
      </w:r>
      <w:r w:rsidRPr="007B1BA2">
        <w:rPr>
          <w:lang w:val="ca-ES"/>
        </w:rPr>
        <w:t>vol. 21, núm. 1 (2005).</w:t>
      </w:r>
    </w:p>
  </w:footnote>
  <w:footnote w:id="52">
    <w:p w14:paraId="6D706324" w14:textId="219C8FE1" w:rsidR="00B41CCB" w:rsidRPr="007B1BA2" w:rsidRDefault="00B41CCB" w:rsidP="0050492F">
      <w:pPr>
        <w:pStyle w:val="FootnoteText"/>
        <w:tabs>
          <w:tab w:val="clear" w:pos="418"/>
          <w:tab w:val="right" w:pos="1195"/>
          <w:tab w:val="left" w:pos="1267"/>
          <w:tab w:val="left" w:pos="1742"/>
          <w:tab w:val="left" w:pos="2218"/>
          <w:tab w:val="left" w:pos="2693"/>
        </w:tabs>
        <w:spacing w:line="202" w:lineRule="exact"/>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t xml:space="preserve">“Observatorio ciudadano planea demandar a Interagua ante Corte Interamericana”, </w:t>
      </w:r>
      <w:r w:rsidRPr="002B1C7D">
        <w:rPr>
          <w:i/>
          <w:iCs/>
          <w:lang w:val="es-ES_tradnl"/>
        </w:rPr>
        <w:t>El Universo</w:t>
      </w:r>
      <w:r w:rsidRPr="002B1C7D">
        <w:rPr>
          <w:lang w:val="es-ES_tradnl"/>
        </w:rPr>
        <w:t xml:space="preserve"> (Guayaquil, Ecuador), </w:t>
      </w:r>
      <w:r w:rsidRPr="007B1BA2">
        <w:rPr>
          <w:lang w:val="ca-ES"/>
        </w:rPr>
        <w:t>15 d</w:t>
      </w:r>
      <w:r>
        <w:rPr>
          <w:lang w:val="ca-ES"/>
        </w:rPr>
        <w:t>’</w:t>
      </w:r>
      <w:r w:rsidRPr="007B1BA2">
        <w:rPr>
          <w:lang w:val="ca-ES"/>
        </w:rPr>
        <w:t>abril de 2008.</w:t>
      </w:r>
    </w:p>
  </w:footnote>
  <w:footnote w:id="53">
    <w:p w14:paraId="0B985983" w14:textId="5B6A4FE1" w:rsidR="00B41CCB" w:rsidRPr="002B1C7D" w:rsidRDefault="00B41CCB" w:rsidP="0050492F">
      <w:pPr>
        <w:pStyle w:val="FootnoteText"/>
        <w:tabs>
          <w:tab w:val="clear" w:pos="418"/>
          <w:tab w:val="right" w:pos="1195"/>
          <w:tab w:val="left" w:pos="1267"/>
          <w:tab w:val="left" w:pos="1742"/>
          <w:tab w:val="left" w:pos="2218"/>
          <w:tab w:val="left" w:pos="2693"/>
        </w:tabs>
        <w:spacing w:line="202" w:lineRule="exact"/>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Abdul Badeges, “The ownership of water services company in Indonesia: an Islamic economics perspective”, </w:t>
      </w:r>
      <w:r w:rsidRPr="0050492F">
        <w:rPr>
          <w:lang w:val="ca-ES"/>
        </w:rPr>
        <w:t>tesi doc</w:t>
      </w:r>
      <w:r w:rsidRPr="00DE77C6">
        <w:rPr>
          <w:lang w:val="ca-ES"/>
        </w:rPr>
        <w:t xml:space="preserve">toral, Universitat de Malaia, 2013. Disponible a </w:t>
      </w:r>
      <w:hyperlink r:id="rId23" w:history="1">
        <w:r w:rsidRPr="00DE77C6">
          <w:rPr>
            <w:rStyle w:val="Hyperlink"/>
            <w:lang w:val="en-US"/>
          </w:rPr>
          <w:t>www.academia.edu/4098585/The_ Ownership_of_Water_Services_Company_in_Indonesia_An_Islamic_Economics_Perspective</w:t>
        </w:r>
      </w:hyperlink>
      <w:r w:rsidRPr="002B1C7D">
        <w:rPr>
          <w:lang w:val="en-US"/>
        </w:rPr>
        <w:t>.</w:t>
      </w:r>
    </w:p>
  </w:footnote>
  <w:footnote w:id="54">
    <w:p w14:paraId="6EAEACC3" w14:textId="1F0FDC61" w:rsidR="00B41CCB" w:rsidRPr="007B1BA2" w:rsidRDefault="00B41CCB" w:rsidP="0050492F">
      <w:pPr>
        <w:pStyle w:val="FootnoteText"/>
        <w:tabs>
          <w:tab w:val="clear" w:pos="418"/>
          <w:tab w:val="right" w:pos="1195"/>
          <w:tab w:val="left" w:pos="1267"/>
          <w:tab w:val="left" w:pos="1742"/>
          <w:tab w:val="left" w:pos="2218"/>
          <w:tab w:val="left" w:pos="2693"/>
        </w:tabs>
        <w:spacing w:line="202" w:lineRule="exact"/>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t xml:space="preserve">John P. Mulreany, Sule Calikoglu, Sonia Ruiz </w:t>
      </w:r>
      <w:r>
        <w:rPr>
          <w:lang w:val="ca-ES"/>
        </w:rPr>
        <w:t>i</w:t>
      </w:r>
      <w:r w:rsidRPr="002B1C7D">
        <w:rPr>
          <w:lang w:val="es-ES_tradnl"/>
        </w:rPr>
        <w:t xml:space="preserve"> Jason W. Sapsin “Privatización </w:t>
      </w:r>
      <w:r>
        <w:rPr>
          <w:lang w:val="es-ES_tradnl"/>
        </w:rPr>
        <w:t>del agua</w:t>
      </w:r>
      <w:r w:rsidRPr="002B1C7D">
        <w:rPr>
          <w:lang w:val="es-ES_tradnl"/>
        </w:rPr>
        <w:t xml:space="preserve"> y salud pública en América Latina”. </w:t>
      </w:r>
      <w:r w:rsidRPr="002B1C7D">
        <w:rPr>
          <w:i/>
          <w:iCs/>
          <w:lang w:val="es-ES_tradnl"/>
        </w:rPr>
        <w:t>Revista Panam Salud Pública</w:t>
      </w:r>
      <w:r w:rsidRPr="002B1C7D">
        <w:rPr>
          <w:lang w:val="es-ES_tradnl"/>
        </w:rPr>
        <w:t>,</w:t>
      </w:r>
      <w:r w:rsidRPr="007B1BA2">
        <w:rPr>
          <w:lang w:val="ca-ES"/>
        </w:rPr>
        <w:t xml:space="preserve"> vol. 19, núm. 1 (2006).</w:t>
      </w:r>
    </w:p>
  </w:footnote>
  <w:footnote w:id="55">
    <w:p w14:paraId="3E269B31" w14:textId="3D928A13" w:rsidR="00B41CCB" w:rsidRPr="007B1BA2" w:rsidRDefault="00B41CCB" w:rsidP="0050492F">
      <w:pPr>
        <w:pStyle w:val="FootnoteText"/>
        <w:tabs>
          <w:tab w:val="clear" w:pos="418"/>
          <w:tab w:val="right" w:pos="1195"/>
          <w:tab w:val="left" w:pos="1267"/>
          <w:tab w:val="left" w:pos="1742"/>
          <w:tab w:val="left" w:pos="2218"/>
          <w:tab w:val="left" w:pos="2693"/>
        </w:tabs>
        <w:ind w:left="1267" w:right="1267" w:hanging="432"/>
        <w:rPr>
          <w:lang w:val="ca-ES"/>
        </w:rPr>
      </w:pPr>
      <w:r w:rsidRPr="007B1BA2">
        <w:rPr>
          <w:lang w:val="ca-ES"/>
        </w:rPr>
        <w:tab/>
      </w:r>
      <w:r w:rsidRPr="007B1BA2">
        <w:rPr>
          <w:rStyle w:val="FootnoteReference"/>
          <w:lang w:val="ca-ES"/>
        </w:rPr>
        <w:footnoteRef/>
      </w:r>
      <w:r w:rsidRPr="007B1BA2">
        <w:rPr>
          <w:lang w:val="ca-ES"/>
        </w:rPr>
        <w:t xml:space="preserve"> </w:t>
      </w:r>
      <w:r w:rsidRPr="007B1BA2">
        <w:rPr>
          <w:lang w:val="ca-ES"/>
        </w:rPr>
        <w:tab/>
        <w:t>Contribució d</w:t>
      </w:r>
      <w:r>
        <w:rPr>
          <w:lang w:val="ca-ES"/>
        </w:rPr>
        <w:t>’</w:t>
      </w:r>
      <w:r w:rsidRPr="007B1BA2">
        <w:rPr>
          <w:lang w:val="ca-ES"/>
        </w:rPr>
        <w:t>Aquafed.</w:t>
      </w:r>
    </w:p>
  </w:footnote>
  <w:footnote w:id="56">
    <w:p w14:paraId="6A1C856F" w14:textId="2C160125" w:rsidR="00B41CCB" w:rsidRPr="002B1C7D" w:rsidRDefault="00B41CCB" w:rsidP="00B96739">
      <w:pPr>
        <w:pStyle w:val="FootnoteText"/>
        <w:keepNext/>
        <w:keepLines/>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t>Emanuele Lobina,</w:t>
      </w:r>
      <w:r w:rsidRPr="0050492F">
        <w:rPr>
          <w:lang w:val="en-US"/>
        </w:rPr>
        <w:t xml:space="preserve"> “Commentary on the European Commission’s ‘Study on water services in selected member States’”</w:t>
      </w:r>
      <w:r w:rsidRPr="002B1C7D">
        <w:rPr>
          <w:lang w:val="es-ES_tradnl"/>
        </w:rPr>
        <w:t xml:space="preserve">, </w:t>
      </w:r>
      <w:r w:rsidRPr="007B1BA2">
        <w:rPr>
          <w:lang w:val="ca-ES"/>
        </w:rPr>
        <w:t>informes de la</w:t>
      </w:r>
      <w:r>
        <w:rPr>
          <w:lang w:val="ca-ES"/>
        </w:rPr>
        <w:t xml:space="preserve"> </w:t>
      </w:r>
      <w:r w:rsidRPr="00B96739">
        <w:rPr>
          <w:lang w:val="ca-ES"/>
        </w:rPr>
        <w:t>Unitat de Recerca en Serveis Públics</w:t>
      </w:r>
      <w:r w:rsidRPr="007B1BA2">
        <w:rPr>
          <w:lang w:val="ca-ES"/>
        </w:rPr>
        <w:t xml:space="preserve">, 2018. Disponible </w:t>
      </w:r>
      <w:r>
        <w:rPr>
          <w:lang w:val="ca-ES"/>
        </w:rPr>
        <w:t>a</w:t>
      </w:r>
      <w:r w:rsidRPr="007B1BA2">
        <w:rPr>
          <w:lang w:val="ca-ES"/>
        </w:rPr>
        <w:t xml:space="preserve"> </w:t>
      </w:r>
      <w:hyperlink r:id="rId24" w:history="1">
        <w:r w:rsidRPr="002B1C7D">
          <w:rPr>
            <w:rStyle w:val="Hyperlink"/>
            <w:lang w:val="es-ES_tradnl"/>
          </w:rPr>
          <w:t>http://gala.gre.ac.uk/19211/7/19211%20LOBINA%20European_Commission%E2%80%99s_</w:t>
        </w:r>
        <w:r w:rsidRPr="002B1C7D">
          <w:rPr>
            <w:rStyle w:val="Hyperlink"/>
            <w:lang w:val="es-ES_tradnl"/>
          </w:rPr>
          <w:br/>
          <w:t>Study_on_Water_Services_2018.pdf</w:t>
        </w:r>
      </w:hyperlink>
      <w:r w:rsidRPr="002B1C7D">
        <w:rPr>
          <w:lang w:val="es-ES_tradnl"/>
        </w:rPr>
        <w:t>.</w:t>
      </w:r>
    </w:p>
  </w:footnote>
  <w:footnote w:id="57">
    <w:p w14:paraId="6337DCF9" w14:textId="09A7A937" w:rsidR="00B41CCB" w:rsidRPr="002B1C7D" w:rsidRDefault="00B41CCB" w:rsidP="0050492F">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t xml:space="preserve">ECE/CECI/2019/5, </w:t>
      </w:r>
      <w:r w:rsidRPr="0050492F">
        <w:rPr>
          <w:lang w:val="ca-ES"/>
        </w:rPr>
        <w:t>p</w:t>
      </w:r>
      <w:r>
        <w:rPr>
          <w:lang w:val="es-ES_tradnl"/>
        </w:rPr>
        <w:t>.</w:t>
      </w:r>
      <w:r w:rsidRPr="002B1C7D">
        <w:rPr>
          <w:lang w:val="es-ES_tradnl"/>
        </w:rPr>
        <w:t xml:space="preserve"> 5.</w:t>
      </w:r>
    </w:p>
  </w:footnote>
  <w:footnote w:id="58">
    <w:p w14:paraId="71251AA4" w14:textId="2DEA6E9C"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t xml:space="preserve">Anne Le Strat, </w:t>
      </w:r>
      <w:r w:rsidRPr="002B1C7D">
        <w:rPr>
          <w:i/>
          <w:iCs/>
          <w:lang w:val="es-ES_tradnl"/>
        </w:rPr>
        <w:t>Una victoria contra</w:t>
      </w:r>
      <w:r>
        <w:rPr>
          <w:i/>
          <w:iCs/>
          <w:lang w:val="es-ES_tradnl"/>
        </w:rPr>
        <w:t xml:space="preserve"> las </w:t>
      </w:r>
      <w:r w:rsidRPr="002B1C7D">
        <w:rPr>
          <w:i/>
          <w:iCs/>
          <w:lang w:val="es-ES_tradnl"/>
        </w:rPr>
        <w:t>multinacionales</w:t>
      </w:r>
      <w:r w:rsidRPr="002B1C7D">
        <w:rPr>
          <w:lang w:val="es-ES_tradnl"/>
        </w:rPr>
        <w:t>.</w:t>
      </w:r>
    </w:p>
  </w:footnote>
  <w:footnote w:id="59">
    <w:p w14:paraId="377BEBC8" w14:textId="6D1808F7" w:rsidR="00B41CCB" w:rsidRPr="002B1C7D" w:rsidRDefault="00B41CCB" w:rsidP="00524153">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524153">
        <w:rPr>
          <w:lang w:val="ca-ES"/>
        </w:rPr>
        <w:tab/>
        <w:t>Contribució de</w:t>
      </w:r>
      <w:r>
        <w:rPr>
          <w:lang w:val="es-ES_tradnl"/>
        </w:rPr>
        <w:t xml:space="preserve"> </w:t>
      </w:r>
      <w:r w:rsidRPr="00524153">
        <w:rPr>
          <w:lang w:val="ca-ES"/>
        </w:rPr>
        <w:t>Coalició</w:t>
      </w:r>
      <w:r w:rsidRPr="002B1C7D">
        <w:rPr>
          <w:lang w:val="es-ES_tradnl"/>
        </w:rPr>
        <w:t xml:space="preserve"> Eau.</w:t>
      </w:r>
    </w:p>
  </w:footnote>
  <w:footnote w:id="60">
    <w:p w14:paraId="28112835" w14:textId="3D0FCAA2"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524153">
        <w:rPr>
          <w:lang w:val="fr-BE"/>
        </w:rPr>
        <w:t>Anne Le Strat</w:t>
      </w:r>
      <w:r w:rsidRPr="002B1C7D">
        <w:rPr>
          <w:lang w:val="es-ES_tradnl"/>
        </w:rPr>
        <w:t xml:space="preserve">, </w:t>
      </w:r>
      <w:r w:rsidRPr="002B1C7D">
        <w:rPr>
          <w:i/>
          <w:iCs/>
          <w:lang w:val="es-ES_tradnl"/>
        </w:rPr>
        <w:t>Una victoria contra</w:t>
      </w:r>
      <w:r>
        <w:rPr>
          <w:i/>
          <w:iCs/>
          <w:lang w:val="es-ES_tradnl"/>
        </w:rPr>
        <w:t xml:space="preserve"> las </w:t>
      </w:r>
      <w:r w:rsidRPr="002B1C7D">
        <w:rPr>
          <w:i/>
          <w:iCs/>
          <w:lang w:val="es-ES_tradnl"/>
        </w:rPr>
        <w:t>multinacionales.</w:t>
      </w:r>
    </w:p>
  </w:footnote>
  <w:footnote w:id="61">
    <w:p w14:paraId="354036D9" w14:textId="0CAF4388" w:rsidR="00B41CCB" w:rsidRPr="00524153" w:rsidRDefault="00B41CCB" w:rsidP="008666D3">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524153">
        <w:rPr>
          <w:lang w:val="fr-BE"/>
        </w:rPr>
        <w:t>Vivien</w:t>
      </w:r>
      <w:r w:rsidRPr="002B1C7D">
        <w:rPr>
          <w:lang w:val="es-ES_tradnl"/>
        </w:rPr>
        <w:t xml:space="preserve"> Foster </w:t>
      </w:r>
      <w:r>
        <w:rPr>
          <w:lang w:val="ca-ES"/>
        </w:rPr>
        <w:t>i</w:t>
      </w:r>
      <w:r w:rsidRPr="002B1C7D">
        <w:rPr>
          <w:lang w:val="es-ES_tradnl"/>
        </w:rPr>
        <w:t xml:space="preserve"> Tito Yepes, “</w:t>
      </w:r>
      <w:r w:rsidRPr="00524153">
        <w:rPr>
          <w:lang w:val="en-US"/>
        </w:rPr>
        <w:t>Is cost recovery a feasible objective for water and electricity? the Latin American experience”</w:t>
      </w:r>
      <w:r w:rsidRPr="002B1C7D">
        <w:rPr>
          <w:lang w:val="es-ES_tradnl"/>
        </w:rPr>
        <w:t xml:space="preserve">, </w:t>
      </w:r>
      <w:r w:rsidRPr="008666D3">
        <w:rPr>
          <w:i/>
          <w:iCs/>
          <w:highlight w:val="yellow"/>
          <w:lang w:val="es-ES_tradnl"/>
        </w:rPr>
        <w:t>Documento de trabajo sobre investigaciones relativas a políticas pública</w:t>
      </w:r>
      <w:r w:rsidRPr="008666D3">
        <w:rPr>
          <w:i/>
          <w:iCs/>
          <w:lang w:val="es-ES_tradnl"/>
        </w:rPr>
        <w:t>s</w:t>
      </w:r>
      <w:r w:rsidRPr="00F92064">
        <w:rPr>
          <w:lang w:val="es-ES_tradnl"/>
        </w:rPr>
        <w:t xml:space="preserve"> </w:t>
      </w:r>
      <w:r w:rsidRPr="002B1C7D">
        <w:rPr>
          <w:lang w:val="es-ES_tradnl"/>
        </w:rPr>
        <w:t>núm. 3943 (</w:t>
      </w:r>
      <w:r>
        <w:rPr>
          <w:lang w:val="ca-ES"/>
        </w:rPr>
        <w:t>Washington D. C., Banc</w:t>
      </w:r>
      <w:r w:rsidRPr="00524153">
        <w:rPr>
          <w:lang w:val="ca-ES"/>
        </w:rPr>
        <w:t xml:space="preserve"> Mundial, 2006).</w:t>
      </w:r>
    </w:p>
  </w:footnote>
  <w:footnote w:id="62">
    <w:p w14:paraId="7B84E225"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r>
      <w:r w:rsidRPr="002B1C7D">
        <w:rPr>
          <w:i/>
          <w:iCs/>
          <w:lang w:val="en-US"/>
        </w:rPr>
        <w:t>Ibid.</w:t>
      </w:r>
    </w:p>
  </w:footnote>
  <w:footnote w:id="63">
    <w:p w14:paraId="33E491F0" w14:textId="3C39F651" w:rsidR="00B41CCB" w:rsidRPr="005F0F9E" w:rsidRDefault="00B41CCB" w:rsidP="00524153">
      <w:pPr>
        <w:pStyle w:val="FootnoteText"/>
        <w:tabs>
          <w:tab w:val="clear" w:pos="418"/>
          <w:tab w:val="right" w:pos="1195"/>
          <w:tab w:val="left" w:pos="1267"/>
          <w:tab w:val="left" w:pos="1742"/>
          <w:tab w:val="left" w:pos="2218"/>
          <w:tab w:val="left" w:pos="2693"/>
        </w:tabs>
        <w:ind w:left="1267" w:right="1267" w:hanging="432"/>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Dale T. McKinley. </w:t>
      </w:r>
      <w:r w:rsidRPr="00524153">
        <w:rPr>
          <w:lang w:val="en-GB"/>
        </w:rPr>
        <w:t>“The struggle against water privatisation in South Africa</w:t>
      </w:r>
      <w:r w:rsidRPr="002B1C7D">
        <w:rPr>
          <w:lang w:val="en-US"/>
        </w:rPr>
        <w:t xml:space="preserve">”, </w:t>
      </w:r>
      <w:r>
        <w:rPr>
          <w:lang w:val="ca-ES"/>
        </w:rPr>
        <w:t>a</w:t>
      </w:r>
      <w:r w:rsidRPr="002B1C7D">
        <w:rPr>
          <w:i/>
          <w:iCs/>
          <w:lang w:val="en-US"/>
        </w:rPr>
        <w:t xml:space="preserve"> Reclaiming Public Water: Achievements, Struggles and Visions from Around the World</w:t>
      </w:r>
      <w:r w:rsidRPr="002B1C7D">
        <w:rPr>
          <w:lang w:val="en-US"/>
        </w:rPr>
        <w:t xml:space="preserve">, 2ª ed., </w:t>
      </w:r>
      <w:r w:rsidRPr="00C54A7D">
        <w:t>Belén</w:t>
      </w:r>
      <w:r w:rsidRPr="002B1C7D">
        <w:rPr>
          <w:lang w:val="en-US"/>
        </w:rPr>
        <w:t xml:space="preserve"> Balanyá, Brid Brennan </w:t>
      </w:r>
      <w:r w:rsidRPr="002B1C7D">
        <w:rPr>
          <w:i/>
          <w:iCs/>
          <w:lang w:val="en-US"/>
        </w:rPr>
        <w:t>et al.</w:t>
      </w:r>
      <w:r w:rsidRPr="002B1C7D">
        <w:rPr>
          <w:lang w:val="en-US"/>
        </w:rPr>
        <w:t>, eds. (</w:t>
      </w:r>
      <w:r w:rsidRPr="00524153">
        <w:rPr>
          <w:lang w:val="ca-ES"/>
        </w:rPr>
        <w:t>Amsterdam</w:t>
      </w:r>
      <w:r w:rsidRPr="002B1C7D">
        <w:rPr>
          <w:lang w:val="en-US"/>
        </w:rPr>
        <w:t xml:space="preserve">, Transnational Institute and Corporate Europe Observatory, 2005). </w:t>
      </w:r>
      <w:r w:rsidRPr="00524153">
        <w:rPr>
          <w:lang w:val="ca-ES"/>
        </w:rPr>
        <w:t xml:space="preserve">Disponible </w:t>
      </w:r>
      <w:r>
        <w:rPr>
          <w:lang w:val="ca-ES"/>
        </w:rPr>
        <w:t>a</w:t>
      </w:r>
      <w:r w:rsidRPr="005F0F9E">
        <w:t xml:space="preserve"> </w:t>
      </w:r>
      <w:hyperlink r:id="rId25" w:history="1">
        <w:r w:rsidRPr="005F0F9E">
          <w:rPr>
            <w:rStyle w:val="Hyperlink"/>
            <w:spacing w:val="2"/>
            <w:w w:val="101"/>
          </w:rPr>
          <w:t>www.tni.org/files/publication-downloads/second_edition.pdf</w:t>
        </w:r>
      </w:hyperlink>
      <w:r w:rsidRPr="005F0F9E">
        <w:t>.</w:t>
      </w:r>
    </w:p>
  </w:footnote>
  <w:footnote w:id="64">
    <w:p w14:paraId="62BF7EA0" w14:textId="77777777" w:rsidR="00B41CCB" w:rsidRPr="00524153"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5F0F9E">
        <w:tab/>
      </w:r>
      <w:r w:rsidRPr="002B1C7D">
        <w:rPr>
          <w:rStyle w:val="FootnoteReference"/>
          <w:lang w:val="es-ES_tradnl"/>
        </w:rPr>
        <w:footnoteRef/>
      </w:r>
      <w:r w:rsidRPr="002B1C7D">
        <w:rPr>
          <w:lang w:val="en-US"/>
        </w:rPr>
        <w:t xml:space="preserve"> </w:t>
      </w:r>
      <w:r w:rsidRPr="002B1C7D">
        <w:rPr>
          <w:lang w:val="en-US"/>
        </w:rPr>
        <w:tab/>
        <w:t xml:space="preserve">Emanuele </w:t>
      </w:r>
      <w:r w:rsidRPr="00C54A7D">
        <w:t>Lobina</w:t>
      </w:r>
      <w:r w:rsidRPr="002B1C7D">
        <w:rPr>
          <w:lang w:val="en-US"/>
        </w:rPr>
        <w:t xml:space="preserve"> </w:t>
      </w:r>
      <w:r w:rsidRPr="002B1C7D">
        <w:rPr>
          <w:i/>
          <w:iCs/>
          <w:lang w:val="en-US"/>
        </w:rPr>
        <w:t>et al.</w:t>
      </w:r>
      <w:r w:rsidRPr="002B1C7D">
        <w:rPr>
          <w:lang w:val="en-US"/>
        </w:rPr>
        <w:t xml:space="preserve">, </w:t>
      </w:r>
      <w:r w:rsidRPr="00524153">
        <w:rPr>
          <w:lang w:val="en-GB"/>
        </w:rPr>
        <w:t xml:space="preserve">“Water justice will not be televised: moral advocacy and the struggle for transformative remunicipalisation in Jakarta”, </w:t>
      </w:r>
      <w:r w:rsidRPr="00524153">
        <w:rPr>
          <w:i/>
          <w:iCs/>
          <w:lang w:val="en-GB"/>
        </w:rPr>
        <w:t>Water Alternatives</w:t>
      </w:r>
      <w:r w:rsidRPr="002B1C7D">
        <w:rPr>
          <w:lang w:val="en-US"/>
        </w:rPr>
        <w:t xml:space="preserve">, </w:t>
      </w:r>
      <w:r w:rsidRPr="00524153">
        <w:rPr>
          <w:lang w:val="ca-ES"/>
        </w:rPr>
        <w:t>vol. 12, núm. 2 (2019).</w:t>
      </w:r>
    </w:p>
  </w:footnote>
  <w:footnote w:id="65">
    <w:p w14:paraId="6769A32E" w14:textId="716DEA80"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r>
      <w:hyperlink r:id="rId26" w:history="1">
        <w:r w:rsidRPr="002B1C7D">
          <w:rPr>
            <w:rStyle w:val="Hyperlink"/>
            <w:lang w:val="es-ES_tradnl"/>
          </w:rPr>
          <w:t>A/HRC/36/45</w:t>
        </w:r>
      </w:hyperlink>
      <w:r w:rsidRPr="002B1C7D">
        <w:rPr>
          <w:lang w:val="es-ES_tradnl"/>
        </w:rPr>
        <w:t xml:space="preserve">, </w:t>
      </w:r>
      <w:r>
        <w:rPr>
          <w:lang w:val="es-ES_tradnl"/>
        </w:rPr>
        <w:t>§</w:t>
      </w:r>
      <w:r w:rsidRPr="002B1C7D">
        <w:rPr>
          <w:lang w:val="es-ES_tradnl"/>
        </w:rPr>
        <w:t xml:space="preserve"> 26.</w:t>
      </w:r>
    </w:p>
  </w:footnote>
  <w:footnote w:id="66">
    <w:p w14:paraId="5AA5FA7E" w14:textId="2C40A417" w:rsidR="00B41CCB" w:rsidRPr="00A00998" w:rsidRDefault="00B41CCB" w:rsidP="00A00998">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C54A7D">
        <w:rPr>
          <w:lang w:val="ca-ES"/>
        </w:rPr>
        <w:t>Vegeu</w:t>
      </w:r>
      <w:r w:rsidRPr="002B1C7D">
        <w:rPr>
          <w:lang w:val="es-ES_tradnl"/>
        </w:rPr>
        <w:t xml:space="preserve"> Anne Le Strat, </w:t>
      </w:r>
      <w:r w:rsidRPr="002B1C7D">
        <w:rPr>
          <w:i/>
          <w:iCs/>
          <w:lang w:val="es-ES_tradnl"/>
        </w:rPr>
        <w:t>Una victoria contra</w:t>
      </w:r>
      <w:r>
        <w:rPr>
          <w:i/>
          <w:iCs/>
          <w:lang w:val="es-ES_tradnl"/>
        </w:rPr>
        <w:t xml:space="preserve"> las </w:t>
      </w:r>
      <w:r w:rsidRPr="002B1C7D">
        <w:rPr>
          <w:i/>
          <w:iCs/>
          <w:lang w:val="es-ES_tradnl"/>
        </w:rPr>
        <w:t>multinacionales</w:t>
      </w:r>
      <w:r>
        <w:rPr>
          <w:lang w:val="es-ES_tradnl"/>
        </w:rPr>
        <w:t xml:space="preserve">, </w:t>
      </w:r>
      <w:r w:rsidRPr="00A00998">
        <w:rPr>
          <w:lang w:val="ca-ES"/>
        </w:rPr>
        <w:t>i contribució d’Aquafed.</w:t>
      </w:r>
    </w:p>
  </w:footnote>
  <w:footnote w:id="67">
    <w:p w14:paraId="2C87AB5C" w14:textId="6ECE7EC7" w:rsidR="00B41CCB" w:rsidRPr="002B1C7D" w:rsidRDefault="00B41CCB" w:rsidP="00335347">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Emanuele Lobina, “UK – strong and weak lock-in of water governance outcomes in England”, in </w:t>
      </w:r>
      <w:r w:rsidRPr="002B1C7D">
        <w:rPr>
          <w:i/>
          <w:iCs/>
          <w:lang w:val="en-US"/>
        </w:rPr>
        <w:t>Facing the Challenges of Water Governance</w:t>
      </w:r>
      <w:r w:rsidRPr="002B1C7D">
        <w:rPr>
          <w:lang w:val="en-US"/>
        </w:rPr>
        <w:t xml:space="preserve">, Simon Porcher </w:t>
      </w:r>
      <w:r w:rsidRPr="00335347">
        <w:rPr>
          <w:lang w:val="ca-ES"/>
        </w:rPr>
        <w:t>i</w:t>
      </w:r>
      <w:r w:rsidRPr="002B1C7D">
        <w:rPr>
          <w:lang w:val="en-US"/>
        </w:rPr>
        <w:t xml:space="preserve"> Stéphane Saussier, eds. (Nueva York, Palgrave Macmillan, 2019).</w:t>
      </w:r>
    </w:p>
  </w:footnote>
  <w:footnote w:id="68">
    <w:p w14:paraId="6BC5BE5D" w14:textId="4F63CB2A" w:rsidR="00B41CCB" w:rsidRPr="002B1C7D" w:rsidRDefault="00B41CCB" w:rsidP="00B96739">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Andreas Harsono, “Indonesia’s Supreme Court upholds water rights”, Human Rights Watch, </w:t>
      </w:r>
      <w:r w:rsidRPr="00B96739">
        <w:rPr>
          <w:lang w:val="ca-ES"/>
        </w:rPr>
        <w:t xml:space="preserve">octubre de 2017. </w:t>
      </w:r>
      <w:r w:rsidRPr="00335347">
        <w:rPr>
          <w:lang w:val="ca-ES"/>
        </w:rPr>
        <w:t xml:space="preserve">Disponible </w:t>
      </w:r>
      <w:r>
        <w:rPr>
          <w:lang w:val="ca-ES"/>
        </w:rPr>
        <w:t>a</w:t>
      </w:r>
      <w:r w:rsidRPr="002B1C7D">
        <w:rPr>
          <w:lang w:val="es-ES_tradnl"/>
        </w:rPr>
        <w:t xml:space="preserve"> </w:t>
      </w:r>
      <w:hyperlink r:id="rId27" w:history="1">
        <w:r w:rsidRPr="002B1C7D">
          <w:rPr>
            <w:rStyle w:val="Hyperlink"/>
            <w:lang w:val="es-ES_tradnl"/>
          </w:rPr>
          <w:t>www.hrw.org/news/2017/10/12/indonesias-supreme-court-upholds-water-rights</w:t>
        </w:r>
      </w:hyperlink>
      <w:r w:rsidRPr="002B1C7D">
        <w:rPr>
          <w:lang w:val="es-ES_tradnl"/>
        </w:rPr>
        <w:t>.</w:t>
      </w:r>
    </w:p>
  </w:footnote>
  <w:footnote w:id="69">
    <w:p w14:paraId="1C24DCBD" w14:textId="1EAACB7C" w:rsidR="00B41CCB" w:rsidRPr="002B1C7D" w:rsidRDefault="00B41CCB" w:rsidP="00B96739">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335347">
        <w:rPr>
          <w:lang w:val="ca-ES"/>
        </w:rPr>
        <w:t>Contribució de l</w:t>
      </w:r>
      <w:r>
        <w:rPr>
          <w:lang w:val="ca-ES"/>
        </w:rPr>
        <w:t>’</w:t>
      </w:r>
      <w:r w:rsidRPr="002B1C7D">
        <w:rPr>
          <w:lang w:val="es-ES_tradnl"/>
        </w:rPr>
        <w:t xml:space="preserve">Asociación de Usuarios </w:t>
      </w:r>
      <w:r>
        <w:rPr>
          <w:lang w:val="es-ES_tradnl"/>
        </w:rPr>
        <w:t xml:space="preserve">del Agua </w:t>
      </w:r>
      <w:r w:rsidRPr="002B1C7D">
        <w:rPr>
          <w:lang w:val="es-ES_tradnl"/>
        </w:rPr>
        <w:t>de Saltillo.</w:t>
      </w:r>
    </w:p>
  </w:footnote>
  <w:footnote w:id="70">
    <w:p w14:paraId="4D350850" w14:textId="05B124D7" w:rsidR="00B41CCB" w:rsidRPr="00B96739" w:rsidRDefault="00B41CCB" w:rsidP="00B96739">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t xml:space="preserve">David Hall </w:t>
      </w:r>
      <w:r>
        <w:rPr>
          <w:lang w:val="ca-ES"/>
        </w:rPr>
        <w:t>i</w:t>
      </w:r>
      <w:r w:rsidRPr="002B1C7D">
        <w:rPr>
          <w:lang w:val="es-ES_tradnl"/>
        </w:rPr>
        <w:t xml:space="preserve"> Emanuele Lobina, </w:t>
      </w:r>
      <w:r w:rsidRPr="001346BF">
        <w:rPr>
          <w:lang w:val="en-US"/>
        </w:rPr>
        <w:t>“Pipe dreams: the failure of the private sector to invest in water services in developing countries</w:t>
      </w:r>
      <w:r w:rsidRPr="002B1C7D">
        <w:rPr>
          <w:lang w:val="es-ES_tradnl"/>
        </w:rPr>
        <w:t>”,</w:t>
      </w:r>
      <w:r w:rsidRPr="00B96739">
        <w:rPr>
          <w:lang w:val="ca-ES"/>
        </w:rPr>
        <w:t xml:space="preserve"> informes de la Uni</w:t>
      </w:r>
      <w:r>
        <w:rPr>
          <w:lang w:val="ca-ES"/>
        </w:rPr>
        <w:t>tat</w:t>
      </w:r>
      <w:r w:rsidRPr="00B96739">
        <w:rPr>
          <w:lang w:val="ca-ES"/>
        </w:rPr>
        <w:t xml:space="preserve"> de </w:t>
      </w:r>
      <w:r>
        <w:rPr>
          <w:lang w:val="ca-ES"/>
        </w:rPr>
        <w:t xml:space="preserve">Recerca en </w:t>
      </w:r>
      <w:r w:rsidRPr="00B96739">
        <w:rPr>
          <w:lang w:val="ca-ES"/>
        </w:rPr>
        <w:t>Serveis</w:t>
      </w:r>
      <w:r>
        <w:rPr>
          <w:lang w:val="ca-ES"/>
        </w:rPr>
        <w:t xml:space="preserve"> Públic</w:t>
      </w:r>
      <w:r w:rsidRPr="00B96739">
        <w:rPr>
          <w:lang w:val="ca-ES"/>
        </w:rPr>
        <w:t>s, 2006.</w:t>
      </w:r>
    </w:p>
  </w:footnote>
  <w:footnote w:id="71">
    <w:p w14:paraId="068CD41C" w14:textId="5B2562CB" w:rsidR="00B41CCB" w:rsidRPr="00B96739" w:rsidRDefault="00B41CCB" w:rsidP="001346BF">
      <w:pPr>
        <w:pStyle w:val="FootnoteText"/>
        <w:tabs>
          <w:tab w:val="clear" w:pos="418"/>
          <w:tab w:val="right" w:pos="1195"/>
          <w:tab w:val="left" w:pos="1267"/>
          <w:tab w:val="left" w:pos="1742"/>
          <w:tab w:val="left" w:pos="2218"/>
          <w:tab w:val="left" w:pos="2693"/>
        </w:tabs>
        <w:ind w:left="1267" w:right="1267" w:hanging="432"/>
        <w:rPr>
          <w:lang w:val="ca-ES"/>
        </w:rPr>
      </w:pPr>
      <w:r w:rsidRPr="00B96739">
        <w:rPr>
          <w:lang w:val="ca-ES"/>
        </w:rPr>
        <w:tab/>
      </w:r>
      <w:r w:rsidRPr="00B96739">
        <w:rPr>
          <w:rStyle w:val="FootnoteReference"/>
          <w:lang w:val="ca-ES"/>
        </w:rPr>
        <w:footnoteRef/>
      </w:r>
      <w:r w:rsidRPr="00B96739">
        <w:rPr>
          <w:lang w:val="ca-ES"/>
        </w:rPr>
        <w:t xml:space="preserve"> </w:t>
      </w:r>
      <w:r w:rsidRPr="00B96739">
        <w:rPr>
          <w:lang w:val="ca-ES"/>
        </w:rPr>
        <w:tab/>
        <w:t>Seg</w:t>
      </w:r>
      <w:r>
        <w:rPr>
          <w:lang w:val="ca-ES"/>
        </w:rPr>
        <w:t xml:space="preserve">ons es va notificar </w:t>
      </w:r>
      <w:r w:rsidRPr="00B96739">
        <w:rPr>
          <w:lang w:val="ca-ES"/>
        </w:rPr>
        <w:t>al Relator Especial durant</w:t>
      </w:r>
      <w:r>
        <w:rPr>
          <w:lang w:val="ca-ES"/>
        </w:rPr>
        <w:t xml:space="preserve"> les seves visites a Portugal i Mèxic</w:t>
      </w:r>
      <w:r w:rsidRPr="00B96739">
        <w:rPr>
          <w:lang w:val="ca-ES"/>
        </w:rPr>
        <w:t>.</w:t>
      </w:r>
    </w:p>
  </w:footnote>
  <w:footnote w:id="72">
    <w:p w14:paraId="63B1F0FD" w14:textId="2ECD23A8" w:rsidR="00B41CCB" w:rsidRPr="00B96739"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George Homsy </w:t>
      </w:r>
      <w:r>
        <w:rPr>
          <w:lang w:val="ca-ES"/>
        </w:rPr>
        <w:t>i</w:t>
      </w:r>
      <w:r w:rsidRPr="002B1C7D">
        <w:rPr>
          <w:lang w:val="en-US"/>
        </w:rPr>
        <w:t xml:space="preserve"> Mildred Warner, “Does public ownership of utilities matter for local government water policies?”, </w:t>
      </w:r>
      <w:r w:rsidRPr="002B1C7D">
        <w:rPr>
          <w:i/>
          <w:iCs/>
          <w:lang w:val="en-US"/>
        </w:rPr>
        <w:t>Utilities Policy</w:t>
      </w:r>
      <w:r w:rsidRPr="002B1C7D">
        <w:rPr>
          <w:lang w:val="en-US"/>
        </w:rPr>
        <w:t>,</w:t>
      </w:r>
      <w:r w:rsidRPr="00B96739">
        <w:rPr>
          <w:lang w:val="ca-ES"/>
        </w:rPr>
        <w:t xml:space="preserve"> vol. 64 (abril de 2020).</w:t>
      </w:r>
    </w:p>
  </w:footnote>
  <w:footnote w:id="73">
    <w:p w14:paraId="3C770A4E" w14:textId="687FAB93"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Radhika Balakrishnan, Diane Elson, James Heintz </w:t>
      </w:r>
      <w:r>
        <w:rPr>
          <w:lang w:val="ca-ES"/>
        </w:rPr>
        <w:t>i</w:t>
      </w:r>
      <w:r w:rsidRPr="002B1C7D">
        <w:rPr>
          <w:lang w:val="en-US"/>
        </w:rPr>
        <w:t xml:space="preserve"> Nicholas Lusiani, </w:t>
      </w:r>
      <w:r w:rsidRPr="002B1C7D">
        <w:rPr>
          <w:i/>
          <w:iCs/>
          <w:lang w:val="en-US"/>
        </w:rPr>
        <w:t>Maximum Available Resources &amp; Human Rights: Analytical Report</w:t>
      </w:r>
      <w:r w:rsidRPr="002B1C7D">
        <w:rPr>
          <w:lang w:val="en-US"/>
        </w:rPr>
        <w:t xml:space="preserve"> (New Brunswick, </w:t>
      </w:r>
      <w:r>
        <w:rPr>
          <w:lang w:val="ca-ES"/>
        </w:rPr>
        <w:t>No</w:t>
      </w:r>
      <w:r w:rsidRPr="00B96739">
        <w:rPr>
          <w:lang w:val="ca-ES"/>
        </w:rPr>
        <w:t>va</w:t>
      </w:r>
      <w:r w:rsidRPr="002B1C7D">
        <w:rPr>
          <w:lang w:val="en-US"/>
        </w:rPr>
        <w:t xml:space="preserve"> Jersey, Center for Women’s Global Leadership, Rutgers, 2011).</w:t>
      </w:r>
    </w:p>
  </w:footnote>
  <w:footnote w:id="74">
    <w:p w14:paraId="3DD3177F"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Erik Swyngedouw, “Troubled waters”.</w:t>
      </w:r>
    </w:p>
  </w:footnote>
  <w:footnote w:id="75">
    <w:p w14:paraId="66392FB6" w14:textId="324D8F13" w:rsidR="00B41CCB" w:rsidRPr="002B1C7D" w:rsidRDefault="00B41CCB" w:rsidP="00AB0260">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r>
      <w:r>
        <w:rPr>
          <w:lang w:val="ca-ES"/>
        </w:rPr>
        <w:t>Banc</w:t>
      </w:r>
      <w:r w:rsidRPr="00AB0260">
        <w:rPr>
          <w:lang w:val="ca-ES"/>
        </w:rPr>
        <w:t xml:space="preserve"> Mundial</w:t>
      </w:r>
      <w:r w:rsidRPr="002B1C7D">
        <w:rPr>
          <w:lang w:val="en-US"/>
        </w:rPr>
        <w:t xml:space="preserve">, “Project appraisal document, Third National Urban Water Sector Reform Project”, 26 </w:t>
      </w:r>
      <w:r w:rsidRPr="00AB0260">
        <w:rPr>
          <w:lang w:val="ca-ES"/>
        </w:rPr>
        <w:t xml:space="preserve">de març de 2014. Disponible </w:t>
      </w:r>
      <w:r>
        <w:rPr>
          <w:lang w:val="ca-ES"/>
        </w:rPr>
        <w:t>a</w:t>
      </w:r>
      <w:r w:rsidRPr="00AB0260">
        <w:rPr>
          <w:lang w:val="ca-ES"/>
        </w:rPr>
        <w:t xml:space="preserve"> </w:t>
      </w:r>
      <w:hyperlink r:id="rId28" w:history="1">
        <w:r w:rsidRPr="002B1C7D">
          <w:rPr>
            <w:rStyle w:val="Hyperlink"/>
            <w:spacing w:val="2"/>
            <w:lang w:val="es-ES_tradnl"/>
          </w:rPr>
          <w:t>http://documents1.worldbank.org/curated/en/736591468098978156/</w:t>
        </w:r>
        <w:r w:rsidRPr="002B1C7D">
          <w:rPr>
            <w:rStyle w:val="Hyperlink"/>
            <w:spacing w:val="2"/>
            <w:lang w:val="es-ES_tradnl"/>
          </w:rPr>
          <w:br/>
          <w:t>pdf/PAD3960P123513010Box385166B00OUO090.pdf</w:t>
        </w:r>
      </w:hyperlink>
      <w:r w:rsidRPr="002B1C7D">
        <w:rPr>
          <w:lang w:val="es-ES_tradnl"/>
        </w:rPr>
        <w:t>.</w:t>
      </w:r>
    </w:p>
  </w:footnote>
  <w:footnote w:id="76">
    <w:p w14:paraId="3AE84B62" w14:textId="41031327" w:rsidR="00B41CCB" w:rsidRPr="00AB0260"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Klaas Schwartz, “The New Public Management: the future for reforms in the African water supply and sanitation sector?”, </w:t>
      </w:r>
      <w:r w:rsidRPr="002B1C7D">
        <w:rPr>
          <w:i/>
          <w:iCs/>
          <w:lang w:val="en-US"/>
        </w:rPr>
        <w:t>Utilities Policy</w:t>
      </w:r>
      <w:r w:rsidRPr="002B1C7D">
        <w:rPr>
          <w:lang w:val="en-US"/>
        </w:rPr>
        <w:t xml:space="preserve">, </w:t>
      </w:r>
      <w:r>
        <w:rPr>
          <w:lang w:val="ca-ES"/>
        </w:rPr>
        <w:t>vol. 16, núm. 1 (març</w:t>
      </w:r>
      <w:r w:rsidRPr="00AB0260">
        <w:rPr>
          <w:lang w:val="ca-ES"/>
        </w:rPr>
        <w:t xml:space="preserve"> de 2008).</w:t>
      </w:r>
    </w:p>
  </w:footnote>
  <w:footnote w:id="77">
    <w:p w14:paraId="7CA0C883"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John P. Mulreany </w:t>
      </w:r>
      <w:r w:rsidRPr="002B1C7D">
        <w:rPr>
          <w:i/>
          <w:iCs/>
          <w:lang w:val="en-US"/>
        </w:rPr>
        <w:t>et al.</w:t>
      </w:r>
      <w:r w:rsidRPr="002B1C7D">
        <w:rPr>
          <w:lang w:val="en-US"/>
        </w:rPr>
        <w:t>, “Water privatization and public health in Latin America”.</w:t>
      </w:r>
    </w:p>
  </w:footnote>
  <w:footnote w:id="78">
    <w:p w14:paraId="3F394898" w14:textId="02CEFE5F" w:rsidR="00B41CCB" w:rsidRPr="00AB0260"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Hulya Dagdeviren, “Waiting for miracles: the commercialization of urban water services in Zambia”, </w:t>
      </w:r>
      <w:r w:rsidRPr="002B1C7D">
        <w:rPr>
          <w:i/>
          <w:iCs/>
          <w:lang w:val="en-US"/>
        </w:rPr>
        <w:t>Development and Change</w:t>
      </w:r>
      <w:r w:rsidRPr="002B1C7D">
        <w:rPr>
          <w:lang w:val="en-US"/>
        </w:rPr>
        <w:t>,</w:t>
      </w:r>
      <w:r w:rsidRPr="00AB0260">
        <w:rPr>
          <w:lang w:val="ca-ES"/>
        </w:rPr>
        <w:t xml:space="preserve"> vol. 39, núm. 1 (</w:t>
      </w:r>
      <w:r>
        <w:rPr>
          <w:lang w:val="ca-ES"/>
        </w:rPr>
        <w:t>gener</w:t>
      </w:r>
      <w:r w:rsidRPr="00AB0260">
        <w:rPr>
          <w:lang w:val="ca-ES"/>
        </w:rPr>
        <w:t xml:space="preserve"> de 2008).</w:t>
      </w:r>
    </w:p>
  </w:footnote>
  <w:footnote w:id="79">
    <w:p w14:paraId="13A2C491" w14:textId="57E8D4BA" w:rsidR="00B41CCB" w:rsidRPr="002B1C7D" w:rsidRDefault="00B41CCB" w:rsidP="00AB0260">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r>
      <w:r w:rsidRPr="00AB0260">
        <w:rPr>
          <w:lang w:val="ca-ES"/>
        </w:rPr>
        <w:t>Vegeu</w:t>
      </w:r>
      <w:r>
        <w:rPr>
          <w:lang w:val="ca-ES"/>
        </w:rPr>
        <w:t xml:space="preserve"> la contribució</w:t>
      </w:r>
      <w:r w:rsidRPr="00AB0260">
        <w:rPr>
          <w:lang w:val="ca-ES"/>
        </w:rPr>
        <w:t xml:space="preserve"> d</w:t>
      </w:r>
      <w:r>
        <w:rPr>
          <w:lang w:val="ca-ES"/>
        </w:rPr>
        <w:t>’</w:t>
      </w:r>
      <w:r w:rsidRPr="00AB0260">
        <w:rPr>
          <w:lang w:val="ca-ES"/>
        </w:rPr>
        <w:t xml:space="preserve">Aquafed </w:t>
      </w:r>
      <w:r>
        <w:rPr>
          <w:lang w:val="ca-ES"/>
        </w:rPr>
        <w:t>i</w:t>
      </w:r>
      <w:r w:rsidRPr="002B1C7D">
        <w:rPr>
          <w:lang w:val="en-US"/>
        </w:rPr>
        <w:t xml:space="preserve"> Chris Heymans, </w:t>
      </w:r>
      <w:r>
        <w:rPr>
          <w:lang w:val="en-US"/>
        </w:rPr>
        <w:t xml:space="preserve">Rolfe Eberhard, David Ehrhardt </w:t>
      </w:r>
      <w:r w:rsidRPr="00AB0260">
        <w:rPr>
          <w:lang w:val="ca-ES"/>
        </w:rPr>
        <w:t>i</w:t>
      </w:r>
      <w:r w:rsidRPr="002B1C7D">
        <w:rPr>
          <w:lang w:val="en-US"/>
        </w:rPr>
        <w:t xml:space="preserve"> Shannon Riley, </w:t>
      </w:r>
      <w:r w:rsidRPr="002B1C7D">
        <w:rPr>
          <w:i/>
          <w:iCs/>
          <w:lang w:val="en-US"/>
        </w:rPr>
        <w:t>Providing Water to Poor People in African Cities Effectively: Lessons from Utility Reforms</w:t>
      </w:r>
      <w:r w:rsidRPr="002B1C7D">
        <w:rPr>
          <w:lang w:val="en-US"/>
        </w:rPr>
        <w:t xml:space="preserve"> (Washington D. C., </w:t>
      </w:r>
      <w:r w:rsidRPr="00AB0260">
        <w:rPr>
          <w:lang w:val="ca-ES"/>
        </w:rPr>
        <w:t>Banc Mundial</w:t>
      </w:r>
      <w:r w:rsidRPr="002B1C7D">
        <w:rPr>
          <w:lang w:val="en-US"/>
        </w:rPr>
        <w:t>, 2016).</w:t>
      </w:r>
    </w:p>
  </w:footnote>
  <w:footnote w:id="80">
    <w:p w14:paraId="665B9DE1"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Philippe Marin, </w:t>
      </w:r>
      <w:r w:rsidRPr="002B1C7D">
        <w:rPr>
          <w:i/>
          <w:iCs/>
          <w:lang w:val="en-US"/>
        </w:rPr>
        <w:t>Public-Private Partnerships for Urban Water Utilities</w:t>
      </w:r>
      <w:r w:rsidRPr="002B1C7D">
        <w:rPr>
          <w:lang w:val="en-US"/>
        </w:rPr>
        <w:t>.</w:t>
      </w:r>
    </w:p>
  </w:footnote>
  <w:footnote w:id="81">
    <w:p w14:paraId="63C4AB36" w14:textId="6AE90EB6" w:rsidR="00B41CCB" w:rsidRPr="002B1C7D" w:rsidRDefault="00B41CCB" w:rsidP="00AB0260">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987B28">
        <w:rPr>
          <w:lang w:val="en-GB"/>
        </w:rPr>
        <w:t xml:space="preserve"> </w:t>
      </w:r>
      <w:r w:rsidRPr="00987B28">
        <w:rPr>
          <w:lang w:val="en-GB"/>
        </w:rPr>
        <w:tab/>
        <w:t>International Institute for Sustainable Development</w:t>
      </w:r>
      <w:r w:rsidRPr="00987B28">
        <w:rPr>
          <w:lang w:val="es-ES_tradnl"/>
        </w:rPr>
        <w:t xml:space="preserve">, </w:t>
      </w:r>
      <w:r w:rsidRPr="00987B28">
        <w:rPr>
          <w:i/>
          <w:iCs/>
          <w:lang w:val="es-ES_tradnl"/>
        </w:rPr>
        <w:t xml:space="preserve">Compañía de Aguas del Aconquija S.A. and Vivendi Universal S.A. v. </w:t>
      </w:r>
      <w:r w:rsidRPr="00987B28">
        <w:rPr>
          <w:i/>
          <w:iCs/>
          <w:lang w:val="en-GB"/>
        </w:rPr>
        <w:t>Republic</w:t>
      </w:r>
      <w:r w:rsidRPr="00987B28">
        <w:rPr>
          <w:i/>
          <w:iCs/>
          <w:lang w:val="es-ES_tradnl"/>
        </w:rPr>
        <w:t xml:space="preserve"> of Argentina</w:t>
      </w:r>
      <w:r w:rsidRPr="00987B28">
        <w:rPr>
          <w:lang w:val="es-ES_tradnl"/>
        </w:rPr>
        <w:t xml:space="preserve">, </w:t>
      </w:r>
      <w:r w:rsidRPr="00987B28">
        <w:rPr>
          <w:lang w:val="ca-ES"/>
        </w:rPr>
        <w:t xml:space="preserve">Centre Internacional d’Arranjament de Diferències Relatives a Inversions </w:t>
      </w:r>
      <w:r w:rsidRPr="00987B28">
        <w:t>(CIADI)</w:t>
      </w:r>
      <w:r w:rsidRPr="00987B28">
        <w:rPr>
          <w:lang w:val="es-ES_tradnl"/>
        </w:rPr>
        <w:t>,</w:t>
      </w:r>
      <w:r w:rsidRPr="002B1C7D">
        <w:rPr>
          <w:lang w:val="es-ES_tradnl"/>
        </w:rPr>
        <w:t xml:space="preserve"> </w:t>
      </w:r>
      <w:r w:rsidRPr="00AB0260">
        <w:rPr>
          <w:lang w:val="ca-ES"/>
        </w:rPr>
        <w:t>cas núm. ARB/97/3 (18 d</w:t>
      </w:r>
      <w:r>
        <w:rPr>
          <w:lang w:val="ca-ES"/>
        </w:rPr>
        <w:t>’</w:t>
      </w:r>
      <w:r w:rsidRPr="00AB0260">
        <w:rPr>
          <w:lang w:val="ca-ES"/>
        </w:rPr>
        <w:t xml:space="preserve">octubre de 2018). Disponible </w:t>
      </w:r>
      <w:r>
        <w:rPr>
          <w:lang w:val="ca-ES"/>
        </w:rPr>
        <w:t>a</w:t>
      </w:r>
      <w:r w:rsidRPr="00AB0260">
        <w:rPr>
          <w:lang w:val="ca-ES"/>
        </w:rPr>
        <w:t xml:space="preserve"> </w:t>
      </w:r>
      <w:hyperlink r:id="rId29" w:history="1">
        <w:r w:rsidRPr="002B1C7D">
          <w:rPr>
            <w:rStyle w:val="Hyperlink"/>
            <w:lang w:val="es-ES_tradnl"/>
          </w:rPr>
          <w:t>www.iisd.org/itn/2018/10/18/vivendi-v-argentina/</w:t>
        </w:r>
      </w:hyperlink>
      <w:r w:rsidRPr="002B1C7D">
        <w:rPr>
          <w:rStyle w:val="Hyperlink"/>
          <w:lang w:val="es-ES_tradnl"/>
        </w:rPr>
        <w:t>.</w:t>
      </w:r>
    </w:p>
  </w:footnote>
  <w:footnote w:id="82">
    <w:p w14:paraId="0AE914BB" w14:textId="69BA3950" w:rsidR="00B41CCB" w:rsidRPr="003E7D67" w:rsidRDefault="00B41CCB" w:rsidP="007E16DC">
      <w:pPr>
        <w:pStyle w:val="FootnoteText"/>
        <w:keepNext/>
        <w:keepLines/>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5F0F9E">
        <w:rPr>
          <w:lang w:val="es-ES_tradnl"/>
        </w:rPr>
        <w:t xml:space="preserve"> </w:t>
      </w:r>
      <w:r w:rsidRPr="005F0F9E">
        <w:rPr>
          <w:lang w:val="es-ES_tradnl"/>
        </w:rPr>
        <w:tab/>
        <w:t xml:space="preserve">Bernard de Gouvello, Emilio J. Lentini </w:t>
      </w:r>
      <w:r>
        <w:rPr>
          <w:lang w:val="ca-ES"/>
        </w:rPr>
        <w:t>i</w:t>
      </w:r>
      <w:r w:rsidRPr="005F0F9E">
        <w:rPr>
          <w:lang w:val="es-ES_tradnl"/>
        </w:rPr>
        <w:t xml:space="preserve"> Federica Brenner, “</w:t>
      </w:r>
      <w:r w:rsidRPr="00411F23">
        <w:rPr>
          <w:lang w:val="en-US"/>
        </w:rPr>
        <w:t>Changing paradigms in water and sanitation services in Argentina: towards a sustainable model</w:t>
      </w:r>
      <w:r w:rsidRPr="005F0F9E">
        <w:rPr>
          <w:lang w:val="es-ES_tradnl"/>
        </w:rPr>
        <w:t xml:space="preserve">?” </w:t>
      </w:r>
      <w:r w:rsidRPr="002B1C7D">
        <w:rPr>
          <w:i/>
          <w:iCs/>
          <w:lang w:val="en-US"/>
        </w:rPr>
        <w:t>Water International</w:t>
      </w:r>
      <w:r w:rsidRPr="002B1C7D">
        <w:rPr>
          <w:lang w:val="en-US"/>
        </w:rPr>
        <w:t xml:space="preserve">, </w:t>
      </w:r>
      <w:r w:rsidRPr="003E7D67">
        <w:rPr>
          <w:lang w:val="ca-ES"/>
        </w:rPr>
        <w:t>vol. 31, núm. 2 (2012).</w:t>
      </w:r>
    </w:p>
  </w:footnote>
  <w:footnote w:id="83">
    <w:p w14:paraId="2ACD02CE" w14:textId="13B96455" w:rsidR="00B41CCB" w:rsidRPr="003E7D67"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Frank L. K. Ohemeng </w:t>
      </w:r>
      <w:r>
        <w:rPr>
          <w:lang w:val="ca-ES"/>
        </w:rPr>
        <w:t>i</w:t>
      </w:r>
      <w:r w:rsidRPr="002B1C7D">
        <w:rPr>
          <w:lang w:val="en-US"/>
        </w:rPr>
        <w:t xml:space="preserve"> John K. Grant, </w:t>
      </w:r>
      <w:r>
        <w:rPr>
          <w:lang w:val="en-US"/>
        </w:rPr>
        <w:t>“Has the bubble finally burst? A</w:t>
      </w:r>
      <w:r w:rsidRPr="002B1C7D">
        <w:rPr>
          <w:lang w:val="en-US"/>
        </w:rPr>
        <w:t xml:space="preserve">n examination of the failure of privatization of water services delivery in Atlanta (USA) and Hamilton (Canada)”, </w:t>
      </w:r>
      <w:r w:rsidRPr="002B1C7D">
        <w:rPr>
          <w:i/>
          <w:iCs/>
          <w:lang w:val="en-US"/>
        </w:rPr>
        <w:t>Journal of Comparative Policy Analysis: Research and Practice</w:t>
      </w:r>
      <w:r w:rsidRPr="002B1C7D">
        <w:rPr>
          <w:lang w:val="en-US"/>
        </w:rPr>
        <w:t xml:space="preserve">, </w:t>
      </w:r>
      <w:r w:rsidRPr="003E7D67">
        <w:rPr>
          <w:lang w:val="ca-ES"/>
        </w:rPr>
        <w:t>vol. 13, núm. 3 (2011).</w:t>
      </w:r>
    </w:p>
  </w:footnote>
  <w:footnote w:id="84">
    <w:p w14:paraId="15F16D82" w14:textId="0F5EE192" w:rsidR="00B41CCB" w:rsidRPr="002B1C7D" w:rsidRDefault="00B41CCB" w:rsidP="00411F23">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Julia Lurie, “How one company contaminated Pittsburgh’s drinking water”, </w:t>
      </w:r>
      <w:r w:rsidRPr="002B1C7D">
        <w:rPr>
          <w:i/>
          <w:iCs/>
          <w:lang w:val="en-US"/>
        </w:rPr>
        <w:t>Wired</w:t>
      </w:r>
      <w:r w:rsidRPr="002B1C7D">
        <w:rPr>
          <w:lang w:val="en-US"/>
        </w:rPr>
        <w:t xml:space="preserve">, </w:t>
      </w:r>
      <w:r w:rsidRPr="003E7D67">
        <w:rPr>
          <w:lang w:val="ca-ES"/>
        </w:rPr>
        <w:t>28 d</w:t>
      </w:r>
      <w:r>
        <w:rPr>
          <w:lang w:val="ca-ES"/>
        </w:rPr>
        <w:t>’</w:t>
      </w:r>
      <w:r w:rsidRPr="003E7D67">
        <w:rPr>
          <w:lang w:val="ca-ES"/>
        </w:rPr>
        <w:t xml:space="preserve">octubre de 2018. Disponible </w:t>
      </w:r>
      <w:r>
        <w:rPr>
          <w:lang w:val="ca-ES"/>
        </w:rPr>
        <w:t>a</w:t>
      </w:r>
      <w:r w:rsidRPr="002B1C7D">
        <w:rPr>
          <w:lang w:val="es-ES_tradnl"/>
        </w:rPr>
        <w:t xml:space="preserve"> </w:t>
      </w:r>
      <w:hyperlink r:id="rId30" w:history="1">
        <w:r w:rsidRPr="002B1C7D">
          <w:rPr>
            <w:rStyle w:val="Hyperlink"/>
            <w:lang w:val="es-ES_tradnl"/>
          </w:rPr>
          <w:t>www.wired.com/2016/10/pittsburghs-drinking-water-got-contaminated-lead</w:t>
        </w:r>
      </w:hyperlink>
      <w:r w:rsidRPr="002B1C7D">
        <w:rPr>
          <w:lang w:val="es-ES_tradnl"/>
        </w:rPr>
        <w:t>.</w:t>
      </w:r>
    </w:p>
  </w:footnote>
  <w:footnote w:id="85">
    <w:p w14:paraId="6A02D171" w14:textId="77777777" w:rsidR="00B41CCB" w:rsidRPr="003E7D67"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Janice A. Beecher, “Privatization, monopoly, and structured competition in the water industry is there a role for regulation”, </w:t>
      </w:r>
      <w:r w:rsidRPr="002B1C7D">
        <w:rPr>
          <w:i/>
          <w:iCs/>
          <w:lang w:val="en-US"/>
        </w:rPr>
        <w:t>Journal of Contemporary Water Research and Education</w:t>
      </w:r>
      <w:r w:rsidRPr="002B1C7D">
        <w:rPr>
          <w:lang w:val="en-US"/>
        </w:rPr>
        <w:t xml:space="preserve">, </w:t>
      </w:r>
      <w:r w:rsidRPr="003E7D67">
        <w:rPr>
          <w:lang w:val="ca-ES"/>
        </w:rPr>
        <w:t>vol. 117, núm. 1 (2000).</w:t>
      </w:r>
    </w:p>
  </w:footnote>
  <w:footnote w:id="86">
    <w:p w14:paraId="0929C541" w14:textId="079AE404" w:rsidR="00B41CCB" w:rsidRPr="003E7D67" w:rsidRDefault="00B41CCB" w:rsidP="008666D3">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t>Antonio Estache, José-Luis Guasch</w:t>
      </w:r>
      <w:r>
        <w:rPr>
          <w:lang w:val="ca-ES"/>
        </w:rPr>
        <w:t xml:space="preserve"> i</w:t>
      </w:r>
      <w:r w:rsidRPr="003E7D67">
        <w:rPr>
          <w:lang w:val="ca-ES"/>
        </w:rPr>
        <w:t xml:space="preserve"> </w:t>
      </w:r>
      <w:r w:rsidRPr="002B1C7D">
        <w:rPr>
          <w:lang w:val="es-ES_tradnl"/>
        </w:rPr>
        <w:t xml:space="preserve">Lourdes Trujillo, </w:t>
      </w:r>
      <w:r w:rsidRPr="00411F23">
        <w:rPr>
          <w:lang w:val="en-US"/>
        </w:rPr>
        <w:t>“Price caps, efficiency payoffs, and infrastructure contract renegotiation in Latin America”</w:t>
      </w:r>
      <w:r w:rsidRPr="002B1C7D">
        <w:rPr>
          <w:lang w:val="es-ES_tradnl"/>
        </w:rPr>
        <w:t xml:space="preserve">, </w:t>
      </w:r>
      <w:r w:rsidRPr="008666D3">
        <w:rPr>
          <w:i/>
          <w:iCs/>
          <w:highlight w:val="yellow"/>
          <w:lang w:val="es-ES_tradnl"/>
        </w:rPr>
        <w:t>Documento de trabajo sobre investigaciones relativas a políticas públicas</w:t>
      </w:r>
      <w:r w:rsidRPr="003E7D67">
        <w:rPr>
          <w:lang w:val="ca-ES"/>
        </w:rPr>
        <w:t xml:space="preserve"> nú</w:t>
      </w:r>
      <w:r>
        <w:rPr>
          <w:lang w:val="ca-ES"/>
        </w:rPr>
        <w:t>m. 3129 (Washington D. C., Banc</w:t>
      </w:r>
      <w:r w:rsidRPr="003E7D67">
        <w:rPr>
          <w:lang w:val="ca-ES"/>
        </w:rPr>
        <w:t xml:space="preserve"> Mundial, 2003).</w:t>
      </w:r>
    </w:p>
  </w:footnote>
  <w:footnote w:id="87">
    <w:p w14:paraId="228102FE" w14:textId="77807CE3" w:rsidR="00B41CCB" w:rsidRPr="003E7D67" w:rsidRDefault="00B41CCB" w:rsidP="00411F23">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Kate Bayliss, “Privatization and poverty: the distributional impact of utility privatization”, </w:t>
      </w:r>
      <w:r w:rsidRPr="002B1C7D">
        <w:rPr>
          <w:i/>
          <w:iCs/>
          <w:lang w:val="en-US"/>
        </w:rPr>
        <w:t>Annals of Public and Cooperative Economics</w:t>
      </w:r>
      <w:r w:rsidRPr="002B1C7D">
        <w:rPr>
          <w:lang w:val="en-US"/>
        </w:rPr>
        <w:t>,</w:t>
      </w:r>
      <w:r w:rsidRPr="003E7D67">
        <w:rPr>
          <w:lang w:val="ca-ES"/>
        </w:rPr>
        <w:t xml:space="preserve"> vol. 73, núm. 4 (d</w:t>
      </w:r>
      <w:r>
        <w:rPr>
          <w:lang w:val="ca-ES"/>
        </w:rPr>
        <w:t>es</w:t>
      </w:r>
      <w:r w:rsidRPr="003E7D67">
        <w:rPr>
          <w:lang w:val="ca-ES"/>
        </w:rPr>
        <w:t>embre de 2002).</w:t>
      </w:r>
    </w:p>
  </w:footnote>
  <w:footnote w:id="88">
    <w:p w14:paraId="4A5C7C7A" w14:textId="16EE12EB" w:rsidR="00B41CCB" w:rsidRPr="003E7D67"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Clarissa Brocklehurst </w:t>
      </w:r>
      <w:r>
        <w:rPr>
          <w:lang w:val="ca-ES"/>
        </w:rPr>
        <w:t>i</w:t>
      </w:r>
      <w:r w:rsidRPr="002B1C7D">
        <w:rPr>
          <w:lang w:val="en-US"/>
        </w:rPr>
        <w:t xml:space="preserve"> Jan G. Janssens, “Innovative contracts, sound relationships: urban water sector reform in Senegal”</w:t>
      </w:r>
      <w:r>
        <w:rPr>
          <w:lang w:val="ca-ES"/>
        </w:rPr>
        <w:t>, document de debat</w:t>
      </w:r>
      <w:r w:rsidRPr="003E7D67">
        <w:rPr>
          <w:lang w:val="ca-ES"/>
        </w:rPr>
        <w:t xml:space="preserve"> de </w:t>
      </w:r>
      <w:r w:rsidRPr="00F92064">
        <w:rPr>
          <w:lang w:val="en-US"/>
        </w:rPr>
        <w:t>Water Supply and Sanitation Sector Board,</w:t>
      </w:r>
      <w:r w:rsidRPr="00411F23">
        <w:rPr>
          <w:lang w:val="en-US"/>
        </w:rPr>
        <w:t xml:space="preserve"> </w:t>
      </w:r>
      <w:r w:rsidRPr="003E7D67">
        <w:rPr>
          <w:lang w:val="ca-ES"/>
        </w:rPr>
        <w:t xml:space="preserve">núm. 1, </w:t>
      </w:r>
      <w:r>
        <w:rPr>
          <w:lang w:val="ca-ES"/>
        </w:rPr>
        <w:t>(Washington D. C., Banc</w:t>
      </w:r>
      <w:r w:rsidRPr="003E7D67">
        <w:rPr>
          <w:lang w:val="ca-ES"/>
        </w:rPr>
        <w:t xml:space="preserve"> Mundial, 2004).</w:t>
      </w:r>
    </w:p>
  </w:footnote>
  <w:footnote w:id="89">
    <w:p w14:paraId="5920229F"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Michael Rouse,</w:t>
      </w:r>
      <w:r w:rsidRPr="002B1C7D">
        <w:rPr>
          <w:i/>
          <w:iCs/>
          <w:lang w:val="en-US"/>
        </w:rPr>
        <w:t xml:space="preserve"> Institutional Governance and Regulation of Water Services: The Essential Elements</w:t>
      </w:r>
      <w:r w:rsidRPr="002B1C7D">
        <w:rPr>
          <w:lang w:val="en-US"/>
        </w:rPr>
        <w:t xml:space="preserve"> (</w:t>
      </w:r>
      <w:r w:rsidRPr="0012347D">
        <w:rPr>
          <w:lang w:val="ca-ES"/>
        </w:rPr>
        <w:t>Londres</w:t>
      </w:r>
      <w:r w:rsidRPr="002B1C7D">
        <w:rPr>
          <w:lang w:val="en-US"/>
        </w:rPr>
        <w:t>, IWA Publishing, 2007).</w:t>
      </w:r>
    </w:p>
  </w:footnote>
  <w:footnote w:id="90">
    <w:p w14:paraId="40DD007C" w14:textId="7298888B" w:rsidR="00B41CCB" w:rsidRPr="0012347D" w:rsidRDefault="00B41CCB" w:rsidP="0012347D">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r>
      <w:r>
        <w:rPr>
          <w:lang w:val="ca-ES"/>
        </w:rPr>
        <w:t xml:space="preserve">Oscar </w:t>
      </w:r>
      <w:r w:rsidRPr="0012347D">
        <w:t>Pintos</w:t>
      </w:r>
      <w:r>
        <w:rPr>
          <w:lang w:val="ca-ES"/>
        </w:rPr>
        <w:t>, President</w:t>
      </w:r>
      <w:r w:rsidRPr="0012347D">
        <w:rPr>
          <w:lang w:val="ca-ES"/>
        </w:rPr>
        <w:t xml:space="preserve"> de </w:t>
      </w:r>
      <w:r w:rsidRPr="00F92064">
        <w:rPr>
          <w:lang w:val="ca-ES"/>
        </w:rPr>
        <w:t>l’</w:t>
      </w:r>
      <w:r w:rsidRPr="00F92064">
        <w:t>Asociación Federal de Entes Reguladores de Aguas y Saneamiento,</w:t>
      </w:r>
      <w:r w:rsidRPr="0012347D">
        <w:t xml:space="preserve"> </w:t>
      </w:r>
      <w:r>
        <w:rPr>
          <w:lang w:val="ca-ES"/>
        </w:rPr>
        <w:t>en una entrevista pe</w:t>
      </w:r>
      <w:r w:rsidRPr="0012347D">
        <w:rPr>
          <w:lang w:val="ca-ES"/>
        </w:rPr>
        <w:t>r</w:t>
      </w:r>
      <w:r>
        <w:rPr>
          <w:lang w:val="ca-ES"/>
        </w:rPr>
        <w:t xml:space="preserve"> </w:t>
      </w:r>
      <w:r w:rsidRPr="0012347D">
        <w:rPr>
          <w:lang w:val="ca-ES"/>
        </w:rPr>
        <w:t xml:space="preserve">a </w:t>
      </w:r>
      <w:r>
        <w:rPr>
          <w:lang w:val="ca-ES"/>
        </w:rPr>
        <w:t xml:space="preserve">aquest </w:t>
      </w:r>
      <w:r w:rsidRPr="0012347D">
        <w:rPr>
          <w:lang w:val="ca-ES"/>
        </w:rPr>
        <w:t>informe.</w:t>
      </w:r>
    </w:p>
  </w:footnote>
  <w:footnote w:id="91">
    <w:p w14:paraId="79685CE6"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Hulya Dagdeviren, “Waiting for miracles”.</w:t>
      </w:r>
    </w:p>
  </w:footnote>
  <w:footnote w:id="92">
    <w:p w14:paraId="33C0EB2D" w14:textId="7D02870A" w:rsidR="00B41CCB" w:rsidRPr="0012347D" w:rsidRDefault="00B41CCB" w:rsidP="0012347D">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t xml:space="preserve">Laura Alves Martirani </w:t>
      </w:r>
      <w:r>
        <w:rPr>
          <w:lang w:val="ca-ES"/>
        </w:rPr>
        <w:t>i</w:t>
      </w:r>
      <w:r w:rsidRPr="002B1C7D">
        <w:rPr>
          <w:lang w:val="es-ES_tradnl"/>
        </w:rPr>
        <w:t xml:space="preserve"> Isabela Kojin Peres, “</w:t>
      </w:r>
      <w:r w:rsidRPr="0012347D">
        <w:rPr>
          <w:lang w:val="pt-BR"/>
        </w:rPr>
        <w:t xml:space="preserve">Crise hídrica em São Paulo: cobertura jornalística, percepção pública e o direito à informação”, </w:t>
      </w:r>
      <w:r w:rsidRPr="0012347D">
        <w:rPr>
          <w:i/>
          <w:iCs/>
          <w:lang w:val="pt-BR"/>
        </w:rPr>
        <w:t>Ambiente &amp; Sociedade</w:t>
      </w:r>
      <w:r w:rsidRPr="002B1C7D">
        <w:rPr>
          <w:lang w:val="es-ES_tradnl"/>
        </w:rPr>
        <w:t>,</w:t>
      </w:r>
      <w:r w:rsidRPr="0012347D">
        <w:rPr>
          <w:lang w:val="ca-ES"/>
        </w:rPr>
        <w:t xml:space="preserve"> vol. 19, núm. 1 (mar</w:t>
      </w:r>
      <w:r>
        <w:rPr>
          <w:lang w:val="ca-ES"/>
        </w:rPr>
        <w:t>ç</w:t>
      </w:r>
      <w:r w:rsidRPr="0012347D">
        <w:rPr>
          <w:lang w:val="ca-ES"/>
        </w:rPr>
        <w:t xml:space="preserve"> de 2016).</w:t>
      </w:r>
    </w:p>
  </w:footnote>
  <w:footnote w:id="93">
    <w:p w14:paraId="0B0AEE80" w14:textId="52039BBB" w:rsidR="00B41CCB" w:rsidRPr="0012347D" w:rsidRDefault="00B41CCB" w:rsidP="007E16DC">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t xml:space="preserve">Mario G. Schapiro </w:t>
      </w:r>
      <w:r>
        <w:rPr>
          <w:lang w:val="ca-ES"/>
        </w:rPr>
        <w:t>i</w:t>
      </w:r>
      <w:r w:rsidRPr="002B1C7D">
        <w:rPr>
          <w:lang w:val="es-ES_tradnl"/>
        </w:rPr>
        <w:t xml:space="preserve"> Sarah M. M. Marinho, “</w:t>
      </w:r>
      <w:r w:rsidRPr="0012347D">
        <w:rPr>
          <w:lang w:val="pt-BR"/>
        </w:rPr>
        <w:t>Conflito de interesses nas empresas estatais: uma análise dos casos Eletrobrás e Sabesp”,</w:t>
      </w:r>
      <w:r w:rsidRPr="0012347D">
        <w:rPr>
          <w:i/>
          <w:iCs/>
          <w:lang w:val="pt-BR"/>
        </w:rPr>
        <w:t xml:space="preserve"> Revista Direito &amp; Práxis</w:t>
      </w:r>
      <w:r w:rsidRPr="002B1C7D">
        <w:rPr>
          <w:lang w:val="es-ES_tradnl"/>
        </w:rPr>
        <w:t xml:space="preserve">, </w:t>
      </w:r>
      <w:r w:rsidRPr="0012347D">
        <w:rPr>
          <w:lang w:val="ca-ES"/>
        </w:rPr>
        <w:t>vol. 9, núm. 3 (2018).</w:t>
      </w:r>
    </w:p>
  </w:footnote>
  <w:footnote w:id="94">
    <w:p w14:paraId="3D6C4D1D" w14:textId="4118A8CC" w:rsidR="00B41CCB" w:rsidRPr="002B1C7D" w:rsidRDefault="00B41CCB" w:rsidP="0012347D">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12347D">
        <w:rPr>
          <w:lang w:val="ca-ES"/>
        </w:rPr>
        <w:t>Vegeu</w:t>
      </w:r>
      <w:r w:rsidRPr="002B1C7D">
        <w:rPr>
          <w:lang w:val="es-ES_tradnl"/>
        </w:rPr>
        <w:t xml:space="preserve"> AL NGA 1/2020. </w:t>
      </w:r>
      <w:r w:rsidRPr="0012347D">
        <w:rPr>
          <w:lang w:val="ca-ES"/>
        </w:rPr>
        <w:t xml:space="preserve">Disponible </w:t>
      </w:r>
      <w:r>
        <w:rPr>
          <w:lang w:val="ca-ES"/>
        </w:rPr>
        <w:t>a</w:t>
      </w:r>
      <w:r w:rsidRPr="002B1C7D">
        <w:rPr>
          <w:lang w:val="es-ES_tradnl"/>
        </w:rPr>
        <w:t xml:space="preserve"> </w:t>
      </w:r>
      <w:hyperlink r:id="rId31" w:history="1">
        <w:r w:rsidRPr="002B1C7D">
          <w:rPr>
            <w:rStyle w:val="Hyperlink"/>
            <w:lang w:val="es-ES_tradnl"/>
          </w:rPr>
          <w:t>https://spcommreports.ohchr.org/TMResultsBase/</w:t>
        </w:r>
        <w:r w:rsidRPr="002B1C7D">
          <w:rPr>
            <w:rStyle w:val="Hyperlink"/>
            <w:lang w:val="es-ES_tradnl"/>
          </w:rPr>
          <w:br/>
          <w:t>DownLoadPublicCommunicationFile?gId=25024</w:t>
        </w:r>
      </w:hyperlink>
      <w:r w:rsidRPr="002B1C7D">
        <w:rPr>
          <w:lang w:val="es-ES_tradnl"/>
        </w:rPr>
        <w:t>.</w:t>
      </w:r>
    </w:p>
  </w:footnote>
  <w:footnote w:id="95">
    <w:p w14:paraId="7ED7163E"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Eric Gutiérrez </w:t>
      </w:r>
      <w:r w:rsidRPr="002B1C7D">
        <w:rPr>
          <w:i/>
          <w:iCs/>
          <w:lang w:val="en-US"/>
        </w:rPr>
        <w:t>et al.</w:t>
      </w:r>
      <w:r w:rsidRPr="002B1C7D">
        <w:rPr>
          <w:lang w:val="en-US"/>
        </w:rPr>
        <w:t xml:space="preserve">, </w:t>
      </w:r>
      <w:r w:rsidRPr="002B1C7D">
        <w:rPr>
          <w:i/>
          <w:iCs/>
          <w:lang w:val="en-US"/>
        </w:rPr>
        <w:t>New Rules, New Roles</w:t>
      </w:r>
      <w:r w:rsidRPr="002B1C7D">
        <w:rPr>
          <w:lang w:val="en-US"/>
        </w:rPr>
        <w:t>.</w:t>
      </w:r>
    </w:p>
  </w:footnote>
  <w:footnote w:id="96">
    <w:p w14:paraId="1C7D3805" w14:textId="10FB6875" w:rsidR="00B41CCB" w:rsidRPr="001234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r>
      <w:r w:rsidRPr="0012347D">
        <w:rPr>
          <w:lang w:val="ca-ES"/>
        </w:rPr>
        <w:t>Vegeu</w:t>
      </w:r>
      <w:r>
        <w:rPr>
          <w:lang w:val="ca-ES"/>
        </w:rPr>
        <w:t xml:space="preserve"> la contribució</w:t>
      </w:r>
      <w:r w:rsidRPr="0012347D">
        <w:rPr>
          <w:lang w:val="ca-ES"/>
        </w:rPr>
        <w:t xml:space="preserve"> de</w:t>
      </w:r>
      <w:r w:rsidRPr="002B1C7D">
        <w:rPr>
          <w:lang w:val="es-ES_tradnl"/>
        </w:rPr>
        <w:t xml:space="preserve"> </w:t>
      </w:r>
      <w:r w:rsidRPr="0012347D">
        <w:rPr>
          <w:lang w:val="en-US"/>
        </w:rPr>
        <w:t>Food &amp; Water Watch.</w:t>
      </w:r>
    </w:p>
  </w:footnote>
  <w:footnote w:id="97">
    <w:p w14:paraId="0ADAD616" w14:textId="098D3275"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Greg Ruiters </w:t>
      </w:r>
      <w:r>
        <w:rPr>
          <w:lang w:val="ca-ES"/>
        </w:rPr>
        <w:t>i</w:t>
      </w:r>
      <w:r w:rsidRPr="002B1C7D">
        <w:rPr>
          <w:lang w:val="en-US"/>
        </w:rPr>
        <w:t xml:space="preserve"> Patrick Bond, “Contradictions in municipal transformation from apartheid to democracy: the battle over local water privatization in South Africa”, Background Research Series, Municipal Services Project (2010).</w:t>
      </w:r>
    </w:p>
  </w:footnote>
  <w:footnote w:id="98">
    <w:p w14:paraId="0853BB4C" w14:textId="679DDF45"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Satoko Kishimoto </w:t>
      </w:r>
      <w:r>
        <w:rPr>
          <w:lang w:val="ca-ES"/>
        </w:rPr>
        <w:t>i</w:t>
      </w:r>
      <w:r w:rsidRPr="002B1C7D">
        <w:rPr>
          <w:lang w:val="en-US"/>
        </w:rPr>
        <w:t xml:space="preserve"> Olivier Petitjean, eds.,</w:t>
      </w:r>
      <w:r w:rsidRPr="00D53FF1">
        <w:rPr>
          <w:lang w:val="en-GB"/>
        </w:rPr>
        <w:t xml:space="preserve"> </w:t>
      </w:r>
      <w:r w:rsidRPr="00D53FF1">
        <w:rPr>
          <w:i/>
          <w:iCs/>
          <w:lang w:val="en-GB"/>
        </w:rPr>
        <w:t>Reclaiming Public Services – How Cities and Citizens Are Turning Back Privatisation</w:t>
      </w:r>
      <w:r w:rsidRPr="002B1C7D">
        <w:rPr>
          <w:lang w:val="en-US"/>
        </w:rPr>
        <w:t xml:space="preserve"> (</w:t>
      </w:r>
      <w:r>
        <w:rPr>
          <w:lang w:val="ca-ES"/>
        </w:rPr>
        <w:t>A</w:t>
      </w:r>
      <w:r w:rsidRPr="000526A6">
        <w:rPr>
          <w:lang w:val="ca-ES"/>
        </w:rPr>
        <w:t>msterdam</w:t>
      </w:r>
      <w:r w:rsidRPr="002B1C7D">
        <w:rPr>
          <w:lang w:val="en-US"/>
        </w:rPr>
        <w:t>, Transnational Institute, 2017).</w:t>
      </w:r>
    </w:p>
  </w:footnote>
  <w:footnote w:id="99">
    <w:p w14:paraId="0F451A05" w14:textId="69755F01" w:rsidR="00B41CCB" w:rsidRPr="000526A6" w:rsidRDefault="00B41CCB" w:rsidP="00D53FF1">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r>
      <w:r w:rsidRPr="000526A6">
        <w:rPr>
          <w:lang w:val="ca-ES"/>
        </w:rPr>
        <w:t xml:space="preserve">Contribució derivada de la consulta nacional </w:t>
      </w:r>
      <w:r>
        <w:rPr>
          <w:lang w:val="ca-ES"/>
        </w:rPr>
        <w:t xml:space="preserve">a </w:t>
      </w:r>
      <w:r w:rsidRPr="000526A6">
        <w:rPr>
          <w:lang w:val="ca-ES"/>
        </w:rPr>
        <w:t>Espa</w:t>
      </w:r>
      <w:r>
        <w:rPr>
          <w:lang w:val="ca-ES"/>
        </w:rPr>
        <w:t>ny</w:t>
      </w:r>
      <w:r w:rsidRPr="000526A6">
        <w:rPr>
          <w:lang w:val="ca-ES"/>
        </w:rPr>
        <w:t>a.</w:t>
      </w:r>
    </w:p>
  </w:footnote>
  <w:footnote w:id="100">
    <w:p w14:paraId="6903E943" w14:textId="7777777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r>
      <w:r w:rsidRPr="002B1C7D">
        <w:rPr>
          <w:i/>
          <w:iCs/>
          <w:lang w:val="en-US"/>
        </w:rPr>
        <w:t>Ibid.</w:t>
      </w:r>
    </w:p>
  </w:footnote>
  <w:footnote w:id="101">
    <w:p w14:paraId="56189910" w14:textId="21D0C5E8" w:rsidR="00B41CCB" w:rsidRPr="003F3677"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Tony Ballance </w:t>
      </w:r>
      <w:r>
        <w:rPr>
          <w:lang w:val="ca-ES"/>
        </w:rPr>
        <w:t>i</w:t>
      </w:r>
      <w:r w:rsidRPr="002B1C7D">
        <w:rPr>
          <w:lang w:val="en-US"/>
        </w:rPr>
        <w:t xml:space="preserve"> Sophie Trémolet, “Private sector participation in urban water supply</w:t>
      </w:r>
      <w:r>
        <w:rPr>
          <w:lang w:val="en-US"/>
        </w:rPr>
        <w:t xml:space="preserve"> in sub-Saharan Africa”, </w:t>
      </w:r>
      <w:r w:rsidRPr="00D53FF1">
        <w:rPr>
          <w:lang w:val="ca-ES"/>
        </w:rPr>
        <w:t xml:space="preserve">estudi per </w:t>
      </w:r>
      <w:r w:rsidRPr="003F3677">
        <w:rPr>
          <w:lang w:val="ca-ES"/>
        </w:rPr>
        <w:t>a</w:t>
      </w:r>
      <w:r w:rsidRPr="003F3677">
        <w:rPr>
          <w:lang w:val="en-US"/>
        </w:rPr>
        <w:t xml:space="preserve"> KfW Bankengruppe, 2005.</w:t>
      </w:r>
    </w:p>
  </w:footnote>
  <w:footnote w:id="102">
    <w:p w14:paraId="08B4DFF8" w14:textId="019594E0" w:rsidR="00B41CCB" w:rsidRPr="002B1C7D" w:rsidRDefault="00B41CCB" w:rsidP="00D53FF1">
      <w:pPr>
        <w:pStyle w:val="FootnoteText"/>
        <w:tabs>
          <w:tab w:val="clear" w:pos="418"/>
          <w:tab w:val="right" w:pos="1195"/>
          <w:tab w:val="left" w:pos="1267"/>
          <w:tab w:val="left" w:pos="1742"/>
          <w:tab w:val="left" w:pos="2218"/>
          <w:tab w:val="left" w:pos="2693"/>
        </w:tabs>
        <w:ind w:left="1267" w:right="1267" w:hanging="432"/>
        <w:rPr>
          <w:lang w:val="es-ES_tradnl"/>
        </w:rPr>
      </w:pPr>
      <w:r w:rsidRPr="003F3677">
        <w:rPr>
          <w:lang w:val="en-US"/>
        </w:rPr>
        <w:tab/>
      </w:r>
      <w:r w:rsidRPr="003F3677">
        <w:rPr>
          <w:rStyle w:val="FootnoteReference"/>
          <w:lang w:val="es-ES_tradnl"/>
        </w:rPr>
        <w:footnoteRef/>
      </w:r>
      <w:r w:rsidRPr="003F3677">
        <w:rPr>
          <w:lang w:val="es-ES_tradnl"/>
        </w:rPr>
        <w:t xml:space="preserve"> </w:t>
      </w:r>
      <w:r w:rsidRPr="003F3677">
        <w:rPr>
          <w:lang w:val="es-ES_tradnl"/>
        </w:rPr>
        <w:tab/>
      </w:r>
      <w:r w:rsidRPr="003F3677">
        <w:rPr>
          <w:lang w:val="ca-ES"/>
        </w:rPr>
        <w:t xml:space="preserve">Oscar </w:t>
      </w:r>
      <w:r w:rsidRPr="003F3677">
        <w:t>Pintos</w:t>
      </w:r>
      <w:r w:rsidRPr="003F3677">
        <w:rPr>
          <w:lang w:val="ca-ES"/>
        </w:rPr>
        <w:t>, President de l’</w:t>
      </w:r>
      <w:r w:rsidRPr="003F3677">
        <w:t xml:space="preserve">Asociación Federal de Entes Reguladores de Aguas y Saneamiento, </w:t>
      </w:r>
      <w:r w:rsidRPr="003F3677">
        <w:rPr>
          <w:lang w:val="ca-ES"/>
        </w:rPr>
        <w:t>en una entrevista per a aquest informe</w:t>
      </w:r>
      <w:r w:rsidRPr="00D53FF1">
        <w:rPr>
          <w:lang w:val="ca-ES"/>
        </w:rPr>
        <w:t>.</w:t>
      </w:r>
    </w:p>
  </w:footnote>
  <w:footnote w:id="103">
    <w:p w14:paraId="1E00E8D0" w14:textId="55A2AE21" w:rsidR="00B41CCB" w:rsidRPr="00D53FF1" w:rsidRDefault="00B41CCB" w:rsidP="002E4EB7">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t xml:space="preserve">David Hall </w:t>
      </w:r>
      <w:r>
        <w:rPr>
          <w:lang w:val="ca-ES"/>
        </w:rPr>
        <w:t>i</w:t>
      </w:r>
      <w:r w:rsidRPr="002B1C7D">
        <w:rPr>
          <w:lang w:val="es-ES_tradnl"/>
        </w:rPr>
        <w:t xml:space="preserve"> Emanuele Lobina, </w:t>
      </w:r>
      <w:r w:rsidRPr="001F671C">
        <w:rPr>
          <w:lang w:val="en-GB"/>
        </w:rPr>
        <w:t>“The past, present and future of finance for investment in water systems”</w:t>
      </w:r>
      <w:r w:rsidRPr="002B1C7D">
        <w:rPr>
          <w:lang w:val="es-ES_tradnl"/>
        </w:rPr>
        <w:t xml:space="preserve">, </w:t>
      </w:r>
      <w:r w:rsidRPr="001F671C">
        <w:rPr>
          <w:lang w:val="ca-ES"/>
        </w:rPr>
        <w:t>Unitat de Recerca en Serveis Públics</w:t>
      </w:r>
      <w:r w:rsidRPr="002B1C7D">
        <w:rPr>
          <w:lang w:val="es-ES_tradnl"/>
        </w:rPr>
        <w:t xml:space="preserve">, </w:t>
      </w:r>
      <w:r>
        <w:rPr>
          <w:lang w:val="ca-ES"/>
        </w:rPr>
        <w:t>document</w:t>
      </w:r>
      <w:r w:rsidRPr="000526A6">
        <w:rPr>
          <w:lang w:val="ca-ES"/>
        </w:rPr>
        <w:t xml:space="preserve"> presenta</w:t>
      </w:r>
      <w:r>
        <w:rPr>
          <w:lang w:val="ca-ES"/>
        </w:rPr>
        <w:t>t a la conferè</w:t>
      </w:r>
      <w:r w:rsidRPr="000526A6">
        <w:rPr>
          <w:lang w:val="ca-ES"/>
        </w:rPr>
        <w:t>ncia de</w:t>
      </w:r>
      <w:r>
        <w:rPr>
          <w:lang w:val="ca-ES"/>
        </w:rPr>
        <w:t xml:space="preserve"> </w:t>
      </w:r>
      <w:r w:rsidRPr="000526A6">
        <w:rPr>
          <w:lang w:val="ca-ES"/>
        </w:rPr>
        <w:t>l</w:t>
      </w:r>
      <w:r>
        <w:rPr>
          <w:lang w:val="ca-ES"/>
        </w:rPr>
        <w:t>’</w:t>
      </w:r>
      <w:r w:rsidRPr="000526A6">
        <w:rPr>
          <w:lang w:val="ca-ES"/>
        </w:rPr>
        <w:t>IRC titulada</w:t>
      </w:r>
      <w:r w:rsidRPr="002B1C7D">
        <w:rPr>
          <w:lang w:val="es-ES_tradnl"/>
        </w:rPr>
        <w:t xml:space="preserve"> “</w:t>
      </w:r>
      <w:r w:rsidRPr="001F671C">
        <w:rPr>
          <w:lang w:val="en-GB"/>
        </w:rPr>
        <w:t>Pumps, pipes and promises</w:t>
      </w:r>
      <w:r w:rsidRPr="002B1C7D">
        <w:rPr>
          <w:lang w:val="es-ES_tradnl"/>
        </w:rPr>
        <w:t>”,</w:t>
      </w:r>
      <w:r>
        <w:rPr>
          <w:lang w:val="ca-ES"/>
        </w:rPr>
        <w:t xml:space="preserve"> La Hai</w:t>
      </w:r>
      <w:r w:rsidRPr="00D53FF1">
        <w:rPr>
          <w:lang w:val="ca-ES"/>
        </w:rPr>
        <w:t>a (Països Baixos), novembre de 2010.</w:t>
      </w:r>
    </w:p>
  </w:footnote>
  <w:footnote w:id="104">
    <w:p w14:paraId="23F0447D" w14:textId="5EAE62A3" w:rsidR="00B41CCB" w:rsidRPr="002B1C7D" w:rsidRDefault="00B41CCB" w:rsidP="001F671C">
      <w:pPr>
        <w:pStyle w:val="FootnoteText"/>
        <w:tabs>
          <w:tab w:val="clear" w:pos="418"/>
          <w:tab w:val="right" w:pos="1195"/>
          <w:tab w:val="left" w:pos="1267"/>
          <w:tab w:val="left" w:pos="1742"/>
          <w:tab w:val="left" w:pos="2218"/>
          <w:tab w:val="left" w:pos="2693"/>
        </w:tabs>
        <w:ind w:left="1267" w:right="1267" w:hanging="432"/>
        <w:rPr>
          <w:lang w:val="es-ES_tradnl"/>
        </w:rPr>
      </w:pPr>
      <w:r w:rsidRPr="00D53FF1">
        <w:rPr>
          <w:lang w:val="ca-ES"/>
        </w:rPr>
        <w:tab/>
      </w:r>
      <w:r w:rsidRPr="00D53FF1">
        <w:rPr>
          <w:rStyle w:val="FootnoteReference"/>
          <w:lang w:val="ca-ES"/>
        </w:rPr>
        <w:footnoteRef/>
      </w:r>
      <w:r>
        <w:rPr>
          <w:lang w:val="ca-ES"/>
        </w:rPr>
        <w:t xml:space="preserve"> </w:t>
      </w:r>
      <w:r>
        <w:rPr>
          <w:lang w:val="ca-ES"/>
        </w:rPr>
        <w:tab/>
        <w:t>Resolució del Parlament Europeu</w:t>
      </w:r>
      <w:r w:rsidRPr="00D53FF1">
        <w:rPr>
          <w:lang w:val="ca-ES"/>
        </w:rPr>
        <w:t xml:space="preserve">, de 8 de setembre de 2015, sobre el seguiment de la Iniciativa Ciutadana Europea Right2Water (2014/2239(INI)), § N. Disponible </w:t>
      </w:r>
      <w:r>
        <w:rPr>
          <w:lang w:val="ca-ES"/>
        </w:rPr>
        <w:t>a</w:t>
      </w:r>
      <w:r w:rsidRPr="00D53FF1">
        <w:rPr>
          <w:lang w:val="ca-ES"/>
        </w:rPr>
        <w:t xml:space="preserve"> </w:t>
      </w:r>
      <w:hyperlink r:id="rId32" w:history="1">
        <w:r w:rsidRPr="002B1C7D">
          <w:rPr>
            <w:rStyle w:val="Hyperlink"/>
            <w:lang w:val="es-ES_tradnl"/>
          </w:rPr>
          <w:t>https://www.europarl.europa.eu/doceo/document/TA-8-2015-0294_ES.html</w:t>
        </w:r>
      </w:hyperlink>
      <w:r w:rsidRPr="002B1C7D">
        <w:rPr>
          <w:lang w:val="es-ES_tradnl"/>
        </w:rPr>
        <w:t>.</w:t>
      </w:r>
    </w:p>
  </w:footnote>
  <w:footnote w:id="105">
    <w:p w14:paraId="5380297B" w14:textId="69D70760" w:rsidR="00B41CCB" w:rsidRPr="002B1C7D" w:rsidRDefault="00B41CCB" w:rsidP="003C1D1B">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t xml:space="preserve">Bart Minten </w:t>
      </w:r>
      <w:r w:rsidRPr="002B1C7D">
        <w:rPr>
          <w:i/>
          <w:iCs/>
          <w:lang w:val="es-ES_tradnl"/>
        </w:rPr>
        <w:t>et al.</w:t>
      </w:r>
      <w:r w:rsidRPr="002B1C7D">
        <w:rPr>
          <w:lang w:val="es-ES_tradnl"/>
        </w:rPr>
        <w:t xml:space="preserve">, </w:t>
      </w:r>
      <w:r w:rsidRPr="003C1D1B">
        <w:rPr>
          <w:lang w:val="en-GB"/>
        </w:rPr>
        <w:t>“Water pricing, the new water law, and the poor: an estimation of demand for improved water services in Madagascar”,</w:t>
      </w:r>
      <w:r w:rsidRPr="002B1C7D">
        <w:rPr>
          <w:lang w:val="es-ES_tradnl"/>
        </w:rPr>
        <w:t xml:space="preserve"> </w:t>
      </w:r>
      <w:r w:rsidRPr="003C1D1B">
        <w:rPr>
          <w:lang w:val="ca-ES"/>
        </w:rPr>
        <w:t>informe S12 (Programa Ilo de l</w:t>
      </w:r>
      <w:r>
        <w:rPr>
          <w:lang w:val="ca-ES"/>
        </w:rPr>
        <w:t>’</w:t>
      </w:r>
      <w:r w:rsidRPr="003C1D1B">
        <w:rPr>
          <w:lang w:val="ca-ES"/>
        </w:rPr>
        <w:t xml:space="preserve">Agència dels Estats Units per al Desenvolupament Internacional (USAID) </w:t>
      </w:r>
      <w:r>
        <w:rPr>
          <w:lang w:val="ca-ES"/>
        </w:rPr>
        <w:t>i</w:t>
      </w:r>
      <w:r w:rsidRPr="003C1D1B">
        <w:rPr>
          <w:lang w:val="ca-ES"/>
        </w:rPr>
        <w:t xml:space="preserve"> Universitat</w:t>
      </w:r>
      <w:r w:rsidRPr="002B1C7D">
        <w:rPr>
          <w:lang w:val="es-ES_tradnl"/>
        </w:rPr>
        <w:t xml:space="preserve"> de </w:t>
      </w:r>
      <w:r w:rsidRPr="003C1D1B">
        <w:rPr>
          <w:lang w:val="en-GB"/>
        </w:rPr>
        <w:t>Cornell</w:t>
      </w:r>
      <w:r w:rsidRPr="002B1C7D">
        <w:rPr>
          <w:lang w:val="es-ES_tradnl"/>
        </w:rPr>
        <w:t>, 2002).</w:t>
      </w:r>
    </w:p>
  </w:footnote>
  <w:footnote w:id="106">
    <w:p w14:paraId="76C424C1" w14:textId="3FC7AAC0" w:rsidR="00B41CCB" w:rsidRPr="002B1C7D" w:rsidRDefault="00B41CCB" w:rsidP="003C1D1B">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Julia Brown, “Water service subsidies and the poor: a case study of Greater Nelspruit Utility Company, Mbombela Municipality, South Africa”,</w:t>
      </w:r>
      <w:r w:rsidRPr="003C1D1B">
        <w:rPr>
          <w:lang w:val="ca-ES"/>
        </w:rPr>
        <w:t xml:space="preserve"> documen</w:t>
      </w:r>
      <w:r>
        <w:rPr>
          <w:lang w:val="ca-ES"/>
        </w:rPr>
        <w:t>t</w:t>
      </w:r>
      <w:r w:rsidRPr="003C1D1B">
        <w:rPr>
          <w:lang w:val="ca-ES"/>
        </w:rPr>
        <w:t xml:space="preserve"> de </w:t>
      </w:r>
      <w:r>
        <w:rPr>
          <w:lang w:val="ca-ES"/>
        </w:rPr>
        <w:t>treball</w:t>
      </w:r>
      <w:r w:rsidRPr="003C1D1B">
        <w:rPr>
          <w:lang w:val="ca-ES"/>
        </w:rPr>
        <w:t xml:space="preserve"> núm. 112 del</w:t>
      </w:r>
      <w:r w:rsidRPr="002B1C7D">
        <w:rPr>
          <w:lang w:val="en-US"/>
        </w:rPr>
        <w:t xml:space="preserve"> Centre on Regulation and Competition (Manchester</w:t>
      </w:r>
      <w:r>
        <w:rPr>
          <w:lang w:val="en-US"/>
        </w:rPr>
        <w:t>,</w:t>
      </w:r>
      <w:r w:rsidRPr="002B1C7D">
        <w:rPr>
          <w:lang w:val="en-US"/>
        </w:rPr>
        <w:t xml:space="preserve"> </w:t>
      </w:r>
      <w:r w:rsidRPr="003C1D1B">
        <w:rPr>
          <w:lang w:val="ca-ES"/>
        </w:rPr>
        <w:t>Regne Unit, Universitat de</w:t>
      </w:r>
      <w:r w:rsidRPr="002B1C7D">
        <w:rPr>
          <w:lang w:val="en-US"/>
        </w:rPr>
        <w:t xml:space="preserve"> Manchester, 2005).</w:t>
      </w:r>
    </w:p>
  </w:footnote>
  <w:footnote w:id="107">
    <w:p w14:paraId="5DC2EE7B" w14:textId="7F394F9D" w:rsidR="00B41CCB" w:rsidRPr="002B1C7D" w:rsidRDefault="00B41CCB" w:rsidP="007E16DC">
      <w:pPr>
        <w:pStyle w:val="FootnoteText"/>
        <w:keepNext/>
        <w:keepLines/>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t xml:space="preserve">Asociación Española de Empresas Gestoras de los </w:t>
      </w:r>
      <w:r>
        <w:rPr>
          <w:lang w:val="es-ES_tradnl"/>
        </w:rPr>
        <w:t>Servicios</w:t>
      </w:r>
      <w:r w:rsidRPr="002B1C7D">
        <w:rPr>
          <w:lang w:val="es-ES_tradnl"/>
        </w:rPr>
        <w:t xml:space="preserve"> de Agua, “Medidas adoptadas por el Real Decreto-ley 11/2020 en materia de garantía de suministro de agua”; </w:t>
      </w:r>
      <w:r>
        <w:rPr>
          <w:lang w:val="ca-ES"/>
        </w:rPr>
        <w:t>i</w:t>
      </w:r>
      <w:r w:rsidRPr="003C1D1B">
        <w:rPr>
          <w:lang w:val="pt-BR"/>
        </w:rPr>
        <w:t xml:space="preserve"> Associação Brasileira das Concessionárias Privadas de Serviços Públicos de Água e Esgoto (ABCON)</w:t>
      </w:r>
      <w:r w:rsidRPr="002B1C7D">
        <w:rPr>
          <w:lang w:val="es-ES_tradnl"/>
        </w:rPr>
        <w:t xml:space="preserve"> </w:t>
      </w:r>
      <w:r>
        <w:rPr>
          <w:lang w:val="ca-ES"/>
        </w:rPr>
        <w:t>i</w:t>
      </w:r>
      <w:r w:rsidRPr="002B1C7D">
        <w:rPr>
          <w:lang w:val="es-ES_tradnl"/>
        </w:rPr>
        <w:t xml:space="preserve"> </w:t>
      </w:r>
      <w:r w:rsidRPr="003C1D1B">
        <w:rPr>
          <w:lang w:val="pt-BR"/>
        </w:rPr>
        <w:t>Associação Brasileira das Empresas Estaduais de Saneamento (AESBE), “O fornecimento de água não pode parar - posicionamento do setor de saneamento sobre medidas de controle da expansão do COVID-19 e decorrentes medidas de proteção social”</w:t>
      </w:r>
      <w:r w:rsidRPr="002B1C7D">
        <w:rPr>
          <w:lang w:val="es-ES_tradnl"/>
        </w:rPr>
        <w:t>.</w:t>
      </w:r>
    </w:p>
  </w:footnote>
  <w:footnote w:id="108">
    <w:p w14:paraId="1A43D3F4" w14:textId="20CC091C" w:rsidR="00B41CCB" w:rsidRPr="002B1C7D" w:rsidRDefault="00B41CCB" w:rsidP="003C1D1B">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3C1D1B">
        <w:rPr>
          <w:lang w:val="en-GB"/>
        </w:rPr>
        <w:t>Aqua</w:t>
      </w:r>
      <w:r w:rsidRPr="002B1C7D">
        <w:rPr>
          <w:lang w:val="es-ES_tradnl"/>
        </w:rPr>
        <w:t xml:space="preserve"> Publica Europea, “</w:t>
      </w:r>
      <w:r w:rsidRPr="003C1D1B">
        <w:rPr>
          <w:lang w:val="en-GB"/>
        </w:rPr>
        <w:t>Joint statement: European public water operators commit to the continuity of water services in response to COVID-19 emergency</w:t>
      </w:r>
      <w:r w:rsidRPr="002B1C7D">
        <w:rPr>
          <w:lang w:val="es-ES_tradnl"/>
        </w:rPr>
        <w:t xml:space="preserve">”, </w:t>
      </w:r>
      <w:r w:rsidRPr="003C1D1B">
        <w:rPr>
          <w:lang w:val="ca-ES"/>
        </w:rPr>
        <w:t>19 de mar</w:t>
      </w:r>
      <w:r>
        <w:rPr>
          <w:lang w:val="ca-ES"/>
        </w:rPr>
        <w:t>ç</w:t>
      </w:r>
      <w:r w:rsidRPr="003C1D1B">
        <w:rPr>
          <w:lang w:val="ca-ES"/>
        </w:rPr>
        <w:t xml:space="preserve"> de 2020, disponible </w:t>
      </w:r>
      <w:r>
        <w:rPr>
          <w:lang w:val="ca-ES"/>
        </w:rPr>
        <w:t>a</w:t>
      </w:r>
      <w:r w:rsidRPr="002B1C7D">
        <w:rPr>
          <w:lang w:val="es-ES_tradnl"/>
        </w:rPr>
        <w:t xml:space="preserve"> </w:t>
      </w:r>
      <w:bookmarkStart w:id="4" w:name="_Hlk48575366"/>
      <w:r w:rsidRPr="002B1C7D">
        <w:rPr>
          <w:lang w:val="es-ES_tradnl"/>
        </w:rPr>
        <w:fldChar w:fldCharType="begin"/>
      </w:r>
      <w:r w:rsidRPr="002B1C7D">
        <w:rPr>
          <w:lang w:val="es-ES_tradnl"/>
        </w:rPr>
        <w:instrText xml:space="preserve"> HYPERLINK "http://www.aquapublica.eu/article/news/joint-statement-european-public-water-operators-commit-continuity-water-services" </w:instrText>
      </w:r>
      <w:r w:rsidRPr="002B1C7D">
        <w:rPr>
          <w:lang w:val="es-ES_tradnl"/>
        </w:rPr>
        <w:fldChar w:fldCharType="separate"/>
      </w:r>
      <w:r w:rsidRPr="002B1C7D">
        <w:rPr>
          <w:rStyle w:val="Hyperlink"/>
          <w:spacing w:val="2"/>
          <w:w w:val="101"/>
          <w:lang w:val="es-ES_tradnl"/>
        </w:rPr>
        <w:t>www.aquapublica.eu/article/news/joint-statement-european-public-water-operators-commit-continuity-water-services</w:t>
      </w:r>
      <w:r w:rsidRPr="002B1C7D">
        <w:rPr>
          <w:lang w:val="es-ES_tradnl"/>
        </w:rPr>
        <w:fldChar w:fldCharType="end"/>
      </w:r>
      <w:bookmarkEnd w:id="4"/>
      <w:r w:rsidRPr="002B1C7D">
        <w:rPr>
          <w:lang w:val="es-ES_tradnl"/>
        </w:rPr>
        <w:t xml:space="preserve">; </w:t>
      </w:r>
      <w:r>
        <w:rPr>
          <w:lang w:val="ca-ES"/>
        </w:rPr>
        <w:t>i</w:t>
      </w:r>
      <w:r w:rsidRPr="002B1C7D">
        <w:rPr>
          <w:lang w:val="es-ES_tradnl"/>
        </w:rPr>
        <w:t xml:space="preserve"> </w:t>
      </w:r>
      <w:r w:rsidRPr="003C1D1B">
        <w:rPr>
          <w:lang w:val="pt-BR"/>
        </w:rPr>
        <w:t>Observatório Nacional dos Direitos à Água e ao Saneamento (ONDAS), “Sustentabilidade financeira dos serviços públicos de água e esgoto é importante, mas a prioridade deve ser salvar vidas</w:t>
      </w:r>
      <w:r w:rsidRPr="002B1C7D">
        <w:rPr>
          <w:lang w:val="es-ES_tradnl"/>
        </w:rPr>
        <w:t>”</w:t>
      </w:r>
      <w:r w:rsidRPr="003C1D1B">
        <w:rPr>
          <w:lang w:val="ca-ES"/>
        </w:rPr>
        <w:t>, 26 de mar</w:t>
      </w:r>
      <w:r>
        <w:rPr>
          <w:lang w:val="ca-ES"/>
        </w:rPr>
        <w:t>ç</w:t>
      </w:r>
      <w:r w:rsidRPr="003C1D1B">
        <w:rPr>
          <w:lang w:val="ca-ES"/>
        </w:rPr>
        <w:t xml:space="preserve"> de 2020, disponible </w:t>
      </w:r>
      <w:r>
        <w:rPr>
          <w:lang w:val="ca-ES"/>
        </w:rPr>
        <w:t>a</w:t>
      </w:r>
      <w:r w:rsidRPr="003C1D1B">
        <w:rPr>
          <w:lang w:val="ca-ES"/>
        </w:rPr>
        <w:t xml:space="preserve"> </w:t>
      </w:r>
      <w:hyperlink r:id="rId33" w:history="1">
        <w:r w:rsidRPr="002B1C7D">
          <w:rPr>
            <w:rStyle w:val="Hyperlink"/>
            <w:spacing w:val="2"/>
            <w:w w:val="101"/>
            <w:lang w:val="es-ES_tradnl"/>
          </w:rPr>
          <w:t>https://ondasbrasil.org/sustentabilidade-financeira-dos-servicos-publicos-de-agua-e-esgoto-e-importante-mas-a-prioridade-deve-ser-salvar-vidas/</w:t>
        </w:r>
      </w:hyperlink>
      <w:r w:rsidRPr="002B1C7D">
        <w:rPr>
          <w:lang w:val="es-ES_tradnl"/>
        </w:rPr>
        <w:t>.</w:t>
      </w:r>
    </w:p>
  </w:footnote>
  <w:footnote w:id="109">
    <w:p w14:paraId="3727075D" w14:textId="1B9F008A"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hyperlink r:id="rId34" w:history="1">
        <w:r w:rsidRPr="002B1C7D">
          <w:rPr>
            <w:rStyle w:val="Hyperlink"/>
            <w:lang w:val="es-ES_tradnl"/>
          </w:rPr>
          <w:t>A/73/162</w:t>
        </w:r>
      </w:hyperlink>
      <w:r w:rsidRPr="002B1C7D">
        <w:rPr>
          <w:lang w:val="es-ES_tradnl"/>
        </w:rPr>
        <w:t xml:space="preserve">, </w:t>
      </w:r>
      <w:r>
        <w:rPr>
          <w:lang w:val="es-ES_tradnl"/>
        </w:rPr>
        <w:t>§</w:t>
      </w:r>
      <w:r w:rsidRPr="002B1C7D">
        <w:rPr>
          <w:lang w:val="es-ES_tradnl"/>
        </w:rPr>
        <w:t xml:space="preserve"> 6.</w:t>
      </w:r>
    </w:p>
  </w:footnote>
  <w:footnote w:id="110">
    <w:p w14:paraId="6F525ED0" w14:textId="7D06416F" w:rsidR="00B41CCB" w:rsidRPr="003C1D1B" w:rsidRDefault="00B41CCB" w:rsidP="003C1D1B">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3C1D1B">
        <w:rPr>
          <w:lang w:val="ca-ES"/>
        </w:rPr>
        <w:tab/>
        <w:t>Comitè de D</w:t>
      </w:r>
      <w:r>
        <w:rPr>
          <w:lang w:val="ca-ES"/>
        </w:rPr>
        <w:t>rets Econò</w:t>
      </w:r>
      <w:r w:rsidRPr="003C1D1B">
        <w:rPr>
          <w:lang w:val="ca-ES"/>
        </w:rPr>
        <w:t>mic</w:t>
      </w:r>
      <w:r>
        <w:rPr>
          <w:lang w:val="ca-ES"/>
        </w:rPr>
        <w:t>s, Socials i Cultural, observació</w:t>
      </w:r>
      <w:r w:rsidRPr="003C1D1B">
        <w:rPr>
          <w:lang w:val="ca-ES"/>
        </w:rPr>
        <w:t xml:space="preserve"> general núm. 24 (2017) sobre les </w:t>
      </w:r>
      <w:r>
        <w:rPr>
          <w:lang w:val="ca-ES"/>
        </w:rPr>
        <w:t>obligacion</w:t>
      </w:r>
      <w:r w:rsidRPr="003C1D1B">
        <w:rPr>
          <w:lang w:val="ca-ES"/>
        </w:rPr>
        <w:t>s dels Esta</w:t>
      </w:r>
      <w:r>
        <w:rPr>
          <w:lang w:val="ca-ES"/>
        </w:rPr>
        <w:t>ts</w:t>
      </w:r>
      <w:r w:rsidRPr="003C1D1B">
        <w:rPr>
          <w:lang w:val="ca-ES"/>
        </w:rPr>
        <w:t xml:space="preserve"> en virtu</w:t>
      </w:r>
      <w:r>
        <w:rPr>
          <w:lang w:val="ca-ES"/>
        </w:rPr>
        <w:t>t del Pacte</w:t>
      </w:r>
      <w:r w:rsidRPr="003C1D1B">
        <w:rPr>
          <w:lang w:val="ca-ES"/>
        </w:rPr>
        <w:t xml:space="preserve"> Internacional dels Drets Econòmics, Socials i Culturals </w:t>
      </w:r>
      <w:r>
        <w:rPr>
          <w:lang w:val="ca-ES"/>
        </w:rPr>
        <w:t xml:space="preserve">en el context </w:t>
      </w:r>
      <w:r w:rsidRPr="003C1D1B">
        <w:rPr>
          <w:lang w:val="ca-ES"/>
        </w:rPr>
        <w:t xml:space="preserve">de les </w:t>
      </w:r>
      <w:r>
        <w:rPr>
          <w:lang w:val="ca-ES"/>
        </w:rPr>
        <w:t>activitats empresarial</w:t>
      </w:r>
      <w:r w:rsidRPr="003C1D1B">
        <w:rPr>
          <w:lang w:val="ca-ES"/>
        </w:rPr>
        <w:t>s, § 15.</w:t>
      </w:r>
    </w:p>
  </w:footnote>
  <w:footnote w:id="111">
    <w:p w14:paraId="460C3E35" w14:textId="3C79CFA8" w:rsidR="00B41CCB" w:rsidRPr="00942EB0" w:rsidRDefault="00B41CCB" w:rsidP="00942EB0">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r w:rsidRPr="00E94219">
        <w:rPr>
          <w:i/>
          <w:iCs/>
          <w:lang w:val="la-Latn"/>
        </w:rPr>
        <w:t>Ibid</w:t>
      </w:r>
      <w:r w:rsidRPr="002B1C7D">
        <w:rPr>
          <w:i/>
          <w:iCs/>
          <w:lang w:val="es-ES_tradnl"/>
        </w:rPr>
        <w:t>.</w:t>
      </w:r>
      <w:r w:rsidRPr="002B1C7D">
        <w:rPr>
          <w:lang w:val="es-ES_tradnl"/>
        </w:rPr>
        <w:t>,</w:t>
      </w:r>
      <w:r w:rsidRPr="00942EB0">
        <w:rPr>
          <w:lang w:val="ca-ES"/>
        </w:rPr>
        <w:t xml:space="preserve"> observació general núm. 24, §</w:t>
      </w:r>
      <w:r>
        <w:rPr>
          <w:lang w:val="ca-ES"/>
        </w:rPr>
        <w:t xml:space="preserve"> 24, i observació</w:t>
      </w:r>
      <w:r w:rsidRPr="00942EB0">
        <w:rPr>
          <w:lang w:val="ca-ES"/>
        </w:rPr>
        <w:t xml:space="preserve"> general núm. 15, § 33.</w:t>
      </w:r>
    </w:p>
  </w:footnote>
  <w:footnote w:id="112">
    <w:p w14:paraId="5EBB5FC7" w14:textId="3A7CF296"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hyperlink r:id="rId35" w:history="1">
        <w:r w:rsidRPr="002B1C7D">
          <w:rPr>
            <w:rStyle w:val="Hyperlink"/>
            <w:lang w:val="en-US"/>
          </w:rPr>
          <w:tab/>
          <w:t>A/HRC/15/31</w:t>
        </w:r>
      </w:hyperlink>
      <w:r w:rsidRPr="002B1C7D">
        <w:rPr>
          <w:lang w:val="en-US"/>
        </w:rPr>
        <w:t xml:space="preserve">, </w:t>
      </w:r>
      <w:r>
        <w:rPr>
          <w:lang w:val="en-US"/>
        </w:rPr>
        <w:t>§</w:t>
      </w:r>
      <w:r w:rsidRPr="002B1C7D">
        <w:rPr>
          <w:lang w:val="en-US"/>
        </w:rPr>
        <w:t xml:space="preserve"> 36.</w:t>
      </w:r>
    </w:p>
  </w:footnote>
  <w:footnote w:id="113">
    <w:p w14:paraId="55563E0B" w14:textId="11293935" w:rsidR="00B41CCB" w:rsidRPr="002B1C7D" w:rsidRDefault="00B41CCB" w:rsidP="00314E60">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t xml:space="preserve">Okke Braadbaart, “Privatizing water – the Jakarta concession and the limits of contract”, </w:t>
      </w:r>
      <w:r>
        <w:rPr>
          <w:lang w:val="en-US"/>
        </w:rPr>
        <w:t>a</w:t>
      </w:r>
      <w:r w:rsidRPr="002B1C7D">
        <w:rPr>
          <w:lang w:val="en-US"/>
        </w:rPr>
        <w:t xml:space="preserve"> </w:t>
      </w:r>
      <w:r w:rsidRPr="002B1C7D">
        <w:rPr>
          <w:i/>
          <w:iCs/>
          <w:lang w:val="en-US"/>
        </w:rPr>
        <w:t>A World of Water: Rain, Rivers and Seas in Southeast Asian Histories</w:t>
      </w:r>
      <w:r w:rsidRPr="002B1C7D">
        <w:rPr>
          <w:lang w:val="en-US"/>
        </w:rPr>
        <w:t xml:space="preserve">, Peter Boomgaard, ed. </w:t>
      </w:r>
      <w:r w:rsidRPr="002B1C7D">
        <w:rPr>
          <w:lang w:val="es-ES_tradnl"/>
        </w:rPr>
        <w:t>(Leiden</w:t>
      </w:r>
      <w:r>
        <w:rPr>
          <w:lang w:val="es-ES_tradnl"/>
        </w:rPr>
        <w:t xml:space="preserve">, </w:t>
      </w:r>
      <w:r w:rsidRPr="00314E60">
        <w:rPr>
          <w:lang w:val="ca-ES"/>
        </w:rPr>
        <w:t>Països Baixos</w:t>
      </w:r>
      <w:r>
        <w:rPr>
          <w:lang w:val="es-ES_tradnl"/>
        </w:rPr>
        <w:t>, Brill, 2007). Disponible a</w:t>
      </w:r>
      <w:r w:rsidRPr="002B1C7D">
        <w:rPr>
          <w:lang w:val="es-ES_tradnl"/>
        </w:rPr>
        <w:t xml:space="preserve"> </w:t>
      </w:r>
      <w:hyperlink r:id="rId36" w:anchor="metadata_info_tab_contents" w:history="1">
        <w:r w:rsidRPr="002B1C7D">
          <w:rPr>
            <w:rStyle w:val="Hyperlink"/>
            <w:lang w:val="es-ES_tradnl"/>
          </w:rPr>
          <w:t>www.jstor.org/stable/10.1163/j.ctt1w76vd0.15 ?seq=1#metadata_info_tab_contents</w:t>
        </w:r>
      </w:hyperlink>
      <w:r w:rsidRPr="002B1C7D">
        <w:rPr>
          <w:lang w:val="es-ES_tradnl"/>
        </w:rPr>
        <w:t>.</w:t>
      </w:r>
    </w:p>
  </w:footnote>
  <w:footnote w:id="114">
    <w:p w14:paraId="68970349" w14:textId="181441D9" w:rsidR="00B41CCB" w:rsidRPr="002B1C7D" w:rsidRDefault="00B41CCB" w:rsidP="00B57A74">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n-US"/>
        </w:rPr>
        <w:t xml:space="preserve"> </w:t>
      </w:r>
      <w:r w:rsidRPr="002B1C7D">
        <w:rPr>
          <w:lang w:val="en-US"/>
        </w:rPr>
        <w:tab/>
        <w:t xml:space="preserve">OCDE, </w:t>
      </w:r>
      <w:r w:rsidRPr="002B1C7D">
        <w:rPr>
          <w:i/>
          <w:iCs/>
          <w:lang w:val="en-US"/>
        </w:rPr>
        <w:t>Private Sector Participation in Water Infrastructure: OECD Checklist for Public Action</w:t>
      </w:r>
      <w:r w:rsidRPr="002B1C7D">
        <w:rPr>
          <w:lang w:val="en-US"/>
        </w:rPr>
        <w:t xml:space="preserve">. </w:t>
      </w:r>
      <w:r w:rsidRPr="002B1C7D">
        <w:rPr>
          <w:lang w:val="es-ES_tradnl"/>
        </w:rPr>
        <w:t xml:space="preserve">Disponible </w:t>
      </w:r>
      <w:r>
        <w:rPr>
          <w:lang w:val="es-ES_tradnl"/>
        </w:rPr>
        <w:t>a</w:t>
      </w:r>
      <w:r w:rsidRPr="002B1C7D">
        <w:rPr>
          <w:lang w:val="es-ES_tradnl"/>
        </w:rPr>
        <w:t xml:space="preserve"> </w:t>
      </w:r>
      <w:hyperlink r:id="rId37" w:history="1">
        <w:r w:rsidRPr="002B1C7D">
          <w:rPr>
            <w:rStyle w:val="Hyperlink"/>
            <w:lang w:val="es-ES_tradnl"/>
          </w:rPr>
          <w:t>www.oecd.org/env/resources/42350657.pdf</w:t>
        </w:r>
      </w:hyperlink>
      <w:r w:rsidRPr="002B1C7D">
        <w:rPr>
          <w:lang w:val="es-ES_tradnl"/>
        </w:rPr>
        <w:t>.</w:t>
      </w:r>
    </w:p>
  </w:footnote>
  <w:footnote w:id="115">
    <w:p w14:paraId="0465F8D1" w14:textId="535605F7" w:rsidR="00B41CCB" w:rsidRPr="00B57A74" w:rsidRDefault="00B41CCB" w:rsidP="00B57A74">
      <w:pPr>
        <w:pStyle w:val="FootnoteText"/>
        <w:tabs>
          <w:tab w:val="clear" w:pos="418"/>
          <w:tab w:val="right" w:pos="1195"/>
          <w:tab w:val="left" w:pos="1267"/>
          <w:tab w:val="left" w:pos="1742"/>
          <w:tab w:val="left" w:pos="2218"/>
          <w:tab w:val="left" w:pos="2693"/>
        </w:tabs>
        <w:ind w:left="1267" w:right="1267" w:hanging="432"/>
        <w:rPr>
          <w:lang w:val="ca-ES"/>
        </w:rPr>
      </w:pPr>
      <w:r w:rsidRPr="00B57A74">
        <w:rPr>
          <w:lang w:val="ca-ES"/>
        </w:rPr>
        <w:tab/>
      </w:r>
      <w:r w:rsidRPr="00B57A74">
        <w:rPr>
          <w:rStyle w:val="FootnoteReference"/>
          <w:lang w:val="ca-ES"/>
        </w:rPr>
        <w:footnoteRef/>
      </w:r>
      <w:r w:rsidRPr="00B57A74">
        <w:rPr>
          <w:lang w:val="ca-ES"/>
        </w:rPr>
        <w:t xml:space="preserve"> </w:t>
      </w:r>
      <w:r w:rsidRPr="00B57A74">
        <w:rPr>
          <w:lang w:val="ca-ES"/>
        </w:rPr>
        <w:tab/>
        <w:t>Comitè de Drets Econòmics, Socials i Culturals</w:t>
      </w:r>
      <w:r>
        <w:rPr>
          <w:lang w:val="ca-ES"/>
        </w:rPr>
        <w:t>, observació</w:t>
      </w:r>
      <w:r w:rsidRPr="00B57A74">
        <w:rPr>
          <w:lang w:val="ca-ES"/>
        </w:rPr>
        <w:t xml:space="preserve"> general núm. 15, § 53.</w:t>
      </w:r>
    </w:p>
  </w:footnote>
  <w:footnote w:id="116">
    <w:p w14:paraId="57070F9D" w14:textId="54C5EC4F"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r>
      <w:hyperlink r:id="rId38" w:history="1">
        <w:r w:rsidRPr="002B1C7D">
          <w:rPr>
            <w:rStyle w:val="Hyperlink"/>
            <w:lang w:val="en-US"/>
          </w:rPr>
          <w:t>A/HRC/36/45</w:t>
        </w:r>
      </w:hyperlink>
      <w:r w:rsidRPr="002B1C7D">
        <w:rPr>
          <w:lang w:val="en-US"/>
        </w:rPr>
        <w:t xml:space="preserve">, </w:t>
      </w:r>
      <w:r>
        <w:rPr>
          <w:lang w:val="en-US"/>
        </w:rPr>
        <w:t>§</w:t>
      </w:r>
      <w:r w:rsidRPr="002B1C7D">
        <w:rPr>
          <w:lang w:val="en-US"/>
        </w:rPr>
        <w:t xml:space="preserve"> 39.</w:t>
      </w:r>
    </w:p>
  </w:footnote>
  <w:footnote w:id="117">
    <w:p w14:paraId="44EEE1E3" w14:textId="63B5AF72"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r>
      <w:hyperlink r:id="rId39" w:history="1">
        <w:r w:rsidRPr="002B1C7D">
          <w:rPr>
            <w:rStyle w:val="Hyperlink"/>
            <w:lang w:val="en-US"/>
          </w:rPr>
          <w:t>A/HRC/15/31</w:t>
        </w:r>
      </w:hyperlink>
      <w:r w:rsidRPr="002B1C7D">
        <w:rPr>
          <w:lang w:val="en-US"/>
        </w:rPr>
        <w:t xml:space="preserve">, </w:t>
      </w:r>
      <w:r>
        <w:rPr>
          <w:lang w:val="en-US"/>
        </w:rPr>
        <w:t>§</w:t>
      </w:r>
      <w:r w:rsidRPr="002B1C7D">
        <w:rPr>
          <w:lang w:val="en-US"/>
        </w:rPr>
        <w:t xml:space="preserve"> 56.</w:t>
      </w:r>
    </w:p>
  </w:footnote>
  <w:footnote w:id="118">
    <w:p w14:paraId="1B5C91DE" w14:textId="23B0DB32" w:rsidR="00B41CCB" w:rsidRPr="002B1C7D" w:rsidRDefault="00B41CCB" w:rsidP="00FE4AD6">
      <w:pPr>
        <w:pStyle w:val="FootnoteText"/>
        <w:tabs>
          <w:tab w:val="clear" w:pos="418"/>
          <w:tab w:val="right" w:pos="1195"/>
          <w:tab w:val="left" w:pos="1267"/>
          <w:tab w:val="left" w:pos="1742"/>
          <w:tab w:val="left" w:pos="2218"/>
          <w:tab w:val="left" w:pos="2693"/>
        </w:tabs>
        <w:ind w:left="1267" w:right="1267" w:hanging="432"/>
        <w:rPr>
          <w:lang w:val="en-US"/>
        </w:rPr>
      </w:pPr>
      <w:r w:rsidRPr="002B1C7D">
        <w:rPr>
          <w:lang w:val="en-US"/>
        </w:rPr>
        <w:tab/>
      </w:r>
      <w:r w:rsidRPr="002B1C7D">
        <w:rPr>
          <w:rStyle w:val="FootnoteReference"/>
          <w:lang w:val="es-ES_tradnl"/>
        </w:rPr>
        <w:footnoteRef/>
      </w:r>
      <w:r w:rsidRPr="002B1C7D">
        <w:rPr>
          <w:lang w:val="en-US"/>
        </w:rPr>
        <w:t xml:space="preserve"> </w:t>
      </w:r>
      <w:r w:rsidRPr="002B1C7D">
        <w:rPr>
          <w:lang w:val="en-US"/>
        </w:rPr>
        <w:tab/>
      </w:r>
      <w:r w:rsidRPr="00FE4AD6">
        <w:t>Andrés Felipe López Latorre</w:t>
      </w:r>
      <w:r w:rsidRPr="002B1C7D">
        <w:rPr>
          <w:lang w:val="en-US"/>
        </w:rPr>
        <w:t>, “</w:t>
      </w:r>
      <w:r w:rsidRPr="00FE4AD6">
        <w:rPr>
          <w:lang w:val="en-GB"/>
        </w:rPr>
        <w:t>In defence of direct obligations for businesses under international human rights law</w:t>
      </w:r>
      <w:r w:rsidRPr="002B1C7D">
        <w:rPr>
          <w:lang w:val="en-US"/>
        </w:rPr>
        <w:t xml:space="preserve">”, </w:t>
      </w:r>
      <w:r w:rsidRPr="002B1C7D">
        <w:rPr>
          <w:i/>
          <w:iCs/>
          <w:lang w:val="en-US"/>
        </w:rPr>
        <w:t>Business and Human Rights Journal</w:t>
      </w:r>
      <w:r w:rsidRPr="002B1C7D">
        <w:rPr>
          <w:lang w:val="en-US"/>
        </w:rPr>
        <w:t xml:space="preserve">, </w:t>
      </w:r>
      <w:r w:rsidRPr="00FE4AD6">
        <w:rPr>
          <w:lang w:val="ca-ES"/>
        </w:rPr>
        <w:t>vol. 5, núm. 1 (</w:t>
      </w:r>
      <w:r>
        <w:rPr>
          <w:lang w:val="ca-ES"/>
        </w:rPr>
        <w:t>gener</w:t>
      </w:r>
      <w:r w:rsidRPr="00FE4AD6">
        <w:rPr>
          <w:lang w:val="ca-ES"/>
        </w:rPr>
        <w:t xml:space="preserve"> de 2020). Disponible </w:t>
      </w:r>
      <w:r>
        <w:rPr>
          <w:lang w:val="ca-ES"/>
        </w:rPr>
        <w:t>a</w:t>
      </w:r>
      <w:r w:rsidRPr="00FE4AD6">
        <w:rPr>
          <w:lang w:val="ca-ES"/>
        </w:rPr>
        <w:t xml:space="preserve"> </w:t>
      </w:r>
      <w:hyperlink r:id="rId40" w:history="1">
        <w:r w:rsidRPr="002B1C7D">
          <w:rPr>
            <w:rStyle w:val="Hyperlink"/>
            <w:spacing w:val="4"/>
            <w:w w:val="102"/>
            <w:lang w:val="en-US"/>
          </w:rPr>
          <w:t>www.cambridge.org/core/services/aop-cambridge-core/content/view/EEB34BECDE016C2E6 BC1F18BFE2F10A5/S2057019819000270a.pdf/in_defence_of_direct_obligations_for_businesses_under_international_human_rights_law.pdf</w:t>
        </w:r>
      </w:hyperlink>
      <w:r w:rsidRPr="002B1C7D">
        <w:rPr>
          <w:spacing w:val="4"/>
          <w:w w:val="102"/>
          <w:lang w:val="en-US"/>
        </w:rPr>
        <w:t>.</w:t>
      </w:r>
    </w:p>
  </w:footnote>
  <w:footnote w:id="119">
    <w:p w14:paraId="4954A14D" w14:textId="08D5FD37"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n-US"/>
        </w:rPr>
        <w:tab/>
      </w:r>
      <w:r w:rsidRPr="002B1C7D">
        <w:rPr>
          <w:rStyle w:val="FootnoteReference"/>
          <w:lang w:val="es-ES_tradnl"/>
        </w:rPr>
        <w:footnoteRef/>
      </w:r>
      <w:r w:rsidRPr="002B1C7D">
        <w:rPr>
          <w:lang w:val="es-ES_tradnl"/>
        </w:rPr>
        <w:t xml:space="preserve"> </w:t>
      </w:r>
      <w:r w:rsidRPr="002B1C7D">
        <w:rPr>
          <w:lang w:val="es-ES_tradnl"/>
        </w:rPr>
        <w:tab/>
      </w:r>
      <w:r w:rsidRPr="00FE4AD6">
        <w:rPr>
          <w:lang w:val="ca-ES"/>
        </w:rPr>
        <w:t>Vegeu</w:t>
      </w:r>
      <w:r w:rsidRPr="002B1C7D">
        <w:rPr>
          <w:lang w:val="es-ES_tradnl"/>
        </w:rPr>
        <w:t xml:space="preserve"> </w:t>
      </w:r>
      <w:hyperlink r:id="rId41" w:history="1">
        <w:r w:rsidRPr="002B1C7D">
          <w:rPr>
            <w:rStyle w:val="Hyperlink"/>
            <w:lang w:val="es-ES_tradnl"/>
          </w:rPr>
          <w:t>www.ohchr.org/Documents/HRBodies/HRCouncil/WGTransCorp/Session3/DraftLBI.pdf</w:t>
        </w:r>
      </w:hyperlink>
      <w:r w:rsidRPr="002B1C7D">
        <w:rPr>
          <w:lang w:val="es-ES_tradnl"/>
        </w:rPr>
        <w:t>.</w:t>
      </w:r>
    </w:p>
  </w:footnote>
  <w:footnote w:id="120">
    <w:p w14:paraId="4EBCF4E4" w14:textId="6FE0B866" w:rsidR="00B41CCB" w:rsidRPr="002C1B65" w:rsidRDefault="00B41CCB" w:rsidP="002C1B65">
      <w:pPr>
        <w:pStyle w:val="FootnoteText"/>
        <w:tabs>
          <w:tab w:val="clear" w:pos="418"/>
          <w:tab w:val="right" w:pos="1195"/>
          <w:tab w:val="left" w:pos="1267"/>
          <w:tab w:val="left" w:pos="1742"/>
          <w:tab w:val="left" w:pos="2218"/>
          <w:tab w:val="left" w:pos="2693"/>
        </w:tabs>
        <w:ind w:left="1267" w:right="1267" w:hanging="432"/>
        <w:rPr>
          <w:lang w:val="ca-ES"/>
        </w:rPr>
      </w:pPr>
      <w:r w:rsidRPr="002B1C7D">
        <w:rPr>
          <w:lang w:val="es-ES_tradnl"/>
        </w:rPr>
        <w:tab/>
      </w:r>
      <w:r w:rsidRPr="002B1C7D">
        <w:rPr>
          <w:rStyle w:val="FootnoteReference"/>
          <w:lang w:val="es-ES_tradnl"/>
        </w:rPr>
        <w:footnoteRef/>
      </w:r>
      <w:r w:rsidRPr="002C1B65">
        <w:rPr>
          <w:lang w:val="ca-ES"/>
        </w:rPr>
        <w:t xml:space="preserve"> </w:t>
      </w:r>
      <w:r w:rsidRPr="002C1B65">
        <w:rPr>
          <w:lang w:val="ca-ES"/>
        </w:rPr>
        <w:tab/>
        <w:t>Contribució d</w:t>
      </w:r>
      <w:r>
        <w:rPr>
          <w:lang w:val="ca-ES"/>
        </w:rPr>
        <w:t>’</w:t>
      </w:r>
      <w:r w:rsidRPr="002C1B65">
        <w:rPr>
          <w:lang w:val="ca-ES"/>
        </w:rPr>
        <w:t>Aquafed.</w:t>
      </w:r>
    </w:p>
  </w:footnote>
  <w:footnote w:id="121">
    <w:p w14:paraId="420BBA93" w14:textId="7D5F6195" w:rsidR="00B41CCB" w:rsidRPr="002C1B65" w:rsidRDefault="00B41CCB" w:rsidP="002C1B65">
      <w:pPr>
        <w:pStyle w:val="FootnoteText"/>
        <w:tabs>
          <w:tab w:val="clear" w:pos="418"/>
          <w:tab w:val="right" w:pos="1195"/>
          <w:tab w:val="left" w:pos="1267"/>
          <w:tab w:val="left" w:pos="1742"/>
          <w:tab w:val="left" w:pos="2218"/>
          <w:tab w:val="left" w:pos="2693"/>
        </w:tabs>
        <w:ind w:left="1267" w:right="1267" w:hanging="432"/>
        <w:rPr>
          <w:lang w:val="ca-ES"/>
        </w:rPr>
      </w:pPr>
      <w:r w:rsidRPr="002C1B65">
        <w:rPr>
          <w:lang w:val="ca-ES"/>
        </w:rPr>
        <w:tab/>
      </w:r>
      <w:r w:rsidRPr="002C1B65">
        <w:rPr>
          <w:rStyle w:val="FootnoteReference"/>
          <w:lang w:val="ca-ES"/>
        </w:rPr>
        <w:footnoteRef/>
      </w:r>
      <w:r w:rsidRPr="002C1B65">
        <w:rPr>
          <w:lang w:val="ca-ES"/>
        </w:rPr>
        <w:t xml:space="preserve"> </w:t>
      </w:r>
      <w:r w:rsidRPr="002C1B65">
        <w:rPr>
          <w:lang w:val="ca-ES"/>
        </w:rPr>
        <w:tab/>
        <w:t>Contribució del Programa de les Nacion</w:t>
      </w:r>
      <w:r>
        <w:rPr>
          <w:lang w:val="ca-ES"/>
        </w:rPr>
        <w:t xml:space="preserve">s Unides per </w:t>
      </w:r>
      <w:r w:rsidRPr="002C1B65">
        <w:rPr>
          <w:lang w:val="ca-ES"/>
        </w:rPr>
        <w:t>al De</w:t>
      </w:r>
      <w:r>
        <w:rPr>
          <w:lang w:val="ca-ES"/>
        </w:rPr>
        <w:t>senvolupament</w:t>
      </w:r>
      <w:r w:rsidRPr="002C1B65">
        <w:rPr>
          <w:lang w:val="ca-ES"/>
        </w:rPr>
        <w:t>.</w:t>
      </w:r>
    </w:p>
  </w:footnote>
  <w:footnote w:id="122">
    <w:p w14:paraId="57017AE2" w14:textId="641B9FD8" w:rsidR="00B41CCB" w:rsidRPr="002B1C7D" w:rsidRDefault="00B41CCB" w:rsidP="007E16DC">
      <w:pPr>
        <w:pStyle w:val="FootnoteText"/>
        <w:tabs>
          <w:tab w:val="clear" w:pos="418"/>
          <w:tab w:val="right" w:pos="1195"/>
          <w:tab w:val="left" w:pos="1267"/>
          <w:tab w:val="left" w:pos="1742"/>
          <w:tab w:val="left" w:pos="2218"/>
          <w:tab w:val="left" w:pos="2693"/>
        </w:tabs>
        <w:ind w:left="1267" w:right="1267" w:hanging="432"/>
        <w:rPr>
          <w:lang w:val="es-ES_tradnl"/>
        </w:rPr>
      </w:pPr>
      <w:r w:rsidRPr="002B1C7D">
        <w:rPr>
          <w:lang w:val="es-ES_tradnl"/>
        </w:rPr>
        <w:tab/>
      </w:r>
      <w:r w:rsidRPr="002B1C7D">
        <w:rPr>
          <w:rStyle w:val="FootnoteReference"/>
          <w:lang w:val="es-ES_tradnl"/>
        </w:rPr>
        <w:footnoteRef/>
      </w:r>
      <w:r w:rsidRPr="002B1C7D">
        <w:rPr>
          <w:lang w:val="es-ES_tradnl"/>
        </w:rPr>
        <w:t xml:space="preserve"> </w:t>
      </w:r>
      <w:r w:rsidRPr="002B1C7D">
        <w:rPr>
          <w:lang w:val="es-ES_tradnl"/>
        </w:rPr>
        <w:tab/>
      </w:r>
      <w:hyperlink r:id="rId42" w:history="1">
        <w:r w:rsidRPr="002B1C7D">
          <w:rPr>
            <w:rStyle w:val="Hyperlink"/>
            <w:lang w:val="es-ES_tradnl"/>
          </w:rPr>
          <w:t>A/71/302</w:t>
        </w:r>
      </w:hyperlink>
      <w:r w:rsidRPr="002B1C7D">
        <w:rPr>
          <w:lang w:val="es-ES_tradnl"/>
        </w:rPr>
        <w:t xml:space="preserve">, </w:t>
      </w:r>
      <w:r>
        <w:rPr>
          <w:lang w:val="es-ES_tradnl"/>
        </w:rPr>
        <w:t>§</w:t>
      </w:r>
      <w:r w:rsidRPr="002B1C7D">
        <w:rPr>
          <w:lang w:val="es-ES_tradnl"/>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1CCB" w14:paraId="3AD30E43" w14:textId="77777777" w:rsidTr="007C5527">
      <w:trPr>
        <w:trHeight w:hRule="exact" w:val="864"/>
      </w:trPr>
      <w:tc>
        <w:tcPr>
          <w:tcW w:w="4920" w:type="dxa"/>
          <w:shd w:val="clear" w:color="auto" w:fill="auto"/>
          <w:vAlign w:val="bottom"/>
        </w:tcPr>
        <w:p w14:paraId="17F637BF" w14:textId="019E4CBB" w:rsidR="00B41CCB" w:rsidRPr="007C5527" w:rsidRDefault="00B41CCB" w:rsidP="007C5527">
          <w:pPr>
            <w:pStyle w:val="Header"/>
            <w:spacing w:after="80"/>
            <w:rPr>
              <w:b/>
            </w:rPr>
          </w:pPr>
          <w:r>
            <w:rPr>
              <w:b/>
            </w:rPr>
            <w:fldChar w:fldCharType="begin"/>
          </w:r>
          <w:r>
            <w:rPr>
              <w:b/>
            </w:rPr>
            <w:instrText xml:space="preserve"> DOCVARIABLE "sss1" \* MERGEFORMAT </w:instrText>
          </w:r>
          <w:r>
            <w:rPr>
              <w:b/>
            </w:rPr>
            <w:fldChar w:fldCharType="separate"/>
          </w:r>
          <w:r>
            <w:rPr>
              <w:b/>
            </w:rPr>
            <w:t>A/75/208</w:t>
          </w:r>
          <w:r>
            <w:rPr>
              <w:b/>
            </w:rPr>
            <w:fldChar w:fldCharType="end"/>
          </w:r>
        </w:p>
      </w:tc>
      <w:tc>
        <w:tcPr>
          <w:tcW w:w="4920" w:type="dxa"/>
          <w:shd w:val="clear" w:color="auto" w:fill="auto"/>
          <w:vAlign w:val="bottom"/>
        </w:tcPr>
        <w:p w14:paraId="5BC54ACA" w14:textId="77777777" w:rsidR="00B41CCB" w:rsidRDefault="00B41CCB" w:rsidP="007C5527">
          <w:pPr>
            <w:pStyle w:val="Header"/>
          </w:pPr>
        </w:p>
      </w:tc>
    </w:tr>
  </w:tbl>
  <w:p w14:paraId="4DD6E2E0" w14:textId="77777777" w:rsidR="00B41CCB" w:rsidRPr="007C5527" w:rsidRDefault="00B41CCB" w:rsidP="007C5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1CCB" w14:paraId="4AD96C7F" w14:textId="77777777" w:rsidTr="007C5527">
      <w:trPr>
        <w:trHeight w:hRule="exact" w:val="864"/>
      </w:trPr>
      <w:tc>
        <w:tcPr>
          <w:tcW w:w="4920" w:type="dxa"/>
          <w:shd w:val="clear" w:color="auto" w:fill="auto"/>
          <w:vAlign w:val="bottom"/>
        </w:tcPr>
        <w:p w14:paraId="411A4CFF" w14:textId="77777777" w:rsidR="00B41CCB" w:rsidRDefault="00B41CCB" w:rsidP="007C5527">
          <w:pPr>
            <w:pStyle w:val="Header"/>
          </w:pPr>
        </w:p>
      </w:tc>
      <w:tc>
        <w:tcPr>
          <w:tcW w:w="4920" w:type="dxa"/>
          <w:shd w:val="clear" w:color="auto" w:fill="auto"/>
          <w:vAlign w:val="bottom"/>
        </w:tcPr>
        <w:p w14:paraId="29089F71" w14:textId="599B87A6" w:rsidR="00B41CCB" w:rsidRPr="007C5527" w:rsidRDefault="00B41CCB" w:rsidP="007C5527">
          <w:pPr>
            <w:pStyle w:val="Header"/>
            <w:spacing w:after="80"/>
            <w:jc w:val="right"/>
            <w:rPr>
              <w:b/>
            </w:rPr>
          </w:pPr>
          <w:r>
            <w:rPr>
              <w:b/>
            </w:rPr>
            <w:fldChar w:fldCharType="begin"/>
          </w:r>
          <w:r>
            <w:rPr>
              <w:b/>
            </w:rPr>
            <w:instrText xml:space="preserve"> DOCVARIABLE "sss1" \* MERGEFORMAT </w:instrText>
          </w:r>
          <w:r>
            <w:rPr>
              <w:b/>
            </w:rPr>
            <w:fldChar w:fldCharType="separate"/>
          </w:r>
          <w:r>
            <w:rPr>
              <w:b/>
            </w:rPr>
            <w:t>A/75/208</w:t>
          </w:r>
          <w:r>
            <w:rPr>
              <w:b/>
            </w:rPr>
            <w:fldChar w:fldCharType="end"/>
          </w:r>
        </w:p>
      </w:tc>
    </w:tr>
  </w:tbl>
  <w:p w14:paraId="122411B1" w14:textId="77777777" w:rsidR="00B41CCB" w:rsidRPr="007C5527" w:rsidRDefault="00B41CCB" w:rsidP="007C5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41CCB" w:rsidRPr="001568AC" w14:paraId="01CF0C39" w14:textId="77777777" w:rsidTr="007C5527">
      <w:trPr>
        <w:gridAfter w:val="1"/>
        <w:wAfter w:w="15" w:type="dxa"/>
        <w:trHeight w:hRule="exact" w:val="864"/>
      </w:trPr>
      <w:tc>
        <w:tcPr>
          <w:tcW w:w="1267" w:type="dxa"/>
          <w:tcBorders>
            <w:bottom w:val="single" w:sz="4" w:space="0" w:color="auto"/>
          </w:tcBorders>
          <w:shd w:val="clear" w:color="auto" w:fill="auto"/>
          <w:vAlign w:val="bottom"/>
        </w:tcPr>
        <w:p w14:paraId="155381D1" w14:textId="77777777" w:rsidR="00B41CCB" w:rsidRPr="001568AC" w:rsidRDefault="00B41CCB" w:rsidP="007C5527">
          <w:pPr>
            <w:pStyle w:val="Header"/>
            <w:spacing w:after="120"/>
            <w:rPr>
              <w:noProof w:val="0"/>
              <w:lang w:val="ca-ES"/>
            </w:rPr>
          </w:pPr>
        </w:p>
      </w:tc>
      <w:tc>
        <w:tcPr>
          <w:tcW w:w="2059" w:type="dxa"/>
          <w:tcBorders>
            <w:bottom w:val="single" w:sz="4" w:space="0" w:color="auto"/>
          </w:tcBorders>
          <w:shd w:val="clear" w:color="auto" w:fill="auto"/>
          <w:vAlign w:val="bottom"/>
        </w:tcPr>
        <w:p w14:paraId="3FA7F2E3" w14:textId="6D4C9FDA" w:rsidR="00B41CCB" w:rsidRPr="001568AC" w:rsidRDefault="00B41CCB" w:rsidP="001568AC">
          <w:pPr>
            <w:pStyle w:val="HCh0"/>
            <w:spacing w:after="80"/>
            <w:rPr>
              <w:b w:val="0"/>
              <w:spacing w:val="2"/>
              <w:w w:val="96"/>
              <w:lang w:val="ca-ES"/>
            </w:rPr>
          </w:pPr>
          <w:r w:rsidRPr="001568AC">
            <w:rPr>
              <w:b w:val="0"/>
              <w:spacing w:val="2"/>
              <w:w w:val="96"/>
              <w:lang w:val="ca-ES"/>
            </w:rPr>
            <w:t>Nacion</w:t>
          </w:r>
          <w:r>
            <w:rPr>
              <w:b w:val="0"/>
              <w:spacing w:val="2"/>
              <w:w w:val="96"/>
              <w:lang w:val="ca-ES"/>
            </w:rPr>
            <w:t>s Unide</w:t>
          </w:r>
          <w:r w:rsidRPr="001568AC">
            <w:rPr>
              <w:b w:val="0"/>
              <w:spacing w:val="2"/>
              <w:w w:val="96"/>
              <w:lang w:val="ca-ES"/>
            </w:rPr>
            <w:t>s</w:t>
          </w:r>
        </w:p>
      </w:tc>
      <w:tc>
        <w:tcPr>
          <w:tcW w:w="58" w:type="dxa"/>
          <w:tcBorders>
            <w:bottom w:val="single" w:sz="4" w:space="0" w:color="auto"/>
          </w:tcBorders>
          <w:shd w:val="clear" w:color="auto" w:fill="auto"/>
          <w:vAlign w:val="bottom"/>
        </w:tcPr>
        <w:p w14:paraId="291DBEA4" w14:textId="77777777" w:rsidR="00B41CCB" w:rsidRPr="001568AC" w:rsidRDefault="00B41CCB" w:rsidP="007C5527">
          <w:pPr>
            <w:pStyle w:val="Header"/>
            <w:spacing w:after="120"/>
            <w:rPr>
              <w:noProof w:val="0"/>
              <w:lang w:val="ca-ES"/>
            </w:rPr>
          </w:pPr>
        </w:p>
      </w:tc>
      <w:tc>
        <w:tcPr>
          <w:tcW w:w="6480" w:type="dxa"/>
          <w:gridSpan w:val="3"/>
          <w:tcBorders>
            <w:bottom w:val="single" w:sz="4" w:space="0" w:color="auto"/>
          </w:tcBorders>
          <w:shd w:val="clear" w:color="auto" w:fill="auto"/>
          <w:vAlign w:val="bottom"/>
        </w:tcPr>
        <w:p w14:paraId="75275AB0" w14:textId="77777777" w:rsidR="00B41CCB" w:rsidRPr="001568AC" w:rsidRDefault="00B41CCB" w:rsidP="007C5527">
          <w:pPr>
            <w:spacing w:after="80" w:line="240" w:lineRule="auto"/>
            <w:jc w:val="right"/>
            <w:rPr>
              <w:position w:val="-4"/>
              <w:lang w:val="ca-ES"/>
            </w:rPr>
          </w:pPr>
          <w:r w:rsidRPr="001568AC">
            <w:rPr>
              <w:position w:val="-4"/>
              <w:sz w:val="40"/>
              <w:lang w:val="ca-ES"/>
            </w:rPr>
            <w:t>A</w:t>
          </w:r>
          <w:r w:rsidRPr="001568AC">
            <w:rPr>
              <w:position w:val="-4"/>
              <w:lang w:val="ca-ES"/>
            </w:rPr>
            <w:t>/75/208</w:t>
          </w:r>
        </w:p>
      </w:tc>
    </w:tr>
    <w:tr w:rsidR="00B41CCB" w:rsidRPr="001568AC" w14:paraId="6DAEA644" w14:textId="77777777" w:rsidTr="007C5527">
      <w:trPr>
        <w:trHeight w:hRule="exact" w:val="2880"/>
      </w:trPr>
      <w:tc>
        <w:tcPr>
          <w:tcW w:w="1267" w:type="dxa"/>
          <w:tcBorders>
            <w:top w:val="single" w:sz="4" w:space="0" w:color="auto"/>
            <w:bottom w:val="single" w:sz="12" w:space="0" w:color="auto"/>
          </w:tcBorders>
          <w:shd w:val="clear" w:color="auto" w:fill="auto"/>
        </w:tcPr>
        <w:p w14:paraId="7F14AAF7" w14:textId="77777777" w:rsidR="00B41CCB" w:rsidRPr="001568AC" w:rsidRDefault="00B41CCB" w:rsidP="007C5527">
          <w:pPr>
            <w:pStyle w:val="Header"/>
            <w:spacing w:before="120"/>
            <w:jc w:val="center"/>
            <w:rPr>
              <w:noProof w:val="0"/>
              <w:lang w:val="ca-ES"/>
            </w:rPr>
          </w:pPr>
          <w:r w:rsidRPr="001568AC">
            <w:rPr>
              <w:noProof w:val="0"/>
              <w:lang w:val="ca-ES"/>
            </w:rPr>
            <w:t xml:space="preserve"> </w:t>
          </w:r>
          <w:r w:rsidRPr="001568AC">
            <w:rPr>
              <w:lang w:val="en-GB" w:eastAsia="ko-KR"/>
            </w:rPr>
            <w:drawing>
              <wp:inline distT="0" distB="0" distL="0" distR="0" wp14:anchorId="522A17F3" wp14:editId="33E5A1D1">
                <wp:extent cx="713232" cy="597103"/>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6EFB1C7" w14:textId="4A068C60" w:rsidR="00B41CCB" w:rsidRPr="001568AC" w:rsidRDefault="00B41CCB" w:rsidP="007C5527">
          <w:pPr>
            <w:pStyle w:val="XLarge"/>
            <w:spacing w:before="109"/>
            <w:rPr>
              <w:lang w:val="ca-ES"/>
            </w:rPr>
          </w:pPr>
          <w:r w:rsidRPr="001568AC">
            <w:rPr>
              <w:lang w:val="ca-ES"/>
            </w:rPr>
            <w:t>As</w:t>
          </w:r>
          <w:r>
            <w:rPr>
              <w:lang w:val="ca-ES"/>
            </w:rPr>
            <w:t>se</w:t>
          </w:r>
          <w:r w:rsidRPr="001568AC">
            <w:rPr>
              <w:lang w:val="ca-ES"/>
            </w:rPr>
            <w:t>mblea General</w:t>
          </w:r>
        </w:p>
      </w:tc>
      <w:tc>
        <w:tcPr>
          <w:tcW w:w="245" w:type="dxa"/>
          <w:tcBorders>
            <w:top w:val="single" w:sz="4" w:space="0" w:color="auto"/>
            <w:bottom w:val="single" w:sz="12" w:space="0" w:color="auto"/>
          </w:tcBorders>
          <w:shd w:val="clear" w:color="auto" w:fill="auto"/>
        </w:tcPr>
        <w:p w14:paraId="44840D5D" w14:textId="77777777" w:rsidR="00B41CCB" w:rsidRPr="001568AC" w:rsidRDefault="00B41CCB" w:rsidP="007C5527">
          <w:pPr>
            <w:pStyle w:val="Header"/>
            <w:spacing w:before="109"/>
            <w:rPr>
              <w:noProof w:val="0"/>
              <w:lang w:val="ca-ES"/>
            </w:rPr>
          </w:pPr>
        </w:p>
      </w:tc>
      <w:tc>
        <w:tcPr>
          <w:tcW w:w="3140" w:type="dxa"/>
          <w:gridSpan w:val="2"/>
          <w:tcBorders>
            <w:top w:val="single" w:sz="4" w:space="0" w:color="auto"/>
            <w:bottom w:val="single" w:sz="12" w:space="0" w:color="auto"/>
          </w:tcBorders>
          <w:shd w:val="clear" w:color="auto" w:fill="auto"/>
        </w:tcPr>
        <w:p w14:paraId="19017C1C" w14:textId="77777777" w:rsidR="00B41CCB" w:rsidRPr="001568AC" w:rsidRDefault="00B41CCB" w:rsidP="007C5527">
          <w:pPr>
            <w:pStyle w:val="Distribution"/>
            <w:spacing w:before="240"/>
            <w:rPr>
              <w:lang w:val="ca-ES"/>
            </w:rPr>
          </w:pPr>
          <w:r w:rsidRPr="001568AC">
            <w:rPr>
              <w:lang w:val="ca-ES"/>
            </w:rPr>
            <w:t>Distr. general</w:t>
          </w:r>
        </w:p>
        <w:p w14:paraId="6902F10C" w14:textId="438D48A7" w:rsidR="00B41CCB" w:rsidRPr="001568AC" w:rsidRDefault="00B41CCB" w:rsidP="007C5527">
          <w:pPr>
            <w:pStyle w:val="Publication"/>
            <w:rPr>
              <w:lang w:val="ca-ES"/>
            </w:rPr>
          </w:pPr>
          <w:r w:rsidRPr="001568AC">
            <w:rPr>
              <w:lang w:val="ca-ES"/>
            </w:rPr>
            <w:t>21 de julio</w:t>
          </w:r>
          <w:r>
            <w:rPr>
              <w:lang w:val="ca-ES"/>
            </w:rPr>
            <w:t>l</w:t>
          </w:r>
          <w:r w:rsidRPr="001568AC">
            <w:rPr>
              <w:lang w:val="ca-ES"/>
            </w:rPr>
            <w:t xml:space="preserve"> de 2020</w:t>
          </w:r>
        </w:p>
        <w:p w14:paraId="30E64003" w14:textId="2C9BB7BF" w:rsidR="00B41CCB" w:rsidRPr="001568AC" w:rsidRDefault="00B41CCB" w:rsidP="007C5527">
          <w:pPr>
            <w:rPr>
              <w:lang w:val="ca-ES"/>
            </w:rPr>
          </w:pPr>
          <w:r>
            <w:rPr>
              <w:lang w:val="ca-ES"/>
            </w:rPr>
            <w:t>Català</w:t>
          </w:r>
        </w:p>
        <w:p w14:paraId="0C328717" w14:textId="07A1469B" w:rsidR="00B41CCB" w:rsidRPr="001568AC" w:rsidRDefault="00B41CCB" w:rsidP="007C5527">
          <w:pPr>
            <w:pStyle w:val="Original"/>
            <w:rPr>
              <w:lang w:val="ca-ES"/>
            </w:rPr>
          </w:pPr>
          <w:r>
            <w:rPr>
              <w:lang w:val="ca-ES"/>
            </w:rPr>
            <w:t>Original: anglè</w:t>
          </w:r>
          <w:r w:rsidRPr="001568AC">
            <w:rPr>
              <w:lang w:val="ca-ES"/>
            </w:rPr>
            <w:t>s</w:t>
          </w:r>
        </w:p>
        <w:p w14:paraId="542A6A66" w14:textId="77777777" w:rsidR="00B41CCB" w:rsidRDefault="00B41CCB" w:rsidP="007C5527">
          <w:pPr>
            <w:rPr>
              <w:lang w:val="ca-ES"/>
            </w:rPr>
          </w:pPr>
        </w:p>
        <w:p w14:paraId="09752239" w14:textId="185AB029" w:rsidR="00FC74AB" w:rsidRPr="001568AC" w:rsidRDefault="00FC74AB" w:rsidP="007C5527">
          <w:pPr>
            <w:rPr>
              <w:lang w:val="ca-ES"/>
            </w:rPr>
          </w:pPr>
          <w:bookmarkStart w:id="0" w:name="_GoBack"/>
          <w:r w:rsidRPr="00FC74AB">
            <w:rPr>
              <w:color w:val="FF0000"/>
              <w:lang w:val="ca-ES"/>
            </w:rPr>
            <w:t>Unofficial translation</w:t>
          </w:r>
          <w:bookmarkEnd w:id="0"/>
        </w:p>
      </w:tc>
    </w:tr>
  </w:tbl>
  <w:p w14:paraId="602D7C6E" w14:textId="77777777" w:rsidR="00B41CCB" w:rsidRPr="001568AC" w:rsidRDefault="00B41CCB" w:rsidP="007C5527">
    <w:pPr>
      <w:pStyle w:val="Header"/>
      <w:rPr>
        <w:noProof w:val="0"/>
        <w:sz w:val="2"/>
        <w:lang w:val="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6383C31"/>
    <w:multiLevelType w:val="multilevel"/>
    <w:tmpl w:val="FA32EBD8"/>
    <w:name w:val="TOC"/>
    <w:lvl w:ilvl="0">
      <w:start w:val="1"/>
      <w:numFmt w:val="upperRoman"/>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2160"/>
        </w:tabs>
        <w:ind w:left="2160"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 w:numId="9">
    <w:abstractNumId w:val="7"/>
  </w:num>
  <w:num w:numId="10">
    <w:abstractNumId w:val="3"/>
  </w:num>
  <w:num w:numId="11">
    <w:abstractNumId w:val="6"/>
  </w:num>
  <w:num w:numId="12">
    <w:abstractNumId w:val="5"/>
  </w:num>
  <w:num w:numId="13">
    <w:abstractNumId w:val="7"/>
  </w:num>
  <w:num w:numId="14">
    <w:abstractNumId w:val="3"/>
  </w:num>
  <w:num w:numId="15">
    <w:abstractNumId w:val="6"/>
  </w:num>
  <w:num w:numId="16">
    <w:abstractNumId w:val="5"/>
  </w:num>
  <w:num w:numId="17">
    <w:abstractNumId w:val="7"/>
  </w:num>
  <w:num w:numId="18">
    <w:abstractNumId w:val="3"/>
  </w:num>
  <w:num w:numId="19">
    <w:abstractNumId w:val="6"/>
  </w:num>
  <w:num w:numId="20">
    <w:abstractNumId w:val="5"/>
  </w:num>
  <w:num w:numId="21">
    <w:abstractNumId w:val="7"/>
  </w:num>
  <w:num w:numId="22">
    <w:abstractNumId w:val="3"/>
  </w:num>
  <w:num w:numId="23">
    <w:abstractNumId w:val="6"/>
  </w:num>
  <w:num w:numId="24">
    <w:abstractNumId w:val="5"/>
  </w:num>
  <w:num w:numId="25">
    <w:abstractNumId w:val="7"/>
  </w:num>
  <w:num w:numId="26">
    <w:abstractNumId w:val="3"/>
  </w:num>
  <w:num w:numId="27">
    <w:abstractNumId w:val="6"/>
  </w:num>
  <w:num w:numId="28">
    <w:abstractNumId w:val="5"/>
  </w:num>
  <w:num w:numId="29">
    <w:abstractNumId w:val="7"/>
  </w:num>
  <w:num w:numId="30">
    <w:abstractNumId w:val="3"/>
  </w:num>
  <w:num w:numId="31">
    <w:abstractNumId w:val="6"/>
  </w:num>
  <w:num w:numId="32">
    <w:abstractNumId w:val="5"/>
  </w:num>
  <w:num w:numId="33">
    <w:abstractNumId w:val="7"/>
  </w:num>
  <w:num w:numId="34">
    <w:abstractNumId w:val="3"/>
  </w:num>
  <w:num w:numId="35">
    <w:abstractNumId w:val="6"/>
  </w:num>
  <w:num w:numId="36">
    <w:abstractNumId w:val="5"/>
  </w:num>
  <w:num w:numId="37">
    <w:abstractNumId w:val="7"/>
  </w:num>
  <w:num w:numId="38">
    <w:abstractNumId w:val="3"/>
  </w:num>
  <w:num w:numId="39">
    <w:abstractNumId w:val="6"/>
  </w:num>
  <w:num w:numId="40">
    <w:abstractNumId w:val="5"/>
  </w:num>
  <w:num w:numId="41">
    <w:abstractNumId w:val="7"/>
  </w:num>
  <w:num w:numId="42">
    <w:abstractNumId w:val="3"/>
  </w:num>
  <w:num w:numId="43">
    <w:abstractNumId w:val="6"/>
  </w:num>
  <w:num w:numId="44">
    <w:abstractNumId w:val="5"/>
  </w:num>
  <w:num w:numId="45">
    <w:abstractNumId w:val="7"/>
  </w:num>
  <w:num w:numId="46">
    <w:abstractNumId w:val="3"/>
  </w:num>
  <w:num w:numId="47">
    <w:abstractNumId w:val="6"/>
  </w:num>
  <w:num w:numId="48">
    <w:abstractNumId w:val="5"/>
  </w:num>
  <w:num w:numId="49">
    <w:abstractNumId w:val="8"/>
    <w:lvlOverride w:ilvl="0">
      <w:lvl w:ilvl="0">
        <w:start w:val="1"/>
        <w:numFmt w:val="upperRoman"/>
        <w:lvlText w:val="%1."/>
        <w:lvlJc w:val="right"/>
        <w:pPr>
          <w:tabs>
            <w:tab w:val="num" w:pos="1296"/>
          </w:tabs>
          <w:ind w:left="1296" w:hanging="216"/>
        </w:pPr>
        <w:rPr>
          <w:rFonts w:cs="Times New Roman" w:hint="default"/>
        </w:rPr>
      </w:lvl>
    </w:lvlOverride>
    <w:lvlOverride w:ilvl="1">
      <w:lvl w:ilvl="1">
        <w:start w:val="1"/>
        <w:numFmt w:val="upperLetter"/>
        <w:lvlText w:val="%2."/>
        <w:lvlJc w:val="left"/>
        <w:pPr>
          <w:tabs>
            <w:tab w:val="num" w:pos="1728"/>
          </w:tabs>
          <w:ind w:left="1728" w:hanging="432"/>
        </w:pPr>
        <w:rPr>
          <w:rFonts w:cs="Times New Roman" w:hint="default"/>
        </w:rPr>
      </w:lvl>
    </w:lvlOverride>
    <w:lvlOverride w:ilvl="2">
      <w:lvl w:ilvl="2">
        <w:start w:val="1"/>
        <w:numFmt w:val="decimal"/>
        <w:lvlText w:val="%3."/>
        <w:lvlJc w:val="left"/>
        <w:pPr>
          <w:tabs>
            <w:tab w:val="num" w:pos="1782"/>
          </w:tabs>
          <w:ind w:left="1782" w:hanging="432"/>
        </w:pPr>
        <w:rPr>
          <w:rFonts w:cs="Times New Roman" w:hint="default"/>
          <w:b w:val="0"/>
          <w:bCs w:val="0"/>
        </w:rPr>
      </w:lvl>
    </w:lvlOverride>
    <w:lvlOverride w:ilvl="3">
      <w:lvl w:ilvl="3">
        <w:start w:val="1"/>
        <w:numFmt w:val="lowerLetter"/>
        <w:lvlText w:val="(%4)"/>
        <w:lvlJc w:val="left"/>
        <w:pPr>
          <w:tabs>
            <w:tab w:val="num" w:pos="2592"/>
          </w:tabs>
          <w:ind w:left="2592" w:hanging="432"/>
        </w:pPr>
        <w:rPr>
          <w:rFonts w:cs="Times New Roman" w:hint="default"/>
        </w:rPr>
      </w:lvl>
    </w:lvlOverride>
    <w:lvlOverride w:ilvl="4">
      <w:lvl w:ilvl="4">
        <w:start w:val="1"/>
        <w:numFmt w:val="lowerRoman"/>
        <w:lvlText w:val="(%5)"/>
        <w:lvlJc w:val="left"/>
        <w:pPr>
          <w:tabs>
            <w:tab w:val="num" w:pos="3024"/>
          </w:tabs>
          <w:ind w:left="3024" w:hanging="432"/>
        </w:pPr>
        <w:rPr>
          <w:rFonts w:cs="Times New Roman" w:hint="default"/>
        </w:rPr>
      </w:lvl>
    </w:lvlOverride>
    <w:lvlOverride w:ilvl="5">
      <w:lvl w:ilvl="5">
        <w:start w:val="1"/>
        <w:numFmt w:val="bullet"/>
        <w:lvlText w:val=""/>
        <w:lvlJc w:val="left"/>
        <w:pPr>
          <w:tabs>
            <w:tab w:val="num" w:pos="3456"/>
          </w:tabs>
          <w:ind w:left="3456" w:hanging="432"/>
        </w:pPr>
        <w:rPr>
          <w:rFonts w:ascii="Symbol" w:hAnsi="Symbol"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09830*"/>
    <w:docVar w:name="CreationDt" w:val="8/24/2020 12:28 PM"/>
    <w:docVar w:name="DocCategory" w:val="Doc"/>
    <w:docVar w:name="DocType" w:val="Final"/>
    <w:docVar w:name="DutyStation" w:val="New York"/>
    <w:docVar w:name="FooterJN" w:val="20-09830"/>
    <w:docVar w:name="jobn" w:val="20-09830 (S)"/>
    <w:docVar w:name="jobnDT" w:val="20-09830 (S)   240820"/>
    <w:docVar w:name="jobnDTDT" w:val="20-09830 (S)   240820   240820"/>
    <w:docVar w:name="JobNo" w:val="2009830S"/>
    <w:docVar w:name="JobNo2" w:val="201900012:28 PM"/>
    <w:docVar w:name="LocalDrive" w:val="-1"/>
    <w:docVar w:name="OandT" w:val="xf/Amarilys--Q.C."/>
    <w:docVar w:name="sss1" w:val="A/75/208"/>
    <w:docVar w:name="sss2" w:val="-"/>
    <w:docVar w:name="Symbol1" w:val="A/75/208"/>
    <w:docVar w:name="Symbol2" w:val="-"/>
  </w:docVars>
  <w:rsids>
    <w:rsidRoot w:val="0047415D"/>
    <w:rsid w:val="000010D4"/>
    <w:rsid w:val="00002584"/>
    <w:rsid w:val="00015F61"/>
    <w:rsid w:val="00024BD1"/>
    <w:rsid w:val="00026A88"/>
    <w:rsid w:val="00027CC7"/>
    <w:rsid w:val="000355E2"/>
    <w:rsid w:val="00041BA7"/>
    <w:rsid w:val="00042B96"/>
    <w:rsid w:val="000476C6"/>
    <w:rsid w:val="0005151C"/>
    <w:rsid w:val="0005225A"/>
    <w:rsid w:val="000526A6"/>
    <w:rsid w:val="00061D43"/>
    <w:rsid w:val="0006491F"/>
    <w:rsid w:val="00066238"/>
    <w:rsid w:val="00067B89"/>
    <w:rsid w:val="00071D43"/>
    <w:rsid w:val="0007633E"/>
    <w:rsid w:val="00080478"/>
    <w:rsid w:val="00081CAB"/>
    <w:rsid w:val="00082144"/>
    <w:rsid w:val="00083D6A"/>
    <w:rsid w:val="000926A4"/>
    <w:rsid w:val="00093B53"/>
    <w:rsid w:val="0009482C"/>
    <w:rsid w:val="0009581E"/>
    <w:rsid w:val="00096FEB"/>
    <w:rsid w:val="000A1032"/>
    <w:rsid w:val="000A30ED"/>
    <w:rsid w:val="000D1004"/>
    <w:rsid w:val="000D4AAA"/>
    <w:rsid w:val="000E1AF8"/>
    <w:rsid w:val="000E6763"/>
    <w:rsid w:val="000F1F99"/>
    <w:rsid w:val="000F45F5"/>
    <w:rsid w:val="000F7D76"/>
    <w:rsid w:val="00101B18"/>
    <w:rsid w:val="00104587"/>
    <w:rsid w:val="00117EA0"/>
    <w:rsid w:val="00122A56"/>
    <w:rsid w:val="0012347D"/>
    <w:rsid w:val="001346BF"/>
    <w:rsid w:val="00134FEE"/>
    <w:rsid w:val="00145666"/>
    <w:rsid w:val="00146C6A"/>
    <w:rsid w:val="00147570"/>
    <w:rsid w:val="00151388"/>
    <w:rsid w:val="00154F28"/>
    <w:rsid w:val="001568AC"/>
    <w:rsid w:val="00160DE5"/>
    <w:rsid w:val="00166A0D"/>
    <w:rsid w:val="0018072D"/>
    <w:rsid w:val="001822AA"/>
    <w:rsid w:val="00183357"/>
    <w:rsid w:val="00191151"/>
    <w:rsid w:val="00192568"/>
    <w:rsid w:val="00195395"/>
    <w:rsid w:val="00195B41"/>
    <w:rsid w:val="0019709A"/>
    <w:rsid w:val="001A0F97"/>
    <w:rsid w:val="001B5F98"/>
    <w:rsid w:val="001B65A8"/>
    <w:rsid w:val="001C04AC"/>
    <w:rsid w:val="001C6DC2"/>
    <w:rsid w:val="001D5969"/>
    <w:rsid w:val="001D59F5"/>
    <w:rsid w:val="001D73F7"/>
    <w:rsid w:val="001D78F6"/>
    <w:rsid w:val="001E4B50"/>
    <w:rsid w:val="001F671C"/>
    <w:rsid w:val="00201C39"/>
    <w:rsid w:val="00207207"/>
    <w:rsid w:val="00224B5C"/>
    <w:rsid w:val="00226534"/>
    <w:rsid w:val="00227553"/>
    <w:rsid w:val="0023044E"/>
    <w:rsid w:val="00233BCF"/>
    <w:rsid w:val="00241B93"/>
    <w:rsid w:val="00244A47"/>
    <w:rsid w:val="002452E7"/>
    <w:rsid w:val="002478A0"/>
    <w:rsid w:val="002506B0"/>
    <w:rsid w:val="002535C2"/>
    <w:rsid w:val="00264BD6"/>
    <w:rsid w:val="0026648C"/>
    <w:rsid w:val="0027225A"/>
    <w:rsid w:val="0028726C"/>
    <w:rsid w:val="0029672D"/>
    <w:rsid w:val="00296F81"/>
    <w:rsid w:val="00297166"/>
    <w:rsid w:val="002A5E20"/>
    <w:rsid w:val="002A71EF"/>
    <w:rsid w:val="002C0637"/>
    <w:rsid w:val="002C1B65"/>
    <w:rsid w:val="002C73DC"/>
    <w:rsid w:val="002D1584"/>
    <w:rsid w:val="002E07AB"/>
    <w:rsid w:val="002E3E31"/>
    <w:rsid w:val="002E4EB7"/>
    <w:rsid w:val="002F4DDC"/>
    <w:rsid w:val="002F69C3"/>
    <w:rsid w:val="003008D0"/>
    <w:rsid w:val="00304428"/>
    <w:rsid w:val="00305C3A"/>
    <w:rsid w:val="00314E60"/>
    <w:rsid w:val="00320544"/>
    <w:rsid w:val="003206AC"/>
    <w:rsid w:val="00323268"/>
    <w:rsid w:val="0032331D"/>
    <w:rsid w:val="00330872"/>
    <w:rsid w:val="00332CDB"/>
    <w:rsid w:val="00335347"/>
    <w:rsid w:val="00343601"/>
    <w:rsid w:val="00352FAF"/>
    <w:rsid w:val="00353B97"/>
    <w:rsid w:val="00356DCA"/>
    <w:rsid w:val="00362FFD"/>
    <w:rsid w:val="003654F2"/>
    <w:rsid w:val="00366D21"/>
    <w:rsid w:val="00371741"/>
    <w:rsid w:val="00375447"/>
    <w:rsid w:val="0037581A"/>
    <w:rsid w:val="00380D95"/>
    <w:rsid w:val="0039127C"/>
    <w:rsid w:val="0039142A"/>
    <w:rsid w:val="003A10A3"/>
    <w:rsid w:val="003A58C9"/>
    <w:rsid w:val="003A675A"/>
    <w:rsid w:val="003A7E50"/>
    <w:rsid w:val="003B24AA"/>
    <w:rsid w:val="003B6A65"/>
    <w:rsid w:val="003B7411"/>
    <w:rsid w:val="003C1D1B"/>
    <w:rsid w:val="003C2770"/>
    <w:rsid w:val="003C3066"/>
    <w:rsid w:val="003C42F4"/>
    <w:rsid w:val="003C5AF4"/>
    <w:rsid w:val="003C6704"/>
    <w:rsid w:val="003D096D"/>
    <w:rsid w:val="003D1714"/>
    <w:rsid w:val="003E0E7C"/>
    <w:rsid w:val="003E3716"/>
    <w:rsid w:val="003E41EF"/>
    <w:rsid w:val="003E7D67"/>
    <w:rsid w:val="003F0EA2"/>
    <w:rsid w:val="003F119A"/>
    <w:rsid w:val="003F2D9A"/>
    <w:rsid w:val="003F3677"/>
    <w:rsid w:val="003F61E1"/>
    <w:rsid w:val="00400426"/>
    <w:rsid w:val="00411F23"/>
    <w:rsid w:val="004151A2"/>
    <w:rsid w:val="00415E1D"/>
    <w:rsid w:val="0042367A"/>
    <w:rsid w:val="00424AE4"/>
    <w:rsid w:val="00431E47"/>
    <w:rsid w:val="00440C57"/>
    <w:rsid w:val="00440C93"/>
    <w:rsid w:val="00443849"/>
    <w:rsid w:val="00443FE6"/>
    <w:rsid w:val="004460EC"/>
    <w:rsid w:val="004514D8"/>
    <w:rsid w:val="004516C5"/>
    <w:rsid w:val="00453CC5"/>
    <w:rsid w:val="00467254"/>
    <w:rsid w:val="004723C0"/>
    <w:rsid w:val="0047415D"/>
    <w:rsid w:val="00480B84"/>
    <w:rsid w:val="0048735E"/>
    <w:rsid w:val="004879F7"/>
    <w:rsid w:val="0049093E"/>
    <w:rsid w:val="0049407F"/>
    <w:rsid w:val="004A2B96"/>
    <w:rsid w:val="004A70F3"/>
    <w:rsid w:val="004A76B7"/>
    <w:rsid w:val="004B60DD"/>
    <w:rsid w:val="004B64F9"/>
    <w:rsid w:val="004C1A25"/>
    <w:rsid w:val="004C3FE4"/>
    <w:rsid w:val="004C5042"/>
    <w:rsid w:val="004C6C88"/>
    <w:rsid w:val="004C7F09"/>
    <w:rsid w:val="004D0224"/>
    <w:rsid w:val="004E0FFE"/>
    <w:rsid w:val="004E3847"/>
    <w:rsid w:val="004E5171"/>
    <w:rsid w:val="004E5BCA"/>
    <w:rsid w:val="004E7C56"/>
    <w:rsid w:val="004F1F54"/>
    <w:rsid w:val="004F421A"/>
    <w:rsid w:val="0050492F"/>
    <w:rsid w:val="005077BC"/>
    <w:rsid w:val="00515991"/>
    <w:rsid w:val="005214BF"/>
    <w:rsid w:val="005225EC"/>
    <w:rsid w:val="00524153"/>
    <w:rsid w:val="00525097"/>
    <w:rsid w:val="00526DB4"/>
    <w:rsid w:val="00537D6A"/>
    <w:rsid w:val="00541444"/>
    <w:rsid w:val="005509B6"/>
    <w:rsid w:val="00552730"/>
    <w:rsid w:val="00560024"/>
    <w:rsid w:val="005637FF"/>
    <w:rsid w:val="00567C48"/>
    <w:rsid w:val="00592BD4"/>
    <w:rsid w:val="005B1394"/>
    <w:rsid w:val="005B333C"/>
    <w:rsid w:val="005D0614"/>
    <w:rsid w:val="005D4236"/>
    <w:rsid w:val="005D4FA2"/>
    <w:rsid w:val="005F0F9E"/>
    <w:rsid w:val="005F1F5F"/>
    <w:rsid w:val="005F561C"/>
    <w:rsid w:val="00604512"/>
    <w:rsid w:val="00606518"/>
    <w:rsid w:val="00613ACF"/>
    <w:rsid w:val="00622288"/>
    <w:rsid w:val="00624952"/>
    <w:rsid w:val="00627CBF"/>
    <w:rsid w:val="00632C10"/>
    <w:rsid w:val="00636F7B"/>
    <w:rsid w:val="00645D38"/>
    <w:rsid w:val="00656B8B"/>
    <w:rsid w:val="00657C5A"/>
    <w:rsid w:val="00657D4C"/>
    <w:rsid w:val="00666085"/>
    <w:rsid w:val="00667684"/>
    <w:rsid w:val="00672D94"/>
    <w:rsid w:val="00680773"/>
    <w:rsid w:val="00682041"/>
    <w:rsid w:val="006903A0"/>
    <w:rsid w:val="00690698"/>
    <w:rsid w:val="006909D3"/>
    <w:rsid w:val="00694C10"/>
    <w:rsid w:val="00694F6B"/>
    <w:rsid w:val="006963E4"/>
    <w:rsid w:val="006A531E"/>
    <w:rsid w:val="006B30D4"/>
    <w:rsid w:val="006B391B"/>
    <w:rsid w:val="006B6C52"/>
    <w:rsid w:val="006D7312"/>
    <w:rsid w:val="006E4A4B"/>
    <w:rsid w:val="006E636E"/>
    <w:rsid w:val="006F5AD9"/>
    <w:rsid w:val="00703106"/>
    <w:rsid w:val="00704B06"/>
    <w:rsid w:val="007150C5"/>
    <w:rsid w:val="007176B7"/>
    <w:rsid w:val="00725083"/>
    <w:rsid w:val="00733CB9"/>
    <w:rsid w:val="0073441E"/>
    <w:rsid w:val="00736A91"/>
    <w:rsid w:val="00742774"/>
    <w:rsid w:val="00744BA5"/>
    <w:rsid w:val="00745943"/>
    <w:rsid w:val="007459AE"/>
    <w:rsid w:val="0074797E"/>
    <w:rsid w:val="007526FF"/>
    <w:rsid w:val="007531A5"/>
    <w:rsid w:val="00753D8A"/>
    <w:rsid w:val="007627B6"/>
    <w:rsid w:val="007666DD"/>
    <w:rsid w:val="0077041F"/>
    <w:rsid w:val="007715A3"/>
    <w:rsid w:val="00771C9E"/>
    <w:rsid w:val="00775479"/>
    <w:rsid w:val="007770B4"/>
    <w:rsid w:val="00783685"/>
    <w:rsid w:val="00790252"/>
    <w:rsid w:val="00791745"/>
    <w:rsid w:val="00793928"/>
    <w:rsid w:val="00794406"/>
    <w:rsid w:val="007A037B"/>
    <w:rsid w:val="007A2698"/>
    <w:rsid w:val="007A2E1A"/>
    <w:rsid w:val="007B1BA2"/>
    <w:rsid w:val="007B6BEE"/>
    <w:rsid w:val="007C5527"/>
    <w:rsid w:val="007C5BBB"/>
    <w:rsid w:val="007C7A95"/>
    <w:rsid w:val="007D439E"/>
    <w:rsid w:val="007D5B26"/>
    <w:rsid w:val="007D6D6D"/>
    <w:rsid w:val="007E0868"/>
    <w:rsid w:val="007E1393"/>
    <w:rsid w:val="007E16DC"/>
    <w:rsid w:val="007E1A24"/>
    <w:rsid w:val="007E4E7F"/>
    <w:rsid w:val="007E76A3"/>
    <w:rsid w:val="007F1774"/>
    <w:rsid w:val="007F24DC"/>
    <w:rsid w:val="007F3D09"/>
    <w:rsid w:val="007F400E"/>
    <w:rsid w:val="008033F3"/>
    <w:rsid w:val="00807B29"/>
    <w:rsid w:val="0081041B"/>
    <w:rsid w:val="0081251C"/>
    <w:rsid w:val="00817107"/>
    <w:rsid w:val="0082045E"/>
    <w:rsid w:val="008205E6"/>
    <w:rsid w:val="008222A3"/>
    <w:rsid w:val="008234A9"/>
    <w:rsid w:val="0082771A"/>
    <w:rsid w:val="00831676"/>
    <w:rsid w:val="00832ABB"/>
    <w:rsid w:val="00840664"/>
    <w:rsid w:val="00840A8D"/>
    <w:rsid w:val="00844F4C"/>
    <w:rsid w:val="008462AD"/>
    <w:rsid w:val="00853B74"/>
    <w:rsid w:val="00856E60"/>
    <w:rsid w:val="008612D6"/>
    <w:rsid w:val="008666D3"/>
    <w:rsid w:val="008667B9"/>
    <w:rsid w:val="00867892"/>
    <w:rsid w:val="00881E2B"/>
    <w:rsid w:val="008820DE"/>
    <w:rsid w:val="00885CC9"/>
    <w:rsid w:val="008A2902"/>
    <w:rsid w:val="008B128A"/>
    <w:rsid w:val="008B3DE2"/>
    <w:rsid w:val="008B3FC7"/>
    <w:rsid w:val="008C769A"/>
    <w:rsid w:val="008D1D98"/>
    <w:rsid w:val="008D282B"/>
    <w:rsid w:val="008D366B"/>
    <w:rsid w:val="008D7501"/>
    <w:rsid w:val="008E4D98"/>
    <w:rsid w:val="008E705E"/>
    <w:rsid w:val="008F3462"/>
    <w:rsid w:val="008F7D5B"/>
    <w:rsid w:val="00912423"/>
    <w:rsid w:val="00917C3D"/>
    <w:rsid w:val="009212C9"/>
    <w:rsid w:val="009315EF"/>
    <w:rsid w:val="00931763"/>
    <w:rsid w:val="00935932"/>
    <w:rsid w:val="009404CF"/>
    <w:rsid w:val="009408F5"/>
    <w:rsid w:val="00942EB0"/>
    <w:rsid w:val="0094579D"/>
    <w:rsid w:val="00946FF8"/>
    <w:rsid w:val="00951712"/>
    <w:rsid w:val="00952C05"/>
    <w:rsid w:val="009559A6"/>
    <w:rsid w:val="0096757F"/>
    <w:rsid w:val="00967E59"/>
    <w:rsid w:val="00976419"/>
    <w:rsid w:val="00980A22"/>
    <w:rsid w:val="009858B5"/>
    <w:rsid w:val="00985D46"/>
    <w:rsid w:val="00987B28"/>
    <w:rsid w:val="00987D33"/>
    <w:rsid w:val="0099173A"/>
    <w:rsid w:val="00993516"/>
    <w:rsid w:val="00993CB7"/>
    <w:rsid w:val="00994077"/>
    <w:rsid w:val="00997FC2"/>
    <w:rsid w:val="009A31D3"/>
    <w:rsid w:val="009A603F"/>
    <w:rsid w:val="009B1539"/>
    <w:rsid w:val="009B56CC"/>
    <w:rsid w:val="009D0EE3"/>
    <w:rsid w:val="009E3699"/>
    <w:rsid w:val="009F0184"/>
    <w:rsid w:val="009F0635"/>
    <w:rsid w:val="009F073F"/>
    <w:rsid w:val="009F581B"/>
    <w:rsid w:val="009F7F12"/>
    <w:rsid w:val="00A00998"/>
    <w:rsid w:val="00A01560"/>
    <w:rsid w:val="00A032AF"/>
    <w:rsid w:val="00A0574C"/>
    <w:rsid w:val="00A05D92"/>
    <w:rsid w:val="00A06322"/>
    <w:rsid w:val="00A07BA4"/>
    <w:rsid w:val="00A1038C"/>
    <w:rsid w:val="00A10AE6"/>
    <w:rsid w:val="00A144C9"/>
    <w:rsid w:val="00A154CB"/>
    <w:rsid w:val="00A21EAC"/>
    <w:rsid w:val="00A2494D"/>
    <w:rsid w:val="00A31C1D"/>
    <w:rsid w:val="00A336EB"/>
    <w:rsid w:val="00A34A78"/>
    <w:rsid w:val="00A401C6"/>
    <w:rsid w:val="00A43D4D"/>
    <w:rsid w:val="00A47243"/>
    <w:rsid w:val="00A536A1"/>
    <w:rsid w:val="00A72C5D"/>
    <w:rsid w:val="00A73E19"/>
    <w:rsid w:val="00A82DEC"/>
    <w:rsid w:val="00A969F3"/>
    <w:rsid w:val="00AA58E7"/>
    <w:rsid w:val="00AA7398"/>
    <w:rsid w:val="00AA7BC9"/>
    <w:rsid w:val="00AB0260"/>
    <w:rsid w:val="00AB0B7D"/>
    <w:rsid w:val="00AB1112"/>
    <w:rsid w:val="00AB65F1"/>
    <w:rsid w:val="00AC2C31"/>
    <w:rsid w:val="00AC7F64"/>
    <w:rsid w:val="00AD186D"/>
    <w:rsid w:val="00AD2273"/>
    <w:rsid w:val="00AD3462"/>
    <w:rsid w:val="00AD53DE"/>
    <w:rsid w:val="00AD5F2F"/>
    <w:rsid w:val="00AE0BAC"/>
    <w:rsid w:val="00AE2FD0"/>
    <w:rsid w:val="00AE3CF6"/>
    <w:rsid w:val="00AF4336"/>
    <w:rsid w:val="00AF7F99"/>
    <w:rsid w:val="00B02222"/>
    <w:rsid w:val="00B02930"/>
    <w:rsid w:val="00B0529B"/>
    <w:rsid w:val="00B114E4"/>
    <w:rsid w:val="00B125EE"/>
    <w:rsid w:val="00B127EF"/>
    <w:rsid w:val="00B156A0"/>
    <w:rsid w:val="00B2129C"/>
    <w:rsid w:val="00B219D3"/>
    <w:rsid w:val="00B23758"/>
    <w:rsid w:val="00B27FCF"/>
    <w:rsid w:val="00B3113E"/>
    <w:rsid w:val="00B324E9"/>
    <w:rsid w:val="00B41CCB"/>
    <w:rsid w:val="00B42E77"/>
    <w:rsid w:val="00B46D53"/>
    <w:rsid w:val="00B501AA"/>
    <w:rsid w:val="00B52EC7"/>
    <w:rsid w:val="00B54EBA"/>
    <w:rsid w:val="00B57A74"/>
    <w:rsid w:val="00B6301F"/>
    <w:rsid w:val="00B70210"/>
    <w:rsid w:val="00B858D5"/>
    <w:rsid w:val="00B93C21"/>
    <w:rsid w:val="00B9405B"/>
    <w:rsid w:val="00B96739"/>
    <w:rsid w:val="00BA6851"/>
    <w:rsid w:val="00BB02C5"/>
    <w:rsid w:val="00BB19F1"/>
    <w:rsid w:val="00BB462D"/>
    <w:rsid w:val="00BC1217"/>
    <w:rsid w:val="00BC7054"/>
    <w:rsid w:val="00BC7176"/>
    <w:rsid w:val="00BC7D1C"/>
    <w:rsid w:val="00BD113B"/>
    <w:rsid w:val="00BD4CC6"/>
    <w:rsid w:val="00BE7C83"/>
    <w:rsid w:val="00BF1728"/>
    <w:rsid w:val="00BF2DB3"/>
    <w:rsid w:val="00BF4F56"/>
    <w:rsid w:val="00C016D1"/>
    <w:rsid w:val="00C026EE"/>
    <w:rsid w:val="00C03C58"/>
    <w:rsid w:val="00C07FF6"/>
    <w:rsid w:val="00C1152E"/>
    <w:rsid w:val="00C151D9"/>
    <w:rsid w:val="00C20186"/>
    <w:rsid w:val="00C26D4C"/>
    <w:rsid w:val="00C31EBB"/>
    <w:rsid w:val="00C32BC2"/>
    <w:rsid w:val="00C35DCD"/>
    <w:rsid w:val="00C365A6"/>
    <w:rsid w:val="00C43505"/>
    <w:rsid w:val="00C47322"/>
    <w:rsid w:val="00C5036A"/>
    <w:rsid w:val="00C54A7D"/>
    <w:rsid w:val="00C62C76"/>
    <w:rsid w:val="00C64132"/>
    <w:rsid w:val="00C747DA"/>
    <w:rsid w:val="00C76D57"/>
    <w:rsid w:val="00C96C9A"/>
    <w:rsid w:val="00CA3751"/>
    <w:rsid w:val="00CA78F9"/>
    <w:rsid w:val="00CB06FB"/>
    <w:rsid w:val="00CB63C5"/>
    <w:rsid w:val="00CB7868"/>
    <w:rsid w:val="00CC0C60"/>
    <w:rsid w:val="00CC3B67"/>
    <w:rsid w:val="00CC6CEE"/>
    <w:rsid w:val="00CC7045"/>
    <w:rsid w:val="00CD1343"/>
    <w:rsid w:val="00CD63B3"/>
    <w:rsid w:val="00CF179D"/>
    <w:rsid w:val="00D0035F"/>
    <w:rsid w:val="00D1391B"/>
    <w:rsid w:val="00D239CD"/>
    <w:rsid w:val="00D3073B"/>
    <w:rsid w:val="00D30EED"/>
    <w:rsid w:val="00D3425C"/>
    <w:rsid w:val="00D41C19"/>
    <w:rsid w:val="00D45DC3"/>
    <w:rsid w:val="00D53FF1"/>
    <w:rsid w:val="00D569EE"/>
    <w:rsid w:val="00D6123B"/>
    <w:rsid w:val="00D726B0"/>
    <w:rsid w:val="00D733A6"/>
    <w:rsid w:val="00D76507"/>
    <w:rsid w:val="00D82212"/>
    <w:rsid w:val="00D85349"/>
    <w:rsid w:val="00D85BE7"/>
    <w:rsid w:val="00DA47E5"/>
    <w:rsid w:val="00DB041B"/>
    <w:rsid w:val="00DB32F0"/>
    <w:rsid w:val="00DB3B4E"/>
    <w:rsid w:val="00DB66DE"/>
    <w:rsid w:val="00DB7ECA"/>
    <w:rsid w:val="00DC2851"/>
    <w:rsid w:val="00DC2D34"/>
    <w:rsid w:val="00DC7881"/>
    <w:rsid w:val="00DD3A76"/>
    <w:rsid w:val="00DD5701"/>
    <w:rsid w:val="00DE10E6"/>
    <w:rsid w:val="00DE77C6"/>
    <w:rsid w:val="00E037E5"/>
    <w:rsid w:val="00E117BC"/>
    <w:rsid w:val="00E12925"/>
    <w:rsid w:val="00E31471"/>
    <w:rsid w:val="00E31C4A"/>
    <w:rsid w:val="00E343A6"/>
    <w:rsid w:val="00E40430"/>
    <w:rsid w:val="00E443AC"/>
    <w:rsid w:val="00E47533"/>
    <w:rsid w:val="00E47A1E"/>
    <w:rsid w:val="00E517AD"/>
    <w:rsid w:val="00E55BD7"/>
    <w:rsid w:val="00E56AA3"/>
    <w:rsid w:val="00E62A23"/>
    <w:rsid w:val="00E62E31"/>
    <w:rsid w:val="00E64F1E"/>
    <w:rsid w:val="00E66B1A"/>
    <w:rsid w:val="00E6714B"/>
    <w:rsid w:val="00E67E62"/>
    <w:rsid w:val="00E7105F"/>
    <w:rsid w:val="00E818DE"/>
    <w:rsid w:val="00E81F10"/>
    <w:rsid w:val="00E82FDB"/>
    <w:rsid w:val="00E8313B"/>
    <w:rsid w:val="00E83630"/>
    <w:rsid w:val="00E85790"/>
    <w:rsid w:val="00E94219"/>
    <w:rsid w:val="00E94729"/>
    <w:rsid w:val="00E977A2"/>
    <w:rsid w:val="00EA2BFF"/>
    <w:rsid w:val="00EA37BA"/>
    <w:rsid w:val="00EB29DA"/>
    <w:rsid w:val="00ED471D"/>
    <w:rsid w:val="00ED4BCF"/>
    <w:rsid w:val="00ED6A39"/>
    <w:rsid w:val="00ED75EB"/>
    <w:rsid w:val="00ED78FF"/>
    <w:rsid w:val="00EE059F"/>
    <w:rsid w:val="00EE37EC"/>
    <w:rsid w:val="00EE63E1"/>
    <w:rsid w:val="00EF2DFA"/>
    <w:rsid w:val="00EF7465"/>
    <w:rsid w:val="00EF7929"/>
    <w:rsid w:val="00F0704E"/>
    <w:rsid w:val="00F11B4E"/>
    <w:rsid w:val="00F232A3"/>
    <w:rsid w:val="00F23901"/>
    <w:rsid w:val="00F23DB7"/>
    <w:rsid w:val="00F25B2F"/>
    <w:rsid w:val="00F272D7"/>
    <w:rsid w:val="00F27E7D"/>
    <w:rsid w:val="00F30143"/>
    <w:rsid w:val="00F313F6"/>
    <w:rsid w:val="00F324DA"/>
    <w:rsid w:val="00F41128"/>
    <w:rsid w:val="00F45510"/>
    <w:rsid w:val="00F5012D"/>
    <w:rsid w:val="00F5675E"/>
    <w:rsid w:val="00F61182"/>
    <w:rsid w:val="00F67D2A"/>
    <w:rsid w:val="00F714A0"/>
    <w:rsid w:val="00F72501"/>
    <w:rsid w:val="00F73093"/>
    <w:rsid w:val="00F751AD"/>
    <w:rsid w:val="00F853FD"/>
    <w:rsid w:val="00F873D4"/>
    <w:rsid w:val="00F912AD"/>
    <w:rsid w:val="00F92064"/>
    <w:rsid w:val="00F92C3D"/>
    <w:rsid w:val="00FA3D05"/>
    <w:rsid w:val="00FA5CC9"/>
    <w:rsid w:val="00FA69BD"/>
    <w:rsid w:val="00FB0A2C"/>
    <w:rsid w:val="00FB1E2E"/>
    <w:rsid w:val="00FB362F"/>
    <w:rsid w:val="00FB5C42"/>
    <w:rsid w:val="00FC2DE1"/>
    <w:rsid w:val="00FC4865"/>
    <w:rsid w:val="00FC59F1"/>
    <w:rsid w:val="00FC74AB"/>
    <w:rsid w:val="00FD3084"/>
    <w:rsid w:val="00FE3EDE"/>
    <w:rsid w:val="00FE43E8"/>
    <w:rsid w:val="00FE4A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8FB468"/>
  <w15:docId w15:val="{4E346215-C02E-4B14-93F5-5848DA95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8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B128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B128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B128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B128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B128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B128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B128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B128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B128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B128A"/>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B128A"/>
    <w:pPr>
      <w:spacing w:line="360" w:lineRule="exact"/>
    </w:pPr>
    <w:rPr>
      <w:spacing w:val="-3"/>
      <w:w w:val="99"/>
      <w:sz w:val="34"/>
    </w:rPr>
  </w:style>
  <w:style w:type="paragraph" w:customStyle="1" w:styleId="H23">
    <w:name w:val="_ H_2/3"/>
    <w:basedOn w:val="H1"/>
    <w:next w:val="SingleTxt"/>
    <w:qFormat/>
    <w:rsid w:val="008B128A"/>
    <w:pPr>
      <w:spacing w:line="240" w:lineRule="exact"/>
      <w:outlineLvl w:val="1"/>
    </w:pPr>
    <w:rPr>
      <w:spacing w:val="2"/>
      <w:sz w:val="20"/>
    </w:rPr>
  </w:style>
  <w:style w:type="paragraph" w:customStyle="1" w:styleId="H4">
    <w:name w:val="_ H_4"/>
    <w:basedOn w:val="Normal"/>
    <w:next w:val="Normal"/>
    <w:qFormat/>
    <w:rsid w:val="008B128A"/>
    <w:pPr>
      <w:keepNext/>
      <w:keepLines/>
      <w:tabs>
        <w:tab w:val="right" w:pos="360"/>
      </w:tabs>
      <w:outlineLvl w:val="3"/>
    </w:pPr>
    <w:rPr>
      <w:i/>
      <w:spacing w:val="3"/>
      <w:kern w:val="14"/>
    </w:rPr>
  </w:style>
  <w:style w:type="paragraph" w:customStyle="1" w:styleId="H56">
    <w:name w:val="_ H_5/6"/>
    <w:basedOn w:val="Normal"/>
    <w:next w:val="Normal"/>
    <w:qFormat/>
    <w:rsid w:val="008B128A"/>
    <w:pPr>
      <w:keepNext/>
      <w:keepLines/>
      <w:tabs>
        <w:tab w:val="right" w:pos="360"/>
      </w:tabs>
      <w:outlineLvl w:val="4"/>
    </w:pPr>
    <w:rPr>
      <w:kern w:val="14"/>
    </w:rPr>
  </w:style>
  <w:style w:type="paragraph" w:customStyle="1" w:styleId="DualTxt">
    <w:name w:val="__Dual Txt"/>
    <w:basedOn w:val="Normal"/>
    <w:qFormat/>
    <w:rsid w:val="008B128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B128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B128A"/>
    <w:pPr>
      <w:spacing w:line="540" w:lineRule="exact"/>
    </w:pPr>
    <w:rPr>
      <w:spacing w:val="-8"/>
      <w:w w:val="96"/>
      <w:sz w:val="57"/>
    </w:rPr>
  </w:style>
  <w:style w:type="paragraph" w:customStyle="1" w:styleId="SS">
    <w:name w:val="__S_S"/>
    <w:basedOn w:val="HCh0"/>
    <w:next w:val="Normal"/>
    <w:qFormat/>
    <w:rsid w:val="008B128A"/>
    <w:pPr>
      <w:ind w:left="1267" w:right="1267"/>
    </w:pPr>
  </w:style>
  <w:style w:type="paragraph" w:customStyle="1" w:styleId="SingleTxt">
    <w:name w:val="__Single Txt"/>
    <w:basedOn w:val="Normal"/>
    <w:qFormat/>
    <w:rsid w:val="008B12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B128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B12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61D4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B128A"/>
    <w:rPr>
      <w:rFonts w:ascii="Tahoma" w:hAnsi="Tahoma" w:cs="Tahoma"/>
      <w:sz w:val="16"/>
      <w:szCs w:val="16"/>
    </w:rPr>
  </w:style>
  <w:style w:type="character" w:customStyle="1" w:styleId="BalloonTextChar">
    <w:name w:val="Balloon Text Char"/>
    <w:basedOn w:val="DefaultParagraphFont"/>
    <w:link w:val="BalloonText"/>
    <w:semiHidden/>
    <w:rsid w:val="008B128A"/>
    <w:rPr>
      <w:rFonts w:ascii="Tahoma" w:eastAsiaTheme="minorHAnsi" w:hAnsi="Tahoma" w:cs="Tahoma"/>
      <w:spacing w:val="4"/>
      <w:w w:val="103"/>
      <w:sz w:val="16"/>
      <w:szCs w:val="16"/>
      <w:lang w:val="es-ES" w:eastAsia="en-US"/>
    </w:rPr>
  </w:style>
  <w:style w:type="paragraph" w:customStyle="1" w:styleId="Bullet1">
    <w:name w:val="Bullet 1"/>
    <w:basedOn w:val="Normal"/>
    <w:qFormat/>
    <w:rsid w:val="008B128A"/>
    <w:pPr>
      <w:numPr>
        <w:numId w:val="45"/>
      </w:numPr>
      <w:spacing w:after="120"/>
      <w:ind w:right="1264"/>
      <w:jc w:val="both"/>
    </w:pPr>
  </w:style>
  <w:style w:type="paragraph" w:customStyle="1" w:styleId="Bullet2">
    <w:name w:val="Bullet 2"/>
    <w:basedOn w:val="Normal"/>
    <w:qFormat/>
    <w:rsid w:val="008B128A"/>
    <w:pPr>
      <w:numPr>
        <w:numId w:val="46"/>
      </w:numPr>
      <w:spacing w:after="120"/>
      <w:ind w:right="1264"/>
      <w:jc w:val="both"/>
    </w:pPr>
  </w:style>
  <w:style w:type="paragraph" w:customStyle="1" w:styleId="Bullet3">
    <w:name w:val="Bullet 3"/>
    <w:basedOn w:val="SingleTxt"/>
    <w:qFormat/>
    <w:rsid w:val="008B128A"/>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B128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B128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B128A"/>
    <w:pPr>
      <w:spacing w:after="80"/>
    </w:pPr>
  </w:style>
  <w:style w:type="character" w:customStyle="1" w:styleId="EndnoteTextChar">
    <w:name w:val="Endnote Text Char"/>
    <w:basedOn w:val="DefaultParagraphFont"/>
    <w:link w:val="EndnoteText"/>
    <w:semiHidden/>
    <w:rsid w:val="008B128A"/>
    <w:rPr>
      <w:rFonts w:ascii="Times New Roman" w:eastAsiaTheme="minorHAnsi" w:hAnsi="Times New Roman" w:cs="Times New Roman"/>
      <w:spacing w:val="5"/>
      <w:w w:val="104"/>
      <w:sz w:val="17"/>
      <w:lang w:val="es-ES" w:eastAsia="en-US"/>
    </w:rPr>
  </w:style>
  <w:style w:type="paragraph" w:styleId="Footer">
    <w:name w:val="footer"/>
    <w:link w:val="FooterChar"/>
    <w:qFormat/>
    <w:rsid w:val="008B128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B128A"/>
    <w:rPr>
      <w:rFonts w:ascii="Times New Roman" w:eastAsiaTheme="minorHAnsi" w:hAnsi="Times New Roman" w:cs="Times New Roman"/>
      <w:b/>
      <w:noProof/>
      <w:sz w:val="17"/>
      <w:lang w:val="en-US" w:eastAsia="en-US"/>
    </w:rPr>
  </w:style>
  <w:style w:type="character" w:styleId="FootnoteReference">
    <w:name w:val="footnote reference"/>
    <w:aliases w:val="4_G"/>
    <w:uiPriority w:val="99"/>
    <w:rsid w:val="008B12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8B128A"/>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uiPriority w:val="99"/>
    <w:rsid w:val="008B128A"/>
    <w:rPr>
      <w:rFonts w:ascii="Times New Roman" w:eastAsiaTheme="minorHAnsi" w:hAnsi="Times New Roman" w:cs="Times New Roman"/>
      <w:spacing w:val="5"/>
      <w:w w:val="104"/>
      <w:sz w:val="17"/>
      <w:lang w:val="es-ES" w:eastAsia="en-US"/>
    </w:rPr>
  </w:style>
  <w:style w:type="paragraph" w:styleId="Header">
    <w:name w:val="header"/>
    <w:link w:val="HeaderChar"/>
    <w:qFormat/>
    <w:rsid w:val="008B128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B128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B128A"/>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B128A"/>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B128A"/>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B128A"/>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B128A"/>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B128A"/>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B128A"/>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B128A"/>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B128A"/>
    <w:rPr>
      <w:rFonts w:ascii="Cambria" w:hAnsi="Cambria" w:cs="Times New Roman"/>
      <w:i/>
      <w:iCs/>
      <w:spacing w:val="5"/>
      <w:w w:val="103"/>
      <w:sz w:val="20"/>
      <w:szCs w:val="20"/>
      <w:lang w:val="es-ES" w:eastAsia="en-US"/>
    </w:rPr>
  </w:style>
  <w:style w:type="character" w:styleId="LineNumber">
    <w:name w:val="line number"/>
    <w:qFormat/>
    <w:rsid w:val="008B128A"/>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rsid w:val="008B128A"/>
    <w:pPr>
      <w:spacing w:line="240" w:lineRule="auto"/>
    </w:pPr>
  </w:style>
  <w:style w:type="paragraph" w:customStyle="1" w:styleId="Original">
    <w:name w:val="Original"/>
    <w:next w:val="Normal"/>
    <w:autoRedefine/>
    <w:qFormat/>
    <w:rsid w:val="008B128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B128A"/>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B128A"/>
    <w:pPr>
      <w:tabs>
        <w:tab w:val="right" w:pos="9965"/>
      </w:tabs>
      <w:spacing w:line="210" w:lineRule="exact"/>
    </w:pPr>
    <w:rPr>
      <w:spacing w:val="5"/>
      <w:w w:val="104"/>
      <w:kern w:val="14"/>
      <w:sz w:val="17"/>
    </w:rPr>
  </w:style>
  <w:style w:type="paragraph" w:customStyle="1" w:styleId="SmallX">
    <w:name w:val="SmallX"/>
    <w:basedOn w:val="Small"/>
    <w:next w:val="Normal"/>
    <w:qFormat/>
    <w:rsid w:val="008B128A"/>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B12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B12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B128A"/>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B12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8B128A"/>
    <w:pPr>
      <w:spacing w:line="300" w:lineRule="exact"/>
    </w:pPr>
    <w:rPr>
      <w:spacing w:val="-2"/>
      <w:sz w:val="28"/>
    </w:rPr>
  </w:style>
  <w:style w:type="paragraph" w:styleId="Caption">
    <w:name w:val="caption"/>
    <w:basedOn w:val="Normal"/>
    <w:next w:val="Normal"/>
    <w:uiPriority w:val="35"/>
    <w:semiHidden/>
    <w:unhideWhenUsed/>
    <w:rsid w:val="008B128A"/>
    <w:pPr>
      <w:spacing w:line="240" w:lineRule="auto"/>
    </w:pPr>
    <w:rPr>
      <w:b/>
      <w:bCs/>
      <w:color w:val="4F81BD"/>
      <w:sz w:val="18"/>
      <w:szCs w:val="18"/>
    </w:rPr>
  </w:style>
  <w:style w:type="character" w:styleId="CommentReference">
    <w:name w:val="annotation reference"/>
    <w:semiHidden/>
    <w:rsid w:val="008B128A"/>
    <w:rPr>
      <w:sz w:val="6"/>
    </w:rPr>
  </w:style>
  <w:style w:type="paragraph" w:customStyle="1" w:styleId="HdBanner">
    <w:name w:val="Hd Banner"/>
    <w:basedOn w:val="Normal"/>
    <w:next w:val="Normal"/>
    <w:qFormat/>
    <w:rsid w:val="008B128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B128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B128A"/>
    <w:pPr>
      <w:spacing w:before="240"/>
    </w:pPr>
    <w:rPr>
      <w:b/>
      <w:spacing w:val="-2"/>
      <w:w w:val="100"/>
    </w:rPr>
  </w:style>
  <w:style w:type="paragraph" w:customStyle="1" w:styleId="HdChapterBdLg">
    <w:name w:val="Hd Chapter Bd Lg"/>
    <w:basedOn w:val="HdChapterBD"/>
    <w:next w:val="Normal"/>
    <w:qFormat/>
    <w:rsid w:val="008B128A"/>
    <w:rPr>
      <w:spacing w:val="-3"/>
      <w:w w:val="99"/>
      <w:kern w:val="14"/>
      <w:sz w:val="34"/>
      <w:szCs w:val="34"/>
    </w:rPr>
  </w:style>
  <w:style w:type="paragraph" w:customStyle="1" w:styleId="JournalHeading1">
    <w:name w:val="Journal_Heading1"/>
    <w:basedOn w:val="Normal"/>
    <w:next w:val="Normal"/>
    <w:qFormat/>
    <w:rsid w:val="008B128A"/>
    <w:pPr>
      <w:keepNext/>
      <w:spacing w:before="190" w:line="270" w:lineRule="exact"/>
    </w:pPr>
    <w:rPr>
      <w:b/>
      <w:kern w:val="14"/>
      <w:sz w:val="24"/>
    </w:rPr>
  </w:style>
  <w:style w:type="paragraph" w:customStyle="1" w:styleId="JournalHeading2">
    <w:name w:val="Journal_Heading2"/>
    <w:basedOn w:val="Normal"/>
    <w:next w:val="Normal"/>
    <w:qFormat/>
    <w:rsid w:val="008B128A"/>
    <w:pPr>
      <w:keepNext/>
      <w:keepLines/>
      <w:spacing w:before="240"/>
      <w:outlineLvl w:val="1"/>
    </w:pPr>
    <w:rPr>
      <w:b/>
      <w:spacing w:val="2"/>
      <w:kern w:val="14"/>
    </w:rPr>
  </w:style>
  <w:style w:type="paragraph" w:customStyle="1" w:styleId="JournalHeading4">
    <w:name w:val="Journal_Heading4"/>
    <w:basedOn w:val="Normal"/>
    <w:next w:val="Normal"/>
    <w:qFormat/>
    <w:rsid w:val="008B128A"/>
    <w:pPr>
      <w:keepNext/>
      <w:keepLines/>
      <w:spacing w:before="240"/>
      <w:outlineLvl w:val="3"/>
    </w:pPr>
    <w:rPr>
      <w:i/>
      <w:kern w:val="14"/>
    </w:rPr>
  </w:style>
  <w:style w:type="paragraph" w:customStyle="1" w:styleId="NormalBullet">
    <w:name w:val="Normal Bullet"/>
    <w:basedOn w:val="Normal"/>
    <w:next w:val="Normal"/>
    <w:qFormat/>
    <w:rsid w:val="008B128A"/>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8B128A"/>
    <w:pPr>
      <w:tabs>
        <w:tab w:val="left" w:leader="dot" w:pos="2218"/>
        <w:tab w:val="left" w:pos="2707"/>
        <w:tab w:val="right" w:leader="dot" w:pos="9835"/>
      </w:tabs>
    </w:pPr>
    <w:rPr>
      <w:kern w:val="14"/>
    </w:rPr>
  </w:style>
  <w:style w:type="paragraph" w:customStyle="1" w:styleId="ReleaseDate0">
    <w:name w:val="ReleaseDate"/>
    <w:next w:val="Footer"/>
    <w:autoRedefine/>
    <w:qFormat/>
    <w:rsid w:val="008B128A"/>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B128A"/>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7C5527"/>
    <w:pPr>
      <w:spacing w:line="240" w:lineRule="auto"/>
    </w:pPr>
    <w:rPr>
      <w:szCs w:val="20"/>
    </w:rPr>
  </w:style>
  <w:style w:type="character" w:customStyle="1" w:styleId="CommentTextChar">
    <w:name w:val="Comment Text Char"/>
    <w:basedOn w:val="DefaultParagraphFont"/>
    <w:link w:val="CommentText"/>
    <w:uiPriority w:val="99"/>
    <w:rsid w:val="007C552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C5527"/>
    <w:rPr>
      <w:b/>
      <w:bCs/>
    </w:rPr>
  </w:style>
  <w:style w:type="character" w:customStyle="1" w:styleId="CommentSubjectChar">
    <w:name w:val="Comment Subject Char"/>
    <w:basedOn w:val="CommentTextChar"/>
    <w:link w:val="CommentSubject"/>
    <w:uiPriority w:val="99"/>
    <w:semiHidden/>
    <w:rsid w:val="007C5527"/>
    <w:rPr>
      <w:rFonts w:ascii="Times New Roman" w:hAnsi="Times New Roman" w:cs="Times New Roman"/>
      <w:b/>
      <w:bCs/>
      <w:spacing w:val="4"/>
      <w:w w:val="103"/>
      <w:sz w:val="20"/>
      <w:szCs w:val="20"/>
      <w:lang w:val="es-ES" w:eastAsia="en-US"/>
    </w:rPr>
  </w:style>
  <w:style w:type="character" w:customStyle="1" w:styleId="None">
    <w:name w:val="None"/>
    <w:rsid w:val="007E16DC"/>
  </w:style>
  <w:style w:type="character" w:customStyle="1" w:styleId="Hyperlink4">
    <w:name w:val="Hyperlink.4"/>
    <w:basedOn w:val="None"/>
    <w:rsid w:val="007E16DC"/>
    <w:rPr>
      <w:rFonts w:ascii="Calibri" w:eastAsia="Times New Roman" w:hAnsi="Calibri" w:cs="Calibri"/>
      <w:sz w:val="18"/>
      <w:szCs w:val="18"/>
      <w:lang w:val="en-US" w:eastAsia="x-none"/>
    </w:rPr>
  </w:style>
  <w:style w:type="character" w:customStyle="1" w:styleId="Mencinsinresolver1">
    <w:name w:val="Mención sin resolver1"/>
    <w:basedOn w:val="DefaultParagraphFont"/>
    <w:uiPriority w:val="99"/>
    <w:semiHidden/>
    <w:unhideWhenUsed/>
    <w:rsid w:val="00A401C6"/>
    <w:rPr>
      <w:color w:val="605E5C"/>
      <w:shd w:val="clear" w:color="auto" w:fill="E1DFDD"/>
    </w:rPr>
  </w:style>
  <w:style w:type="paragraph" w:styleId="Revision">
    <w:name w:val="Revision"/>
    <w:hidden/>
    <w:uiPriority w:val="99"/>
    <w:semiHidden/>
    <w:rsid w:val="00061D43"/>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9">
      <w:bodyDiv w:val="1"/>
      <w:marLeft w:val="0"/>
      <w:marRight w:val="0"/>
      <w:marTop w:val="0"/>
      <w:marBottom w:val="0"/>
      <w:divBdr>
        <w:top w:val="none" w:sz="0" w:space="0" w:color="auto"/>
        <w:left w:val="none" w:sz="0" w:space="0" w:color="auto"/>
        <w:bottom w:val="none" w:sz="0" w:space="0" w:color="auto"/>
        <w:right w:val="none" w:sz="0" w:space="0" w:color="auto"/>
      </w:divBdr>
    </w:div>
    <w:div w:id="156726033">
      <w:bodyDiv w:val="1"/>
      <w:marLeft w:val="0"/>
      <w:marRight w:val="0"/>
      <w:marTop w:val="0"/>
      <w:marBottom w:val="0"/>
      <w:divBdr>
        <w:top w:val="none" w:sz="0" w:space="0" w:color="auto"/>
        <w:left w:val="none" w:sz="0" w:space="0" w:color="auto"/>
        <w:bottom w:val="none" w:sz="0" w:space="0" w:color="auto"/>
        <w:right w:val="none" w:sz="0" w:space="0" w:color="auto"/>
      </w:divBdr>
      <w:divsChild>
        <w:div w:id="212082237">
          <w:marLeft w:val="0"/>
          <w:marRight w:val="0"/>
          <w:marTop w:val="0"/>
          <w:marBottom w:val="0"/>
          <w:divBdr>
            <w:top w:val="none" w:sz="0" w:space="0" w:color="auto"/>
            <w:left w:val="none" w:sz="0" w:space="0" w:color="auto"/>
            <w:bottom w:val="none" w:sz="0" w:space="0" w:color="auto"/>
            <w:right w:val="none" w:sz="0" w:space="0" w:color="auto"/>
          </w:divBdr>
          <w:divsChild>
            <w:div w:id="14878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895">
      <w:bodyDiv w:val="1"/>
      <w:marLeft w:val="0"/>
      <w:marRight w:val="0"/>
      <w:marTop w:val="0"/>
      <w:marBottom w:val="0"/>
      <w:divBdr>
        <w:top w:val="none" w:sz="0" w:space="0" w:color="auto"/>
        <w:left w:val="none" w:sz="0" w:space="0" w:color="auto"/>
        <w:bottom w:val="none" w:sz="0" w:space="0" w:color="auto"/>
        <w:right w:val="none" w:sz="0" w:space="0" w:color="auto"/>
      </w:divBdr>
      <w:divsChild>
        <w:div w:id="983893587">
          <w:marLeft w:val="0"/>
          <w:marRight w:val="0"/>
          <w:marTop w:val="0"/>
          <w:marBottom w:val="0"/>
          <w:divBdr>
            <w:top w:val="none" w:sz="0" w:space="0" w:color="auto"/>
            <w:left w:val="none" w:sz="0" w:space="0" w:color="auto"/>
            <w:bottom w:val="none" w:sz="0" w:space="0" w:color="auto"/>
            <w:right w:val="none" w:sz="0" w:space="0" w:color="auto"/>
          </w:divBdr>
          <w:divsChild>
            <w:div w:id="8288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672">
      <w:bodyDiv w:val="1"/>
      <w:marLeft w:val="0"/>
      <w:marRight w:val="0"/>
      <w:marTop w:val="0"/>
      <w:marBottom w:val="0"/>
      <w:divBdr>
        <w:top w:val="none" w:sz="0" w:space="0" w:color="auto"/>
        <w:left w:val="none" w:sz="0" w:space="0" w:color="auto"/>
        <w:bottom w:val="none" w:sz="0" w:space="0" w:color="auto"/>
        <w:right w:val="none" w:sz="0" w:space="0" w:color="auto"/>
      </w:divBdr>
      <w:divsChild>
        <w:div w:id="250358304">
          <w:marLeft w:val="0"/>
          <w:marRight w:val="0"/>
          <w:marTop w:val="0"/>
          <w:marBottom w:val="0"/>
          <w:divBdr>
            <w:top w:val="none" w:sz="0" w:space="0" w:color="auto"/>
            <w:left w:val="none" w:sz="0" w:space="0" w:color="auto"/>
            <w:bottom w:val="none" w:sz="0" w:space="0" w:color="auto"/>
            <w:right w:val="none" w:sz="0" w:space="0" w:color="auto"/>
          </w:divBdr>
          <w:divsChild>
            <w:div w:id="15762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892">
      <w:bodyDiv w:val="1"/>
      <w:marLeft w:val="0"/>
      <w:marRight w:val="0"/>
      <w:marTop w:val="0"/>
      <w:marBottom w:val="0"/>
      <w:divBdr>
        <w:top w:val="none" w:sz="0" w:space="0" w:color="auto"/>
        <w:left w:val="none" w:sz="0" w:space="0" w:color="auto"/>
        <w:bottom w:val="none" w:sz="0" w:space="0" w:color="auto"/>
        <w:right w:val="none" w:sz="0" w:space="0" w:color="auto"/>
      </w:divBdr>
      <w:divsChild>
        <w:div w:id="1505514581">
          <w:marLeft w:val="0"/>
          <w:marRight w:val="0"/>
          <w:marTop w:val="0"/>
          <w:marBottom w:val="0"/>
          <w:divBdr>
            <w:top w:val="none" w:sz="0" w:space="0" w:color="auto"/>
            <w:left w:val="none" w:sz="0" w:space="0" w:color="auto"/>
            <w:bottom w:val="none" w:sz="0" w:space="0" w:color="auto"/>
            <w:right w:val="none" w:sz="0" w:space="0" w:color="auto"/>
          </w:divBdr>
          <w:divsChild>
            <w:div w:id="1769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s/A/HRC/RES/42/5"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undocs.org/es/A/HRC/15/31" TargetMode="External"/><Relationship Id="rId23" Type="http://schemas.openxmlformats.org/officeDocument/2006/relationships/customXml" Target="../customXml/item2.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s/A/75/150" TargetMode="Externa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66/255" TargetMode="External"/><Relationship Id="rId13" Type="http://schemas.openxmlformats.org/officeDocument/2006/relationships/hyperlink" Target="http://www.ohchr.org/EN/Issues/WaterAndSanitation/SRWater/Pages/PrivateSectorParticipation.aspx" TargetMode="External"/><Relationship Id="rId18" Type="http://schemas.openxmlformats.org/officeDocument/2006/relationships/hyperlink" Target="http://www.ohchr.org/Documents/Issues/Development/IEDebt/OL_ARM_07.03.19_1.2019.pdf" TargetMode="External"/><Relationship Id="rId26" Type="http://schemas.openxmlformats.org/officeDocument/2006/relationships/hyperlink" Target="https://undocs.org/es/A/HRC/36/45" TargetMode="External"/><Relationship Id="rId39" Type="http://schemas.openxmlformats.org/officeDocument/2006/relationships/hyperlink" Target="https://undocs.org/es/A/HRC/15/31" TargetMode="External"/><Relationship Id="rId3" Type="http://schemas.openxmlformats.org/officeDocument/2006/relationships/hyperlink" Target="https://undocs.org/es/A/73/162" TargetMode="External"/><Relationship Id="rId21" Type="http://schemas.openxmlformats.org/officeDocument/2006/relationships/hyperlink" Target="https://undocs.org/es/A/HRC/24/44" TargetMode="External"/><Relationship Id="rId34" Type="http://schemas.openxmlformats.org/officeDocument/2006/relationships/hyperlink" Target="https://undocs.org/es/A/73/162" TargetMode="External"/><Relationship Id="rId42" Type="http://schemas.openxmlformats.org/officeDocument/2006/relationships/hyperlink" Target="https://undocs.org/es/A/71/302" TargetMode="External"/><Relationship Id="rId7" Type="http://schemas.openxmlformats.org/officeDocument/2006/relationships/hyperlink" Target="https://undocs.org/es/A/HRC/18/33" TargetMode="External"/><Relationship Id="rId12" Type="http://schemas.openxmlformats.org/officeDocument/2006/relationships/hyperlink" Target="https://undocs.org/es/A/HRC/42/47" TargetMode="External"/><Relationship Id="rId17" Type="http://schemas.openxmlformats.org/officeDocument/2006/relationships/hyperlink" Target="https://undocs.org/es/A/HRC/36/45" TargetMode="External"/><Relationship Id="rId25" Type="http://schemas.openxmlformats.org/officeDocument/2006/relationships/hyperlink" Target="http://www.tni.org/files/publication-downloads/second_edition.pdf" TargetMode="External"/><Relationship Id="rId33" Type="http://schemas.openxmlformats.org/officeDocument/2006/relationships/hyperlink" Target="https://ondasbrasil.org/sustentabilidade-financeira-dos-servicos-publicos-de-agua-e-esgoto-e-importante-mas-a-prioridade-deve-ser-salvar-vidas/" TargetMode="External"/><Relationship Id="rId38" Type="http://schemas.openxmlformats.org/officeDocument/2006/relationships/hyperlink" Target="https://undocs.org/es/A/HRC/36/45" TargetMode="External"/><Relationship Id="rId2" Type="http://schemas.openxmlformats.org/officeDocument/2006/relationships/hyperlink" Target="https://undocs.org/es/A/73/396" TargetMode="External"/><Relationship Id="rId16" Type="http://schemas.openxmlformats.org/officeDocument/2006/relationships/hyperlink" Target="https://undocs.org/es/A/HRC/36/45/Add.1" TargetMode="External"/><Relationship Id="rId20" Type="http://schemas.openxmlformats.org/officeDocument/2006/relationships/hyperlink" Target="https://undocs.org/es/A/HRC/45/10" TargetMode="External"/><Relationship Id="rId29" Type="http://schemas.openxmlformats.org/officeDocument/2006/relationships/hyperlink" Target="http://www.iisd.org/itn/2018/10/18/vivendi-v-argentina/" TargetMode="External"/><Relationship Id="rId41" Type="http://schemas.openxmlformats.org/officeDocument/2006/relationships/hyperlink" Target="http://www.ohchr.org/Documents/HRBodies/HRCouncil/WGTransCorp/Session3/DraftLBI.pdf" TargetMode="External"/><Relationship Id="rId1" Type="http://schemas.openxmlformats.org/officeDocument/2006/relationships/hyperlink" Target="https://undocs.org/es/A/69/402" TargetMode="External"/><Relationship Id="rId6" Type="http://schemas.openxmlformats.org/officeDocument/2006/relationships/hyperlink" Target="https://undocs.org/es/A/69/213" TargetMode="External"/><Relationship Id="rId11" Type="http://schemas.openxmlformats.org/officeDocument/2006/relationships/hyperlink" Target="https://undocs.org/es/A/HRC/39/55" TargetMode="External"/><Relationship Id="rId24" Type="http://schemas.openxmlformats.org/officeDocument/2006/relationships/hyperlink" Target="http://gala.gre.ac.uk/19211/7/19211%20LOBINA%20European_Commission%E2%80%99s_Study_on_Water_Services_2018.pdf" TargetMode="External"/><Relationship Id="rId32" Type="http://schemas.openxmlformats.org/officeDocument/2006/relationships/hyperlink" Target="https://www.europarl.europa.eu/doceo/document/TA-8-2015-0294_ES.html" TargetMode="External"/><Relationship Id="rId37" Type="http://schemas.openxmlformats.org/officeDocument/2006/relationships/hyperlink" Target="http://www.oecd.org/env/resources/42350657.pdf" TargetMode="External"/><Relationship Id="rId40" Type="http://schemas.openxmlformats.org/officeDocument/2006/relationships/hyperlink" Target="http://www.cambridge.org/core/services/aop-cambridge-core/content/view/EEB34BECDE016C2E6BC1F18BFE2F10A5/S2057019819000270a.pdf/in_defence_of_direct_obligations_for_businesses_under_international_human_rights_law.pdf" TargetMode="External"/><Relationship Id="rId5" Type="http://schemas.openxmlformats.org/officeDocument/2006/relationships/hyperlink" Target="https://undocs.org/es/A/HRC/30/39" TargetMode="External"/><Relationship Id="rId15" Type="http://schemas.openxmlformats.org/officeDocument/2006/relationships/hyperlink" Target="http://www.ohchr.org/EN/NewsEvents/Pages/DisplayNews.aspx?NewsID=25746&amp;LangID=E" TargetMode="External"/><Relationship Id="rId23" Type="http://schemas.openxmlformats.org/officeDocument/2006/relationships/hyperlink" Target="http://www.academia.edu/4098585/The_Ownership_of_Water_Services_Company_in_Indonesia_An_Islamic_Economics_Perspective" TargetMode="External"/><Relationship Id="rId28" Type="http://schemas.openxmlformats.org/officeDocument/2006/relationships/hyperlink" Target="http://documents1.worldbank.org/curated/en/736591468098978156/pdf/PAD3960P123513010Box385166B00OUO090.pdf" TargetMode="External"/><Relationship Id="rId36" Type="http://schemas.openxmlformats.org/officeDocument/2006/relationships/hyperlink" Target="http://www.jstor.org/stable/10.1163/j.ctt1w76vd0.15?seq=1" TargetMode="External"/><Relationship Id="rId10" Type="http://schemas.openxmlformats.org/officeDocument/2006/relationships/hyperlink" Target="https://undocs.org/es/A/HRC/33/49" TargetMode="External"/><Relationship Id="rId19" Type="http://schemas.openxmlformats.org/officeDocument/2006/relationships/hyperlink" Target="https://undocs.org/es/A/HRC/27/55" TargetMode="External"/><Relationship Id="rId31" Type="http://schemas.openxmlformats.org/officeDocument/2006/relationships/hyperlink" Target="https://spcommreports.ohchr.org/TMResultsBase/DownLoadPublicCommunicationFile?gId=25024" TargetMode="External"/><Relationship Id="rId4" Type="http://schemas.openxmlformats.org/officeDocument/2006/relationships/hyperlink" Target="https://undocs.org/es/A/HRC/36/45" TargetMode="External"/><Relationship Id="rId9" Type="http://schemas.openxmlformats.org/officeDocument/2006/relationships/hyperlink" Target="https://undocs.org/es/A/HRC/21/42" TargetMode="External"/><Relationship Id="rId14" Type="http://schemas.openxmlformats.org/officeDocument/2006/relationships/hyperlink" Target="https://undocs.org/es/A/73/396" TargetMode="External"/><Relationship Id="rId22" Type="http://schemas.openxmlformats.org/officeDocument/2006/relationships/hyperlink" Target="https://undocs.org/es/A/HRC/28/73" TargetMode="External"/><Relationship Id="rId27" Type="http://schemas.openxmlformats.org/officeDocument/2006/relationships/hyperlink" Target="http://www.hrw.org/news/2017/10/12/indonesias-supreme-court-upholds-water-rights" TargetMode="External"/><Relationship Id="rId30" Type="http://schemas.openxmlformats.org/officeDocument/2006/relationships/hyperlink" Target="http://www.wired.com/2016/10/pittsburghs-drinking-water-got-contaminated-lead" TargetMode="External"/><Relationship Id="rId35" Type="http://schemas.openxmlformats.org/officeDocument/2006/relationships/hyperlink" Target="https://undocs.org/es/A/HRC/15/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C00703-0E57-444B-B4CD-F9A64E700366}"/>
</file>

<file path=customXml/itemProps2.xml><?xml version="1.0" encoding="utf-8"?>
<ds:datastoreItem xmlns:ds="http://schemas.openxmlformats.org/officeDocument/2006/customXml" ds:itemID="{B98AE832-380F-409F-9529-C4FC89B416BF}"/>
</file>

<file path=customXml/itemProps3.xml><?xml version="1.0" encoding="utf-8"?>
<ds:datastoreItem xmlns:ds="http://schemas.openxmlformats.org/officeDocument/2006/customXml" ds:itemID="{D93D7A73-0DF8-455E-90D6-7E07C939FBA3}"/>
</file>

<file path=docProps/app.xml><?xml version="1.0" encoding="utf-8"?>
<Properties xmlns="http://schemas.openxmlformats.org/officeDocument/2006/extended-properties" xmlns:vt="http://schemas.openxmlformats.org/officeDocument/2006/docPropsVTypes">
  <Template>Normal.dotm</Template>
  <TotalTime>0</TotalTime>
  <Pages>26</Pages>
  <Words>10257</Words>
  <Characters>58466</Characters>
  <Application>Microsoft Office Word</Application>
  <DocSecurity>4</DocSecurity>
  <Lines>487</Lines>
  <Paragraphs>137</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68586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Fiallo-Hernandez</dc:creator>
  <cp:lastModifiedBy>LEE Ahreum</cp:lastModifiedBy>
  <cp:revision>2</cp:revision>
  <cp:lastPrinted>2020-09-01T14:44:00Z</cp:lastPrinted>
  <dcterms:created xsi:type="dcterms:W3CDTF">2020-12-08T08:53:00Z</dcterms:created>
  <dcterms:modified xsi:type="dcterms:W3CDTF">2020-12-08T08:53:00Z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2009830</vt:lpwstr>
  </property>
  <property fmtid="{D5CDD505-2E9C-101B-9397-08002B2CF9AE}" pid="3" name="ODSRefJobNo">
    <vt:lpwstr>2019000</vt:lpwstr>
  </property>
  <property fmtid="{D5CDD505-2E9C-101B-9397-08002B2CF9AE}" pid="4" name="Symbol1">
    <vt:lpwstr>A/75/208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2009830SQC. Q.C.</vt:lpwstr>
  </property>
  <property fmtid="{D5CDD505-2E9C-101B-9397-08002B2CF9AE}" pid="9" name="DraftPages">
    <vt:lpwstr>26</vt:lpwstr>
  </property>
  <property fmtid="{D5CDD505-2E9C-101B-9397-08002B2CF9AE}" pid="10" name="Operator">
    <vt:lpwstr>xf</vt:lpwstr>
  </property>
  <property fmtid="{D5CDD505-2E9C-101B-9397-08002B2CF9AE}" pid="11" name="Translator">
    <vt:lpwstr>Amarilys--Q.C.</vt:lpwstr>
  </property>
  <property fmtid="{D5CDD505-2E9C-101B-9397-08002B2CF9AE}" pid="12" name="Session1">
    <vt:lpwstr>Septuagésimo quinto período de sesiones_x000d__x0007_</vt:lpwstr>
  </property>
  <property fmtid="{D5CDD505-2E9C-101B-9397-08002B2CF9AE}" pid="13" name="Agenda Title1">
    <vt:lpwstr>Promoción y protección de los derechos humanos: cuestiones de derechos humanos, incluidos otros medios de mejorar el goce efectivo de los derechos humanos y las libertades fundamentales_x000d_</vt:lpwstr>
  </property>
  <property fmtid="{D5CDD505-2E9C-101B-9397-08002B2CF9AE}" pid="14" name="Title1">
    <vt:lpwstr>		Los derechos humanos y la privatización de los servicios de agua y saneamiento_x000d_</vt:lpwstr>
  </property>
  <property fmtid="{D5CDD505-2E9C-101B-9397-08002B2CF9AE}" pid="15" name="Title2">
    <vt:lpwstr>		Nota del Secretario General_x000d_</vt:lpwstr>
  </property>
  <property fmtid="{D5CDD505-2E9C-101B-9397-08002B2CF9AE}" pid="16" name="ContentTypeId">
    <vt:lpwstr>0x0101008822B9E06671B54FA89F14538B9B0FEA</vt:lpwstr>
  </property>
</Properties>
</file>