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319855" w14:textId="4E13CAE8" w:rsidR="00095D15" w:rsidRPr="00312507" w:rsidRDefault="7AB310C1" w:rsidP="00095D15">
      <w:pPr>
        <w:jc w:val="right"/>
        <w:rPr>
          <w:sz w:val="24"/>
          <w:szCs w:val="24"/>
        </w:rPr>
      </w:pPr>
      <w:r w:rsidRPr="545B8A70">
        <w:rPr>
          <w:sz w:val="24"/>
          <w:szCs w:val="24"/>
        </w:rPr>
        <w:t>5 December</w:t>
      </w:r>
      <w:r w:rsidR="00095D15" w:rsidRPr="545B8A70">
        <w:rPr>
          <w:sz w:val="24"/>
          <w:szCs w:val="24"/>
        </w:rPr>
        <w:t xml:space="preserve"> 2023</w:t>
      </w:r>
    </w:p>
    <w:p w14:paraId="5BADE4BF" w14:textId="77777777" w:rsidR="00095D15" w:rsidRPr="00473A0B" w:rsidRDefault="00095D15" w:rsidP="00095D15">
      <w:pPr>
        <w:spacing w:after="160" w:line="259" w:lineRule="auto"/>
        <w:rPr>
          <w:sz w:val="24"/>
          <w:szCs w:val="24"/>
        </w:rPr>
      </w:pPr>
      <w:r w:rsidRPr="00473A0B">
        <w:rPr>
          <w:rFonts w:eastAsia="Calibri"/>
          <w:sz w:val="24"/>
          <w:szCs w:val="24"/>
        </w:rPr>
        <w:t>Reference: WHRGS/HRC/RES/54/19</w:t>
      </w:r>
    </w:p>
    <w:p w14:paraId="392D5492" w14:textId="77777777" w:rsidR="00095D15" w:rsidRPr="00473A0B" w:rsidRDefault="00095D15" w:rsidP="00095D15">
      <w:pPr>
        <w:spacing w:after="160" w:line="259" w:lineRule="auto"/>
        <w:jc w:val="both"/>
        <w:rPr>
          <w:rFonts w:eastAsia="Calibri"/>
          <w:b/>
          <w:bCs/>
          <w:sz w:val="24"/>
          <w:szCs w:val="24"/>
        </w:rPr>
      </w:pPr>
      <w:r w:rsidRPr="00473A0B">
        <w:rPr>
          <w:rFonts w:eastAsia="Calibri"/>
          <w:b/>
          <w:bCs/>
          <w:sz w:val="24"/>
          <w:szCs w:val="24"/>
        </w:rPr>
        <w:t xml:space="preserve">Call for submission for a report on how climate change can have an impact on the realization of the equal enjoyment of the right to education by every </w:t>
      </w:r>
      <w:proofErr w:type="gramStart"/>
      <w:r w:rsidRPr="00473A0B">
        <w:rPr>
          <w:rFonts w:eastAsia="Calibri"/>
          <w:b/>
          <w:bCs/>
          <w:sz w:val="24"/>
          <w:szCs w:val="24"/>
        </w:rPr>
        <w:t>girl</w:t>
      </w:r>
      <w:proofErr w:type="gramEnd"/>
    </w:p>
    <w:p w14:paraId="1B122F12" w14:textId="642E60EE" w:rsidR="00095D15" w:rsidRPr="00473A0B" w:rsidRDefault="00095D15" w:rsidP="00095D15">
      <w:pPr>
        <w:spacing w:after="160" w:line="259" w:lineRule="auto"/>
        <w:jc w:val="both"/>
        <w:rPr>
          <w:rFonts w:eastAsia="Calibri"/>
          <w:sz w:val="24"/>
          <w:szCs w:val="24"/>
        </w:rPr>
      </w:pPr>
      <w:r w:rsidRPr="00473A0B">
        <w:rPr>
          <w:rFonts w:eastAsia="Calibri"/>
          <w:sz w:val="24"/>
          <w:szCs w:val="24"/>
        </w:rPr>
        <w:t xml:space="preserve">The Office of the United Nations High Commissioner for Human Rights (OHCHR) presents its compliments to the Permanent Missions to the United Nations Office and other international organizations in Geneva and has the honour to refer to Human Rights Council resolution 54/19 on </w:t>
      </w:r>
      <w:r w:rsidR="00C60CBA" w:rsidRPr="00473A0B">
        <w:rPr>
          <w:rFonts w:eastAsia="Calibri"/>
          <w:sz w:val="24"/>
          <w:szCs w:val="24"/>
        </w:rPr>
        <w:t>the realization of the equal enjoyment of the right to education by every girl</w:t>
      </w:r>
      <w:r w:rsidRPr="00473A0B">
        <w:rPr>
          <w:rFonts w:eastAsia="Calibri"/>
          <w:bCs/>
          <w:sz w:val="24"/>
          <w:szCs w:val="24"/>
        </w:rPr>
        <w:t xml:space="preserve">. </w:t>
      </w:r>
    </w:p>
    <w:p w14:paraId="23A48AB3" w14:textId="685C17F2" w:rsidR="00095D15" w:rsidRPr="00473A0B" w:rsidRDefault="00095D15" w:rsidP="3703C674">
      <w:pPr>
        <w:jc w:val="both"/>
        <w:rPr>
          <w:sz w:val="24"/>
          <w:szCs w:val="24"/>
        </w:rPr>
      </w:pPr>
      <w:r w:rsidRPr="00473A0B">
        <w:rPr>
          <w:sz w:val="24"/>
          <w:szCs w:val="24"/>
        </w:rPr>
        <w:t>The Human Rights Council requested OHCHR to submit a report, based on evidence, before the end of its fifty-seventh</w:t>
      </w:r>
      <w:r w:rsidR="008153E7" w:rsidRPr="00473A0B">
        <w:rPr>
          <w:sz w:val="24"/>
          <w:szCs w:val="24"/>
        </w:rPr>
        <w:t xml:space="preserve"> session</w:t>
      </w:r>
      <w:r w:rsidRPr="00473A0B">
        <w:rPr>
          <w:sz w:val="24"/>
          <w:szCs w:val="24"/>
        </w:rPr>
        <w:t xml:space="preserve">, on </w:t>
      </w:r>
      <w:r w:rsidRPr="00473A0B">
        <w:rPr>
          <w:b/>
          <w:bCs/>
          <w:sz w:val="24"/>
          <w:szCs w:val="24"/>
        </w:rPr>
        <w:t>how climate change can have an impact on the realization of the equal enjoyment of the right to education by every girl, highlighting how the realization of the equal enjoyment of the right to education by every girl can contribute to the climate change agenda and making recommendations</w:t>
      </w:r>
      <w:r w:rsidRPr="00473A0B">
        <w:rPr>
          <w:sz w:val="24"/>
          <w:szCs w:val="24"/>
        </w:rPr>
        <w:t xml:space="preserve"> using information provided by </w:t>
      </w:r>
      <w:r w:rsidR="31805A5D" w:rsidRPr="00473A0B">
        <w:rPr>
          <w:sz w:val="24"/>
          <w:szCs w:val="24"/>
        </w:rPr>
        <w:t>all United Nations Member States, United Nations entities, the special procedures of the Human Rights Council, the treaty bodies, national human rights institutions, civil society organizations and other stakeholders</w:t>
      </w:r>
      <w:r w:rsidRPr="00473A0B">
        <w:rPr>
          <w:sz w:val="24"/>
          <w:szCs w:val="24"/>
        </w:rPr>
        <w:t xml:space="preserve">. </w:t>
      </w:r>
    </w:p>
    <w:p w14:paraId="1B182072" w14:textId="77777777" w:rsidR="00095D15" w:rsidRPr="00473A0B" w:rsidRDefault="00095D15" w:rsidP="00095D15">
      <w:pPr>
        <w:jc w:val="both"/>
        <w:rPr>
          <w:sz w:val="24"/>
          <w:szCs w:val="24"/>
        </w:rPr>
      </w:pPr>
    </w:p>
    <w:p w14:paraId="46352336" w14:textId="319BAB97" w:rsidR="00095D15" w:rsidRPr="00473A0B" w:rsidRDefault="00095D15" w:rsidP="00095D15">
      <w:pPr>
        <w:jc w:val="both"/>
        <w:rPr>
          <w:sz w:val="24"/>
          <w:szCs w:val="24"/>
        </w:rPr>
      </w:pPr>
      <w:r w:rsidRPr="00473A0B">
        <w:rPr>
          <w:sz w:val="24"/>
          <w:szCs w:val="24"/>
        </w:rPr>
        <w:t xml:space="preserve">In this regard, OHCHR is seeking inputs from Member States and other stakeholders to inform the preparation of the </w:t>
      </w:r>
      <w:proofErr w:type="gramStart"/>
      <w:r w:rsidRPr="00473A0B">
        <w:rPr>
          <w:sz w:val="24"/>
          <w:szCs w:val="24"/>
        </w:rPr>
        <w:t>aforementioned report</w:t>
      </w:r>
      <w:proofErr w:type="gramEnd"/>
      <w:r w:rsidRPr="00473A0B">
        <w:rPr>
          <w:sz w:val="24"/>
          <w:szCs w:val="24"/>
        </w:rPr>
        <w:t xml:space="preserve">. OHCHR would appreciate receiving written contributions, </w:t>
      </w:r>
      <w:r w:rsidR="00D016BD" w:rsidRPr="00473A0B">
        <w:rPr>
          <w:sz w:val="24"/>
          <w:szCs w:val="24"/>
        </w:rPr>
        <w:t>responding to the information requested</w:t>
      </w:r>
      <w:r w:rsidRPr="00473A0B">
        <w:rPr>
          <w:sz w:val="24"/>
          <w:szCs w:val="24"/>
        </w:rPr>
        <w:t xml:space="preserve"> in the annex. </w:t>
      </w:r>
    </w:p>
    <w:p w14:paraId="7F94A89A" w14:textId="77777777" w:rsidR="00095D15" w:rsidRPr="00473A0B" w:rsidRDefault="00095D15" w:rsidP="00095D15">
      <w:pPr>
        <w:jc w:val="both"/>
        <w:rPr>
          <w:sz w:val="24"/>
          <w:szCs w:val="24"/>
        </w:rPr>
      </w:pPr>
    </w:p>
    <w:p w14:paraId="051521EC" w14:textId="791030E7" w:rsidR="00095D15" w:rsidRPr="00473A0B" w:rsidRDefault="00095D15" w:rsidP="00095D15">
      <w:pPr>
        <w:jc w:val="both"/>
        <w:rPr>
          <w:sz w:val="24"/>
          <w:szCs w:val="24"/>
        </w:rPr>
      </w:pPr>
      <w:r w:rsidRPr="00473A0B">
        <w:rPr>
          <w:sz w:val="24"/>
          <w:szCs w:val="24"/>
        </w:rPr>
        <w:t>Submissions should be received by</w:t>
      </w:r>
      <w:r w:rsidR="00FA4CBA" w:rsidRPr="00473A0B">
        <w:rPr>
          <w:sz w:val="24"/>
          <w:szCs w:val="24"/>
        </w:rPr>
        <w:t xml:space="preserve"> </w:t>
      </w:r>
      <w:r w:rsidR="00E3174B" w:rsidRPr="00473A0B">
        <w:rPr>
          <w:b/>
          <w:bCs/>
          <w:sz w:val="24"/>
          <w:szCs w:val="24"/>
        </w:rPr>
        <w:t xml:space="preserve">1 </w:t>
      </w:r>
      <w:r w:rsidR="00FA4CBA" w:rsidRPr="00473A0B">
        <w:rPr>
          <w:b/>
          <w:bCs/>
          <w:sz w:val="24"/>
          <w:szCs w:val="24"/>
        </w:rPr>
        <w:t>March</w:t>
      </w:r>
      <w:r w:rsidR="006A449A" w:rsidRPr="00473A0B">
        <w:rPr>
          <w:b/>
          <w:bCs/>
          <w:sz w:val="24"/>
          <w:szCs w:val="24"/>
        </w:rPr>
        <w:t xml:space="preserve"> </w:t>
      </w:r>
      <w:r w:rsidRPr="00473A0B">
        <w:rPr>
          <w:b/>
          <w:bCs/>
          <w:sz w:val="24"/>
          <w:szCs w:val="24"/>
        </w:rPr>
        <w:t xml:space="preserve">2024 </w:t>
      </w:r>
      <w:r w:rsidRPr="00473A0B">
        <w:rPr>
          <w:sz w:val="24"/>
          <w:szCs w:val="24"/>
        </w:rPr>
        <w:t>and be:</w:t>
      </w:r>
    </w:p>
    <w:p w14:paraId="16C30585" w14:textId="77777777" w:rsidR="00B75C6E" w:rsidRPr="00661A25" w:rsidRDefault="00B75C6E">
      <w:pPr>
        <w:rPr>
          <w:sz w:val="24"/>
          <w:szCs w:val="24"/>
        </w:rPr>
      </w:pPr>
    </w:p>
    <w:p w14:paraId="069F8013" w14:textId="20139D44" w:rsidR="00A23E48" w:rsidRPr="00661A25" w:rsidRDefault="00095D15" w:rsidP="00661A25">
      <w:pPr>
        <w:numPr>
          <w:ilvl w:val="0"/>
          <w:numId w:val="1"/>
        </w:numPr>
        <w:rPr>
          <w:sz w:val="24"/>
          <w:szCs w:val="24"/>
        </w:rPr>
      </w:pPr>
      <w:r w:rsidRPr="00473A0B">
        <w:rPr>
          <w:sz w:val="24"/>
          <w:szCs w:val="24"/>
        </w:rPr>
        <w:t>Limited to 5 pages</w:t>
      </w:r>
      <w:r w:rsidR="00661A25">
        <w:rPr>
          <w:sz w:val="24"/>
          <w:szCs w:val="24"/>
        </w:rPr>
        <w:t>, i</w:t>
      </w:r>
      <w:r w:rsidR="00A23E48" w:rsidRPr="00661A25">
        <w:rPr>
          <w:sz w:val="24"/>
          <w:szCs w:val="24"/>
        </w:rPr>
        <w:t xml:space="preserve">n Microsoft Word </w:t>
      </w:r>
      <w:proofErr w:type="gramStart"/>
      <w:r w:rsidR="00A23E48" w:rsidRPr="00661A25">
        <w:rPr>
          <w:sz w:val="24"/>
          <w:szCs w:val="24"/>
        </w:rPr>
        <w:t>format</w:t>
      </w:r>
      <w:r w:rsidR="00A805DF" w:rsidRPr="00661A25">
        <w:rPr>
          <w:sz w:val="24"/>
          <w:szCs w:val="24"/>
        </w:rPr>
        <w:t>;</w:t>
      </w:r>
      <w:proofErr w:type="gramEnd"/>
    </w:p>
    <w:p w14:paraId="203B09C7" w14:textId="04DFBC29" w:rsidR="17180B93" w:rsidRPr="00661A25" w:rsidRDefault="0C7CCEE2" w:rsidP="1FDD1048">
      <w:pPr>
        <w:numPr>
          <w:ilvl w:val="0"/>
          <w:numId w:val="1"/>
        </w:numPr>
        <w:rPr>
          <w:sz w:val="24"/>
          <w:szCs w:val="24"/>
        </w:rPr>
      </w:pPr>
      <w:r w:rsidRPr="00661A25">
        <w:rPr>
          <w:sz w:val="24"/>
          <w:szCs w:val="24"/>
        </w:rPr>
        <w:t>Written in English, French or Spanish</w:t>
      </w:r>
      <w:r w:rsidR="00CA0D64" w:rsidRPr="00661A25">
        <w:rPr>
          <w:sz w:val="24"/>
          <w:szCs w:val="24"/>
        </w:rPr>
        <w:t xml:space="preserve">, as much as </w:t>
      </w:r>
      <w:proofErr w:type="gramStart"/>
      <w:r w:rsidR="00CA0D64" w:rsidRPr="00661A25">
        <w:rPr>
          <w:sz w:val="24"/>
          <w:szCs w:val="24"/>
        </w:rPr>
        <w:t>possible</w:t>
      </w:r>
      <w:r w:rsidRPr="00661A25">
        <w:rPr>
          <w:sz w:val="24"/>
          <w:szCs w:val="24"/>
        </w:rPr>
        <w:t>;</w:t>
      </w:r>
      <w:proofErr w:type="gramEnd"/>
    </w:p>
    <w:p w14:paraId="07D8C7A3" w14:textId="12A15C9E" w:rsidR="00095D15" w:rsidRPr="00473A0B" w:rsidRDefault="00095D15" w:rsidP="00095D15">
      <w:pPr>
        <w:numPr>
          <w:ilvl w:val="0"/>
          <w:numId w:val="1"/>
        </w:numPr>
        <w:rPr>
          <w:sz w:val="24"/>
          <w:szCs w:val="24"/>
        </w:rPr>
      </w:pPr>
      <w:r w:rsidRPr="00473A0B">
        <w:rPr>
          <w:sz w:val="24"/>
          <w:szCs w:val="24"/>
        </w:rPr>
        <w:t xml:space="preserve">Sent by email to </w:t>
      </w:r>
      <w:hyperlink r:id="rId10">
        <w:r w:rsidRPr="00473A0B">
          <w:rPr>
            <w:rStyle w:val="Hyperlink"/>
            <w:b/>
            <w:bCs/>
            <w:sz w:val="24"/>
            <w:szCs w:val="24"/>
          </w:rPr>
          <w:t>ohchr-registry@un.org</w:t>
        </w:r>
      </w:hyperlink>
      <w:r w:rsidRPr="00473A0B">
        <w:rPr>
          <w:sz w:val="24"/>
          <w:szCs w:val="24"/>
        </w:rPr>
        <w:t xml:space="preserve"> with </w:t>
      </w:r>
      <w:hyperlink r:id="rId11">
        <w:r w:rsidRPr="00473A0B">
          <w:rPr>
            <w:rStyle w:val="Hyperlink"/>
            <w:b/>
            <w:bCs/>
            <w:sz w:val="24"/>
            <w:szCs w:val="24"/>
          </w:rPr>
          <w:t>aydan.figaroa@un.org</w:t>
        </w:r>
      </w:hyperlink>
      <w:r w:rsidRPr="00473A0B">
        <w:rPr>
          <w:b/>
          <w:sz w:val="24"/>
          <w:szCs w:val="24"/>
        </w:rPr>
        <w:t xml:space="preserve"> </w:t>
      </w:r>
      <w:r w:rsidRPr="00473A0B">
        <w:rPr>
          <w:sz w:val="24"/>
          <w:szCs w:val="24"/>
        </w:rPr>
        <w:t>in CC</w:t>
      </w:r>
      <w:r w:rsidRPr="00473A0B">
        <w:rPr>
          <w:b/>
          <w:sz w:val="24"/>
          <w:szCs w:val="24"/>
        </w:rPr>
        <w:t xml:space="preserve">, </w:t>
      </w:r>
      <w:r w:rsidRPr="00473A0B">
        <w:rPr>
          <w:sz w:val="24"/>
          <w:szCs w:val="24"/>
        </w:rPr>
        <w:t xml:space="preserve">including in the e-mail subject line: </w:t>
      </w:r>
      <w:r w:rsidRPr="00473A0B">
        <w:rPr>
          <w:b/>
          <w:sz w:val="24"/>
          <w:szCs w:val="24"/>
        </w:rPr>
        <w:t xml:space="preserve">input to HRC report on </w:t>
      </w:r>
      <w:r w:rsidRPr="00473A0B">
        <w:rPr>
          <w:rFonts w:eastAsia="Calibri"/>
          <w:b/>
          <w:bCs/>
          <w:sz w:val="24"/>
          <w:szCs w:val="24"/>
        </w:rPr>
        <w:t>equal enjoyment of the right to education by every girl</w:t>
      </w:r>
      <w:r w:rsidRPr="00473A0B">
        <w:rPr>
          <w:b/>
          <w:sz w:val="24"/>
          <w:szCs w:val="24"/>
        </w:rPr>
        <w:t>, pursuant to HRC resolution 54/19</w:t>
      </w:r>
      <w:r w:rsidRPr="00473A0B">
        <w:rPr>
          <w:sz w:val="24"/>
          <w:szCs w:val="24"/>
        </w:rPr>
        <w:t>.</w:t>
      </w:r>
    </w:p>
    <w:p w14:paraId="0535AC18" w14:textId="77777777" w:rsidR="00095D15" w:rsidRPr="00661A25" w:rsidRDefault="00095D15">
      <w:pPr>
        <w:rPr>
          <w:sz w:val="24"/>
          <w:szCs w:val="24"/>
        </w:rPr>
      </w:pPr>
    </w:p>
    <w:p w14:paraId="3E20A075" w14:textId="77777777" w:rsidR="00095D15" w:rsidRPr="00473A0B" w:rsidRDefault="00095D15" w:rsidP="00095D15">
      <w:pPr>
        <w:jc w:val="both"/>
        <w:rPr>
          <w:sz w:val="24"/>
          <w:szCs w:val="24"/>
        </w:rPr>
      </w:pPr>
      <w:r w:rsidRPr="00473A0B">
        <w:rPr>
          <w:sz w:val="24"/>
          <w:szCs w:val="24"/>
        </w:rPr>
        <w:t xml:space="preserve">Submissions will be made publicly available, in full and as received, on the OHCHR website, unless otherwise requested. </w:t>
      </w:r>
    </w:p>
    <w:p w14:paraId="04B87A68" w14:textId="77777777" w:rsidR="00095D15" w:rsidRPr="00473A0B" w:rsidRDefault="00095D15" w:rsidP="00095D15">
      <w:pPr>
        <w:pStyle w:val="ListParagraph"/>
        <w:jc w:val="both"/>
        <w:rPr>
          <w:sz w:val="24"/>
          <w:szCs w:val="24"/>
        </w:rPr>
      </w:pPr>
    </w:p>
    <w:p w14:paraId="343C895A" w14:textId="6D9BE28F" w:rsidR="00095D15" w:rsidRPr="00473A0B" w:rsidRDefault="00095D15" w:rsidP="00095D15">
      <w:pPr>
        <w:jc w:val="both"/>
        <w:rPr>
          <w:sz w:val="24"/>
          <w:szCs w:val="24"/>
        </w:rPr>
      </w:pPr>
      <w:r w:rsidRPr="00473A0B">
        <w:rPr>
          <w:sz w:val="24"/>
          <w:szCs w:val="24"/>
        </w:rPr>
        <w:t xml:space="preserve">Any enquiries may be addressed to Aydan Figaroa at </w:t>
      </w:r>
      <w:r w:rsidRPr="00473A0B">
        <w:rPr>
          <w:rFonts w:eastAsia="Calibri"/>
          <w:b/>
          <w:bCs/>
          <w:color w:val="0000FF"/>
          <w:spacing w:val="4"/>
          <w:sz w:val="24"/>
          <w:szCs w:val="24"/>
          <w:u w:val="single"/>
        </w:rPr>
        <w:t>aydan.figaroa@un.org</w:t>
      </w:r>
      <w:r w:rsidRPr="00473A0B">
        <w:rPr>
          <w:sz w:val="24"/>
          <w:szCs w:val="24"/>
        </w:rPr>
        <w:t>.</w:t>
      </w:r>
    </w:p>
    <w:p w14:paraId="116E038F" w14:textId="77777777" w:rsidR="00095D15" w:rsidRPr="00473A0B" w:rsidRDefault="00095D15" w:rsidP="00095D15">
      <w:pPr>
        <w:jc w:val="both"/>
        <w:rPr>
          <w:sz w:val="24"/>
          <w:szCs w:val="24"/>
        </w:rPr>
      </w:pPr>
    </w:p>
    <w:p w14:paraId="448B51D3" w14:textId="3019563D" w:rsidR="00095D15" w:rsidRPr="00473A0B" w:rsidRDefault="00095D15" w:rsidP="00095D15">
      <w:pPr>
        <w:spacing w:after="160" w:line="259" w:lineRule="auto"/>
        <w:jc w:val="both"/>
        <w:rPr>
          <w:rFonts w:eastAsia="Calibri"/>
          <w:sz w:val="24"/>
          <w:szCs w:val="24"/>
        </w:rPr>
      </w:pPr>
      <w:r w:rsidRPr="00473A0B">
        <w:rPr>
          <w:rFonts w:eastAsia="Calibri"/>
          <w:sz w:val="24"/>
          <w:szCs w:val="24"/>
        </w:rPr>
        <w:t>The Office of the High Commissioner for Human Rights avails itself of this opportunity to renew to the Permanent Missions to the United Nations Office and other international organizations in Geneva the assurances of its highest consideration.</w:t>
      </w:r>
    </w:p>
    <w:p w14:paraId="27BABB92" w14:textId="352874A5" w:rsidR="00095D15" w:rsidRPr="003C3AA9" w:rsidRDefault="00095D15" w:rsidP="00F04236">
      <w:pPr>
        <w:spacing w:after="160" w:line="259" w:lineRule="auto"/>
        <w:jc w:val="center"/>
        <w:rPr>
          <w:rFonts w:eastAsia="Calibri"/>
          <w:b/>
        </w:rPr>
      </w:pPr>
      <w:r>
        <w:rPr>
          <w:rFonts w:eastAsia="Calibri"/>
          <w:sz w:val="24"/>
          <w:szCs w:val="24"/>
        </w:rPr>
        <w:br w:type="page"/>
      </w:r>
      <w:r w:rsidRPr="003C3AA9">
        <w:rPr>
          <w:rFonts w:eastAsia="Calibri"/>
          <w:b/>
        </w:rPr>
        <w:t>ANNEX</w:t>
      </w:r>
    </w:p>
    <w:p w14:paraId="32943F1F" w14:textId="77777777" w:rsidR="00F04236" w:rsidRPr="003C3AA9" w:rsidRDefault="00F04236" w:rsidP="00F04236">
      <w:pPr>
        <w:spacing w:after="160"/>
        <w:jc w:val="center"/>
        <w:rPr>
          <w:rFonts w:eastAsia="Calibri"/>
          <w:b/>
        </w:rPr>
      </w:pPr>
    </w:p>
    <w:p w14:paraId="3E9AE4D1" w14:textId="77777777" w:rsidR="00F04236" w:rsidRPr="003C3AA9" w:rsidRDefault="00F04236" w:rsidP="00F04236">
      <w:pPr>
        <w:pStyle w:val="ListParagraph"/>
        <w:numPr>
          <w:ilvl w:val="0"/>
          <w:numId w:val="2"/>
        </w:numPr>
        <w:contextualSpacing/>
        <w:jc w:val="both"/>
      </w:pPr>
      <w:r w:rsidRPr="003C3AA9">
        <w:rPr>
          <w:b/>
          <w:bCs/>
        </w:rPr>
        <w:t>The most important barriers for girls to their equal enjoyment of the right to education</w:t>
      </w:r>
      <w:r w:rsidRPr="003C3AA9">
        <w:t>, in relation to:</w:t>
      </w:r>
    </w:p>
    <w:p w14:paraId="574904B5" w14:textId="77777777" w:rsidR="00F04236" w:rsidRPr="003C3AA9" w:rsidRDefault="00F04236" w:rsidP="00F04236">
      <w:pPr>
        <w:pStyle w:val="ListParagraph"/>
        <w:jc w:val="both"/>
      </w:pPr>
    </w:p>
    <w:p w14:paraId="585C5E8C" w14:textId="369ACEFA" w:rsidR="00F04236" w:rsidRPr="003C3AA9" w:rsidRDefault="00F04236" w:rsidP="00F04236">
      <w:pPr>
        <w:pStyle w:val="ListParagraph"/>
        <w:numPr>
          <w:ilvl w:val="1"/>
          <w:numId w:val="2"/>
        </w:numPr>
        <w:contextualSpacing/>
        <w:jc w:val="both"/>
      </w:pPr>
      <w:r w:rsidRPr="003C3AA9">
        <w:t>Potentially harmful impacts of climate change, including those on environmental degradation</w:t>
      </w:r>
      <w:r w:rsidR="00AC02D1" w:rsidRPr="003C3AA9">
        <w:t>,</w:t>
      </w:r>
      <w:r w:rsidRPr="003C3AA9">
        <w:t xml:space="preserve"> and/</w:t>
      </w:r>
      <w:proofErr w:type="gramStart"/>
      <w:r w:rsidRPr="003C3AA9">
        <w:t>or;</w:t>
      </w:r>
      <w:proofErr w:type="gramEnd"/>
    </w:p>
    <w:p w14:paraId="6AA407CF" w14:textId="088F6BE8" w:rsidR="00F04236" w:rsidRPr="003C3AA9" w:rsidRDefault="00F04236" w:rsidP="00F04236">
      <w:pPr>
        <w:pStyle w:val="ListParagraph"/>
        <w:numPr>
          <w:ilvl w:val="1"/>
          <w:numId w:val="2"/>
        </w:numPr>
        <w:contextualSpacing/>
        <w:jc w:val="both"/>
      </w:pPr>
      <w:r w:rsidRPr="003C3AA9">
        <w:t>Root causes of their unequal enjoyment of the right, exacerbated by climate change.</w:t>
      </w:r>
    </w:p>
    <w:p w14:paraId="31CC8011" w14:textId="77777777" w:rsidR="00F04236" w:rsidRPr="003C3AA9" w:rsidRDefault="00F04236" w:rsidP="00F04236">
      <w:pPr>
        <w:jc w:val="both"/>
      </w:pPr>
    </w:p>
    <w:p w14:paraId="0D59ED49" w14:textId="77777777" w:rsidR="00F04236" w:rsidRPr="003C3AA9" w:rsidRDefault="00F04236" w:rsidP="00F04236">
      <w:pPr>
        <w:ind w:left="720"/>
        <w:jc w:val="both"/>
      </w:pPr>
      <w:r w:rsidRPr="003C3AA9">
        <w:t xml:space="preserve">Please explain, as much as possible, how such barriers affect the following four elements of the right to education: </w:t>
      </w:r>
    </w:p>
    <w:p w14:paraId="4DF0CC94" w14:textId="77777777" w:rsidR="00F04236" w:rsidRPr="003C3AA9" w:rsidRDefault="00F04236" w:rsidP="00F04236">
      <w:pPr>
        <w:ind w:left="720"/>
        <w:jc w:val="both"/>
      </w:pPr>
    </w:p>
    <w:p w14:paraId="29E53969" w14:textId="77777777" w:rsidR="00F04236" w:rsidRPr="003C3AA9" w:rsidRDefault="00F04236" w:rsidP="00F04236">
      <w:pPr>
        <w:pStyle w:val="ListParagraph"/>
        <w:numPr>
          <w:ilvl w:val="0"/>
          <w:numId w:val="3"/>
        </w:numPr>
        <w:contextualSpacing/>
        <w:jc w:val="both"/>
      </w:pPr>
      <w:r w:rsidRPr="003C3AA9">
        <w:t>Availability (including an adequate infrastructure to meet the needs of girls</w:t>
      </w:r>
      <w:proofErr w:type="gramStart"/>
      <w:r w:rsidRPr="003C3AA9">
        <w:t>);</w:t>
      </w:r>
      <w:proofErr w:type="gramEnd"/>
      <w:r w:rsidRPr="003C3AA9">
        <w:t xml:space="preserve"> </w:t>
      </w:r>
    </w:p>
    <w:p w14:paraId="59D83D58" w14:textId="77777777" w:rsidR="00F04236" w:rsidRPr="003C3AA9" w:rsidRDefault="00F04236" w:rsidP="00F04236">
      <w:pPr>
        <w:pStyle w:val="ListParagraph"/>
        <w:numPr>
          <w:ilvl w:val="0"/>
          <w:numId w:val="3"/>
        </w:numPr>
        <w:contextualSpacing/>
        <w:jc w:val="both"/>
      </w:pPr>
      <w:r w:rsidRPr="003C3AA9">
        <w:t>Accessibility (including physical accessibility, affordability, and access without discrimination</w:t>
      </w:r>
      <w:proofErr w:type="gramStart"/>
      <w:r w:rsidRPr="003C3AA9">
        <w:t>);</w:t>
      </w:r>
      <w:proofErr w:type="gramEnd"/>
      <w:r w:rsidRPr="003C3AA9">
        <w:t xml:space="preserve"> </w:t>
      </w:r>
    </w:p>
    <w:p w14:paraId="57B64EC1" w14:textId="77777777" w:rsidR="00F04236" w:rsidRPr="003C3AA9" w:rsidRDefault="00F04236" w:rsidP="00F04236">
      <w:pPr>
        <w:pStyle w:val="ListParagraph"/>
        <w:numPr>
          <w:ilvl w:val="0"/>
          <w:numId w:val="3"/>
        </w:numPr>
        <w:contextualSpacing/>
        <w:jc w:val="both"/>
      </w:pPr>
      <w:r w:rsidRPr="003C3AA9">
        <w:t>Acceptability (including quality of education</w:t>
      </w:r>
      <w:proofErr w:type="gramStart"/>
      <w:r w:rsidRPr="003C3AA9">
        <w:t>);</w:t>
      </w:r>
      <w:proofErr w:type="gramEnd"/>
      <w:r w:rsidRPr="003C3AA9">
        <w:t xml:space="preserve"> </w:t>
      </w:r>
    </w:p>
    <w:p w14:paraId="07F830A3" w14:textId="77777777" w:rsidR="00F04236" w:rsidRPr="003C3AA9" w:rsidRDefault="00F04236" w:rsidP="00F04236">
      <w:pPr>
        <w:pStyle w:val="ListParagraph"/>
        <w:numPr>
          <w:ilvl w:val="0"/>
          <w:numId w:val="3"/>
        </w:numPr>
        <w:contextualSpacing/>
        <w:jc w:val="both"/>
      </w:pPr>
      <w:r w:rsidRPr="003C3AA9">
        <w:t>Adaptability (adapted to the needs of students and of societies).</w:t>
      </w:r>
    </w:p>
    <w:p w14:paraId="576E8D9E" w14:textId="77777777" w:rsidR="00F04236" w:rsidRPr="003C3AA9" w:rsidRDefault="00F04236" w:rsidP="00F04236">
      <w:pPr>
        <w:pStyle w:val="ListParagraph"/>
        <w:ind w:left="1440"/>
        <w:jc w:val="both"/>
      </w:pPr>
    </w:p>
    <w:p w14:paraId="473BCD46" w14:textId="77777777" w:rsidR="00F04236" w:rsidRPr="003C3AA9" w:rsidRDefault="00F04236" w:rsidP="00F04236">
      <w:pPr>
        <w:pStyle w:val="ListParagraph"/>
        <w:numPr>
          <w:ilvl w:val="0"/>
          <w:numId w:val="2"/>
        </w:numPr>
        <w:contextualSpacing/>
        <w:jc w:val="both"/>
      </w:pPr>
      <w:r w:rsidRPr="003C3AA9">
        <w:rPr>
          <w:b/>
          <w:bCs/>
        </w:rPr>
        <w:t>Concrete measures taken to respond to the barriers faced by girls indicated above</w:t>
      </w:r>
      <w:r w:rsidRPr="003C3AA9">
        <w:t xml:space="preserve">, in relation to the four elements of the right to education. Particular attention to those who are marginalized and excluded due to the additional layers of discrimination would be most welcome. </w:t>
      </w:r>
    </w:p>
    <w:p w14:paraId="5C3EDF54" w14:textId="77777777" w:rsidR="00F04236" w:rsidRPr="003C3AA9" w:rsidRDefault="00F04236" w:rsidP="00F04236">
      <w:pPr>
        <w:pStyle w:val="ListParagraph"/>
        <w:jc w:val="both"/>
        <w:rPr>
          <w:lang w:val="en-US"/>
        </w:rPr>
      </w:pPr>
    </w:p>
    <w:p w14:paraId="730A7EBE" w14:textId="6D7B6385" w:rsidR="00F04236" w:rsidRPr="003C3AA9" w:rsidRDefault="00F04236" w:rsidP="00F04236">
      <w:pPr>
        <w:pStyle w:val="ListParagraph"/>
        <w:numPr>
          <w:ilvl w:val="0"/>
          <w:numId w:val="2"/>
        </w:numPr>
        <w:contextualSpacing/>
        <w:jc w:val="both"/>
      </w:pPr>
      <w:r w:rsidRPr="003C3AA9">
        <w:rPr>
          <w:b/>
          <w:bCs/>
        </w:rPr>
        <w:t>The most important existing gaps and challenges in education to empower all girls to contribute to the climate change agenda</w:t>
      </w:r>
      <w:r w:rsidRPr="003C3AA9">
        <w:t xml:space="preserve">, including in their adulthood, </w:t>
      </w:r>
      <w:r w:rsidR="00F26D7A" w:rsidRPr="003C3AA9">
        <w:t xml:space="preserve">such as </w:t>
      </w:r>
      <w:r w:rsidRPr="003C3AA9">
        <w:t>in the context of:</w:t>
      </w:r>
    </w:p>
    <w:p w14:paraId="74AD2812" w14:textId="77777777" w:rsidR="00F04236" w:rsidRPr="003C3AA9" w:rsidRDefault="00F04236" w:rsidP="00F04236">
      <w:pPr>
        <w:pStyle w:val="ListParagraph"/>
        <w:jc w:val="both"/>
      </w:pPr>
    </w:p>
    <w:p w14:paraId="0CD6F305" w14:textId="60B70FC2" w:rsidR="00F04236" w:rsidRPr="003C3AA9" w:rsidRDefault="00F04236" w:rsidP="00F04236">
      <w:pPr>
        <w:pStyle w:val="ListParagraph"/>
        <w:numPr>
          <w:ilvl w:val="1"/>
          <w:numId w:val="2"/>
        </w:numPr>
        <w:contextualSpacing/>
        <w:jc w:val="both"/>
      </w:pPr>
      <w:r w:rsidRPr="003C3AA9">
        <w:t xml:space="preserve">Developing the understanding on the right to healthy environment and the issues relevant to the impacts of climate change, including those on environmental degradation, through the integration of climate and environmental education into </w:t>
      </w:r>
      <w:proofErr w:type="gramStart"/>
      <w:r w:rsidRPr="003C3AA9">
        <w:t>curricula;</w:t>
      </w:r>
      <w:proofErr w:type="gramEnd"/>
    </w:p>
    <w:p w14:paraId="7F305853" w14:textId="4DB0CF6F" w:rsidR="00F04236" w:rsidRPr="003C3AA9" w:rsidRDefault="00F04236" w:rsidP="00F04236">
      <w:pPr>
        <w:pStyle w:val="ListParagraph"/>
        <w:numPr>
          <w:ilvl w:val="1"/>
          <w:numId w:val="2"/>
        </w:numPr>
        <w:contextualSpacing/>
        <w:jc w:val="both"/>
      </w:pPr>
      <w:r w:rsidRPr="003C3AA9">
        <w:t xml:space="preserve">Direct response to climate change, through their leadership and </w:t>
      </w:r>
      <w:proofErr w:type="gramStart"/>
      <w:r w:rsidRPr="003C3AA9">
        <w:t>participation;</w:t>
      </w:r>
      <w:proofErr w:type="gramEnd"/>
    </w:p>
    <w:p w14:paraId="7CB9528C" w14:textId="77777777" w:rsidR="00F04236" w:rsidRPr="003C3AA9" w:rsidRDefault="00F04236" w:rsidP="00F04236">
      <w:pPr>
        <w:pStyle w:val="ListParagraph"/>
        <w:numPr>
          <w:ilvl w:val="1"/>
          <w:numId w:val="2"/>
        </w:numPr>
        <w:contextualSpacing/>
        <w:jc w:val="both"/>
      </w:pPr>
      <w:r w:rsidRPr="003C3AA9">
        <w:t>Building their resilience and capacity to adapt in the context of climate change, including access to skills development and technical and vocational education and training.</w:t>
      </w:r>
    </w:p>
    <w:p w14:paraId="6CA0C25D" w14:textId="77777777" w:rsidR="00F04236" w:rsidRPr="003C3AA9" w:rsidRDefault="00F04236" w:rsidP="00F04236">
      <w:pPr>
        <w:jc w:val="both"/>
      </w:pPr>
    </w:p>
    <w:p w14:paraId="6E4D4D36" w14:textId="77777777" w:rsidR="00F04236" w:rsidRPr="003C3AA9" w:rsidRDefault="00F04236" w:rsidP="00F04236">
      <w:pPr>
        <w:pStyle w:val="ListParagraph"/>
        <w:jc w:val="both"/>
      </w:pPr>
      <w:r w:rsidRPr="003C3AA9">
        <w:t>Please explain, if relevant, how such gaps and challenge affect the four elements of the right to education.</w:t>
      </w:r>
    </w:p>
    <w:p w14:paraId="26981252" w14:textId="77777777" w:rsidR="00F04236" w:rsidRPr="003C3AA9" w:rsidRDefault="00F04236" w:rsidP="00F04236">
      <w:pPr>
        <w:pStyle w:val="ListParagraph"/>
        <w:jc w:val="both"/>
      </w:pPr>
    </w:p>
    <w:p w14:paraId="2BD5F171" w14:textId="175EEE93" w:rsidR="00F04236" w:rsidRPr="003C3AA9" w:rsidRDefault="00F04236" w:rsidP="00F04236">
      <w:pPr>
        <w:pStyle w:val="ListParagraph"/>
        <w:numPr>
          <w:ilvl w:val="0"/>
          <w:numId w:val="2"/>
        </w:numPr>
        <w:contextualSpacing/>
        <w:jc w:val="both"/>
      </w:pPr>
      <w:r w:rsidRPr="003C3AA9">
        <w:rPr>
          <w:b/>
          <w:bCs/>
        </w:rPr>
        <w:t>Concrete measures taken to empower all girls through education to contribute to addressing climate change</w:t>
      </w:r>
      <w:r w:rsidRPr="003C3AA9">
        <w:t>, including in their adulthood, and if relevant, in relation to the four elements of the right to education.</w:t>
      </w:r>
    </w:p>
    <w:p w14:paraId="499C4DA6" w14:textId="77777777" w:rsidR="00F04236" w:rsidRPr="003C3AA9" w:rsidRDefault="00F04236" w:rsidP="00F04236">
      <w:pPr>
        <w:pStyle w:val="ListParagraph"/>
        <w:jc w:val="both"/>
      </w:pPr>
    </w:p>
    <w:p w14:paraId="0C5BABBB" w14:textId="77777777" w:rsidR="00F04236" w:rsidRPr="003C3AA9" w:rsidRDefault="00F04236" w:rsidP="00F04236">
      <w:pPr>
        <w:pStyle w:val="ListParagraph"/>
        <w:numPr>
          <w:ilvl w:val="0"/>
          <w:numId w:val="2"/>
        </w:numPr>
        <w:contextualSpacing/>
        <w:jc w:val="both"/>
      </w:pPr>
      <w:r w:rsidRPr="003C3AA9">
        <w:t xml:space="preserve">As much as possible, we would appreciate to receive the following information in relation to your responses to the points 1-4 above: </w:t>
      </w:r>
    </w:p>
    <w:p w14:paraId="33D7D0EB" w14:textId="77777777" w:rsidR="00F04236" w:rsidRPr="003C3AA9" w:rsidRDefault="00F04236" w:rsidP="00F04236">
      <w:pPr>
        <w:pStyle w:val="ListParagraph"/>
        <w:jc w:val="both"/>
      </w:pPr>
    </w:p>
    <w:p w14:paraId="54E89F3F" w14:textId="5A552BB2" w:rsidR="00F04236" w:rsidRPr="003C3AA9" w:rsidRDefault="00F04236" w:rsidP="00F04236">
      <w:pPr>
        <w:pStyle w:val="ListParagraph"/>
        <w:numPr>
          <w:ilvl w:val="1"/>
          <w:numId w:val="2"/>
        </w:numPr>
        <w:contextualSpacing/>
        <w:jc w:val="both"/>
      </w:pPr>
      <w:r w:rsidRPr="003C3AA9">
        <w:rPr>
          <w:b/>
          <w:bCs/>
        </w:rPr>
        <w:t>Data disaggregated by sex/gender, age, disability</w:t>
      </w:r>
      <w:r w:rsidRPr="003C3AA9">
        <w:t xml:space="preserve">, and if possible, also by other grounds, including income, race/ethnicity, geographic location and migratory </w:t>
      </w:r>
      <w:proofErr w:type="gramStart"/>
      <w:r w:rsidRPr="003C3AA9">
        <w:t>status;</w:t>
      </w:r>
      <w:proofErr w:type="gramEnd"/>
      <w:r w:rsidRPr="003C3AA9">
        <w:t xml:space="preserve"> </w:t>
      </w:r>
    </w:p>
    <w:p w14:paraId="7B322972" w14:textId="05611886" w:rsidR="00F04236" w:rsidRPr="003C3AA9" w:rsidRDefault="00F04236" w:rsidP="00F04236">
      <w:pPr>
        <w:pStyle w:val="ListParagraph"/>
        <w:numPr>
          <w:ilvl w:val="1"/>
          <w:numId w:val="2"/>
        </w:numPr>
        <w:contextualSpacing/>
        <w:jc w:val="both"/>
      </w:pPr>
      <w:r w:rsidRPr="003C3AA9">
        <w:rPr>
          <w:b/>
          <w:bCs/>
        </w:rPr>
        <w:t>Information on girls who are in vulnerable situations and/or who face intersecting forms of discrimination</w:t>
      </w:r>
      <w:r w:rsidRPr="003C3AA9">
        <w:t xml:space="preserve">, such as those who are affected by humanitarian crises, armed </w:t>
      </w:r>
      <w:proofErr w:type="gramStart"/>
      <w:r w:rsidRPr="003C3AA9">
        <w:t>conflicts</w:t>
      </w:r>
      <w:proofErr w:type="gramEnd"/>
      <w:r w:rsidRPr="003C3AA9">
        <w:t xml:space="preserve"> and disasters; living in poverty; married, pregnant or have children</w:t>
      </w:r>
      <w:r w:rsidR="008538D7" w:rsidRPr="003C3AA9">
        <w:t>, with disability, and/or belonging to minorities or indigenous communities.</w:t>
      </w:r>
    </w:p>
    <w:p w14:paraId="323CDBFB" w14:textId="77777777" w:rsidR="00F04236" w:rsidRPr="00F04236" w:rsidRDefault="00F04236" w:rsidP="00F04236">
      <w:pPr>
        <w:spacing w:after="160" w:line="259" w:lineRule="auto"/>
        <w:jc w:val="both"/>
        <w:rPr>
          <w:rFonts w:eastAsia="Calibri"/>
          <w:sz w:val="24"/>
          <w:szCs w:val="24"/>
        </w:rPr>
      </w:pPr>
    </w:p>
    <w:p w14:paraId="58BF4E03" w14:textId="77777777" w:rsidR="00095D15" w:rsidRDefault="00095D15"/>
    <w:sectPr w:rsidR="00095D15" w:rsidSect="00F0423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88389" w14:textId="77777777" w:rsidR="00BB3B7F" w:rsidRDefault="00BB3B7F" w:rsidP="00095D15">
      <w:r>
        <w:separator/>
      </w:r>
    </w:p>
  </w:endnote>
  <w:endnote w:type="continuationSeparator" w:id="0">
    <w:p w14:paraId="4596B1F9" w14:textId="77777777" w:rsidR="00BB3B7F" w:rsidRDefault="00BB3B7F" w:rsidP="00095D15">
      <w:r>
        <w:continuationSeparator/>
      </w:r>
    </w:p>
  </w:endnote>
  <w:endnote w:type="continuationNotice" w:id="1">
    <w:p w14:paraId="636B7AAF" w14:textId="77777777" w:rsidR="00BB3B7F" w:rsidRDefault="00BB3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DAE48" w14:textId="77777777" w:rsidR="00317A8A" w:rsidRDefault="00317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498CD" w14:textId="77777777" w:rsidR="00317A8A" w:rsidRDefault="00317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C9850" w14:textId="77777777" w:rsidR="00317A8A" w:rsidRDefault="00317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84EB7" w14:textId="77777777" w:rsidR="00BB3B7F" w:rsidRDefault="00BB3B7F" w:rsidP="00095D15">
      <w:r>
        <w:separator/>
      </w:r>
    </w:p>
  </w:footnote>
  <w:footnote w:type="continuationSeparator" w:id="0">
    <w:p w14:paraId="7AFE229E" w14:textId="77777777" w:rsidR="00BB3B7F" w:rsidRDefault="00BB3B7F" w:rsidP="00095D15">
      <w:r>
        <w:continuationSeparator/>
      </w:r>
    </w:p>
  </w:footnote>
  <w:footnote w:type="continuationNotice" w:id="1">
    <w:p w14:paraId="752C8EB1" w14:textId="77777777" w:rsidR="00BB3B7F" w:rsidRDefault="00BB3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1204B" w14:textId="77777777" w:rsidR="00317A8A" w:rsidRDefault="00317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E5E54" w14:textId="77777777" w:rsidR="00F04236" w:rsidRPr="00AD4CA9" w:rsidRDefault="00F04236" w:rsidP="00F04236">
    <w:pPr>
      <w:pStyle w:val="Header"/>
      <w:tabs>
        <w:tab w:val="right" w:pos="9214"/>
      </w:tabs>
      <w:spacing w:before="360" w:after="840"/>
      <w:rPr>
        <w:sz w:val="14"/>
        <w:szCs w:val="14"/>
      </w:rPr>
    </w:pPr>
    <w:r>
      <w:rPr>
        <w:noProof/>
        <w:lang w:eastAsia="en-GB"/>
      </w:rPr>
      <w:drawing>
        <wp:anchor distT="0" distB="0" distL="114300" distR="114300" simplePos="0" relativeHeight="251658241" behindDoc="1" locked="0" layoutInCell="1" allowOverlap="1" wp14:anchorId="2115A7E4" wp14:editId="56D69478">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rPr>
      <w:tab/>
      <w:t xml:space="preserve">PAGE </w:t>
    </w:r>
    <w:r w:rsidRPr="0028624E">
      <w:rPr>
        <w:sz w:val="14"/>
        <w:szCs w:val="14"/>
      </w:rPr>
      <w:fldChar w:fldCharType="begin"/>
    </w:r>
    <w:r w:rsidRPr="0028624E">
      <w:rPr>
        <w:sz w:val="14"/>
        <w:szCs w:val="14"/>
      </w:rPr>
      <w:instrText xml:space="preserve"> PAGE   \* MERGEFORMAT </w:instrText>
    </w:r>
    <w:r w:rsidRPr="0028624E">
      <w:rPr>
        <w:sz w:val="14"/>
        <w:szCs w:val="14"/>
      </w:rPr>
      <w:fldChar w:fldCharType="separate"/>
    </w:r>
    <w:r>
      <w:rPr>
        <w:sz w:val="14"/>
        <w:szCs w:val="14"/>
      </w:rPr>
      <w:t>2</w:t>
    </w:r>
    <w:r w:rsidRPr="0028624E">
      <w:rPr>
        <w:noProof/>
        <w:sz w:val="14"/>
        <w:szCs w:val="14"/>
      </w:rPr>
      <w:fldChar w:fldCharType="end"/>
    </w:r>
  </w:p>
  <w:p w14:paraId="06AD03BE" w14:textId="77777777" w:rsidR="00095D15" w:rsidRPr="00095D15" w:rsidRDefault="00095D15">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6AA28" w14:textId="77777777" w:rsidR="00F04236" w:rsidRDefault="00F04236" w:rsidP="00F04236">
    <w:pPr>
      <w:spacing w:after="60"/>
      <w:jc w:val="center"/>
      <w:rPr>
        <w:snapToGrid w:val="0"/>
        <w:sz w:val="14"/>
        <w:szCs w:val="14"/>
      </w:rPr>
    </w:pPr>
    <w:r w:rsidRPr="00250C1B">
      <w:rPr>
        <w:noProof/>
        <w:snapToGrid w:val="0"/>
        <w:lang w:eastAsia="en-GB"/>
      </w:rPr>
      <w:drawing>
        <wp:anchor distT="0" distB="0" distL="114300" distR="114300" simplePos="0" relativeHeight="251658240" behindDoc="1" locked="0" layoutInCell="1" allowOverlap="1" wp14:anchorId="48438C03" wp14:editId="625F1C90">
          <wp:simplePos x="0" y="0"/>
          <wp:positionH relativeFrom="column">
            <wp:posOffset>716915</wp:posOffset>
          </wp:positionH>
          <wp:positionV relativeFrom="paragraph">
            <wp:posOffset>219049</wp:posOffset>
          </wp:positionV>
          <wp:extent cx="3962400" cy="723900"/>
          <wp:effectExtent l="0" t="0" r="0" b="0"/>
          <wp:wrapTopAndBottom/>
          <wp:docPr id="868864265" name="Picture 86886426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864265" name="Picture 868864265"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A932E" w14:textId="77777777" w:rsidR="00F04236" w:rsidRDefault="00F04236" w:rsidP="00F04236">
    <w:pPr>
      <w:spacing w:after="60"/>
      <w:jc w:val="center"/>
      <w:rPr>
        <w:snapToGrid w:val="0"/>
        <w:sz w:val="14"/>
        <w:szCs w:val="14"/>
      </w:rPr>
    </w:pPr>
  </w:p>
  <w:p w14:paraId="5B3D0C99" w14:textId="77777777" w:rsidR="00F04236" w:rsidRDefault="00F04236" w:rsidP="00F04236">
    <w:pPr>
      <w:spacing w:after="60"/>
      <w:jc w:val="center"/>
      <w:rPr>
        <w:snapToGrid w:val="0"/>
        <w:sz w:val="14"/>
        <w:szCs w:val="14"/>
      </w:rPr>
    </w:pPr>
  </w:p>
  <w:p w14:paraId="50192EF6" w14:textId="77777777" w:rsidR="00F04236" w:rsidRPr="00311FF3" w:rsidRDefault="00F04236" w:rsidP="00F04236">
    <w:pPr>
      <w:spacing w:after="60"/>
      <w:jc w:val="center"/>
      <w:rPr>
        <w:snapToGrid w:val="0"/>
        <w:sz w:val="14"/>
        <w:szCs w:val="14"/>
      </w:rPr>
    </w:pPr>
    <w:r w:rsidRPr="00311FF3">
      <w:rPr>
        <w:snapToGrid w:val="0"/>
        <w:sz w:val="14"/>
        <w:szCs w:val="14"/>
      </w:rPr>
      <w:t>HAUT-COMMISSARIAT AUX DROITS DE L’HOMME • OFFICE OF THE HIGH COMMISSIONER FOR HUMAN RIGHTS</w:t>
    </w:r>
  </w:p>
  <w:p w14:paraId="712B63FD" w14:textId="77777777" w:rsidR="00F04236" w:rsidRPr="00311FF3" w:rsidRDefault="00F04236" w:rsidP="00F04236">
    <w:pPr>
      <w:tabs>
        <w:tab w:val="right" w:pos="3686"/>
        <w:tab w:val="left" w:pos="5812"/>
        <w:tab w:val="right" w:pos="8306"/>
      </w:tabs>
      <w:jc w:val="center"/>
      <w:rPr>
        <w:snapToGrid w:val="0"/>
        <w:sz w:val="14"/>
        <w:szCs w:val="14"/>
        <w:lang w:val="fr-FR"/>
      </w:rPr>
    </w:pPr>
    <w:r w:rsidRPr="00311FF3">
      <w:rPr>
        <w:snapToGrid w:val="0"/>
        <w:sz w:val="14"/>
        <w:szCs w:val="14"/>
        <w:lang w:val="fr-FR"/>
      </w:rPr>
      <w:t>PALAIS DES NATIONS • 1211 GENEVA 10, SWITZERLAND</w:t>
    </w:r>
  </w:p>
  <w:p w14:paraId="28A7CBD6" w14:textId="2D15B4AB" w:rsidR="00F04236" w:rsidRPr="00311FF3" w:rsidRDefault="00F04236" w:rsidP="00F04236">
    <w:pPr>
      <w:tabs>
        <w:tab w:val="right" w:pos="3686"/>
        <w:tab w:val="left" w:pos="5812"/>
      </w:tabs>
      <w:spacing w:before="80" w:after="360"/>
      <w:jc w:val="center"/>
      <w:rPr>
        <w:snapToGrid w:val="0"/>
        <w:sz w:val="14"/>
        <w:szCs w:val="14"/>
        <w:lang w:val="fr-FR"/>
      </w:rPr>
    </w:pPr>
    <w:r w:rsidRPr="00311FF3">
      <w:rPr>
        <w:snapToGrid w:val="0"/>
        <w:sz w:val="14"/>
        <w:szCs w:val="14"/>
        <w:lang w:val="fr-FR"/>
      </w:rPr>
      <w:t xml:space="preserve">www.ohchr.org • </w:t>
    </w:r>
    <w:proofErr w:type="gramStart"/>
    <w:r w:rsidRPr="00311FF3">
      <w:rPr>
        <w:snapToGrid w:val="0"/>
        <w:sz w:val="14"/>
        <w:szCs w:val="14"/>
        <w:lang w:val="fr-FR"/>
      </w:rPr>
      <w:t>TEL:</w:t>
    </w:r>
    <w:proofErr w:type="gramEnd"/>
    <w:r w:rsidRPr="00311FF3">
      <w:rPr>
        <w:snapToGrid w:val="0"/>
        <w:sz w:val="14"/>
        <w:szCs w:val="14"/>
        <w:lang w:val="fr-FR"/>
      </w:rPr>
      <w:t xml:space="preserve">  +41 22 917 9000 • FAX:  +41 22 917 9008 • E-MAIL:  </w:t>
    </w:r>
    <w:r w:rsidR="00317A8A">
      <w:rPr>
        <w:snapToGrid w:val="0"/>
        <w:sz w:val="14"/>
        <w:szCs w:val="14"/>
        <w:lang w:val="fr-FR"/>
      </w:rPr>
      <w:t>ohchr-</w:t>
    </w:r>
    <w:r w:rsidRPr="00311FF3">
      <w:rPr>
        <w:snapToGrid w:val="0"/>
        <w:sz w:val="14"/>
        <w:szCs w:val="14"/>
        <w:lang w:val="fr-FR"/>
      </w:rPr>
      <w:t>registry@</w:t>
    </w:r>
    <w:r w:rsidR="00317A8A">
      <w:rPr>
        <w:snapToGrid w:val="0"/>
        <w:sz w:val="14"/>
        <w:szCs w:val="14"/>
        <w:lang w:val="fr-FR"/>
      </w:rPr>
      <w:t>un</w:t>
    </w:r>
    <w:r w:rsidRPr="00311FF3">
      <w:rPr>
        <w:snapToGrid w:val="0"/>
        <w:sz w:val="14"/>
        <w:szCs w:val="14"/>
        <w:lang w:val="fr-FR"/>
      </w:rPr>
      <w:t>.org</w:t>
    </w:r>
  </w:p>
  <w:p w14:paraId="04C0F778" w14:textId="77777777" w:rsidR="00F04236" w:rsidRPr="00F04236" w:rsidRDefault="00F0423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254EC0"/>
    <w:multiLevelType w:val="hybridMultilevel"/>
    <w:tmpl w:val="35EE4DF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AF67A9"/>
    <w:multiLevelType w:val="hybridMultilevel"/>
    <w:tmpl w:val="F4D2D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FFD3669"/>
    <w:multiLevelType w:val="hybridMultilevel"/>
    <w:tmpl w:val="BE6CCF3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4500087">
    <w:abstractNumId w:val="2"/>
  </w:num>
  <w:num w:numId="2" w16cid:durableId="485436642">
    <w:abstractNumId w:val="0"/>
  </w:num>
  <w:num w:numId="3" w16cid:durableId="1235093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3sjQwMjM2MDezsDRT0lEKTi0uzszPAykwrQUALe9mGCwAAAA="/>
  </w:docVars>
  <w:rsids>
    <w:rsidRoot w:val="00095D15"/>
    <w:rsid w:val="00080D49"/>
    <w:rsid w:val="00095D15"/>
    <w:rsid w:val="000A6CFA"/>
    <w:rsid w:val="000C7AFB"/>
    <w:rsid w:val="000D33BD"/>
    <w:rsid w:val="000E20D8"/>
    <w:rsid w:val="000F4AB0"/>
    <w:rsid w:val="001109A1"/>
    <w:rsid w:val="001142ED"/>
    <w:rsid w:val="00175538"/>
    <w:rsid w:val="001C629D"/>
    <w:rsid w:val="001D4B24"/>
    <w:rsid w:val="00215D3D"/>
    <w:rsid w:val="002266C5"/>
    <w:rsid w:val="002417A6"/>
    <w:rsid w:val="0026376E"/>
    <w:rsid w:val="002A05D0"/>
    <w:rsid w:val="002C09B7"/>
    <w:rsid w:val="002D2348"/>
    <w:rsid w:val="002D36B7"/>
    <w:rsid w:val="00317A8A"/>
    <w:rsid w:val="00355FAA"/>
    <w:rsid w:val="00364CBD"/>
    <w:rsid w:val="00387527"/>
    <w:rsid w:val="003B62AB"/>
    <w:rsid w:val="003C3AA9"/>
    <w:rsid w:val="003D223D"/>
    <w:rsid w:val="003E0CEF"/>
    <w:rsid w:val="00473A0B"/>
    <w:rsid w:val="00474067"/>
    <w:rsid w:val="00492D1A"/>
    <w:rsid w:val="00510D4A"/>
    <w:rsid w:val="00565F1D"/>
    <w:rsid w:val="00566DF2"/>
    <w:rsid w:val="00592DB5"/>
    <w:rsid w:val="005E6376"/>
    <w:rsid w:val="005F4F0B"/>
    <w:rsid w:val="0061177F"/>
    <w:rsid w:val="00614EE3"/>
    <w:rsid w:val="00635098"/>
    <w:rsid w:val="00661A25"/>
    <w:rsid w:val="00683ADE"/>
    <w:rsid w:val="006A449A"/>
    <w:rsid w:val="006E070B"/>
    <w:rsid w:val="00711DF2"/>
    <w:rsid w:val="00733D8D"/>
    <w:rsid w:val="00734204"/>
    <w:rsid w:val="007406A2"/>
    <w:rsid w:val="00765609"/>
    <w:rsid w:val="00775D09"/>
    <w:rsid w:val="007B679D"/>
    <w:rsid w:val="0080697B"/>
    <w:rsid w:val="008153E7"/>
    <w:rsid w:val="00821720"/>
    <w:rsid w:val="008538D7"/>
    <w:rsid w:val="00896B7B"/>
    <w:rsid w:val="008A2228"/>
    <w:rsid w:val="008D096F"/>
    <w:rsid w:val="008D612B"/>
    <w:rsid w:val="008E2519"/>
    <w:rsid w:val="008F25DD"/>
    <w:rsid w:val="008F4A18"/>
    <w:rsid w:val="00930DA6"/>
    <w:rsid w:val="00941372"/>
    <w:rsid w:val="009852DF"/>
    <w:rsid w:val="0099799C"/>
    <w:rsid w:val="009E18EE"/>
    <w:rsid w:val="009F67E8"/>
    <w:rsid w:val="00A23E48"/>
    <w:rsid w:val="00A414A0"/>
    <w:rsid w:val="00A446D3"/>
    <w:rsid w:val="00A50183"/>
    <w:rsid w:val="00A805DF"/>
    <w:rsid w:val="00AC02D1"/>
    <w:rsid w:val="00B07BBE"/>
    <w:rsid w:val="00B2528B"/>
    <w:rsid w:val="00B26C02"/>
    <w:rsid w:val="00B74B09"/>
    <w:rsid w:val="00B75C6E"/>
    <w:rsid w:val="00BA5248"/>
    <w:rsid w:val="00BB3B7F"/>
    <w:rsid w:val="00BD402C"/>
    <w:rsid w:val="00C001E1"/>
    <w:rsid w:val="00C039DC"/>
    <w:rsid w:val="00C215DE"/>
    <w:rsid w:val="00C41E81"/>
    <w:rsid w:val="00C4262F"/>
    <w:rsid w:val="00C60CBA"/>
    <w:rsid w:val="00C706FD"/>
    <w:rsid w:val="00C81E53"/>
    <w:rsid w:val="00CA0D64"/>
    <w:rsid w:val="00CC69F7"/>
    <w:rsid w:val="00D016BD"/>
    <w:rsid w:val="00D05AC8"/>
    <w:rsid w:val="00D61786"/>
    <w:rsid w:val="00D62712"/>
    <w:rsid w:val="00DA7695"/>
    <w:rsid w:val="00DB759A"/>
    <w:rsid w:val="00DC0033"/>
    <w:rsid w:val="00DD6170"/>
    <w:rsid w:val="00DF25BB"/>
    <w:rsid w:val="00E0352B"/>
    <w:rsid w:val="00E20A44"/>
    <w:rsid w:val="00E3174B"/>
    <w:rsid w:val="00E551A8"/>
    <w:rsid w:val="00E62D7C"/>
    <w:rsid w:val="00E7749A"/>
    <w:rsid w:val="00E86CAE"/>
    <w:rsid w:val="00EE7676"/>
    <w:rsid w:val="00F04236"/>
    <w:rsid w:val="00F13627"/>
    <w:rsid w:val="00F26D7A"/>
    <w:rsid w:val="00F61976"/>
    <w:rsid w:val="00F81622"/>
    <w:rsid w:val="00FA4CBA"/>
    <w:rsid w:val="00FA7394"/>
    <w:rsid w:val="00FB6474"/>
    <w:rsid w:val="00FC2367"/>
    <w:rsid w:val="00FC2B46"/>
    <w:rsid w:val="00FC5AAB"/>
    <w:rsid w:val="00FC6A3B"/>
    <w:rsid w:val="06E4BB65"/>
    <w:rsid w:val="0C7CCEE2"/>
    <w:rsid w:val="17180B93"/>
    <w:rsid w:val="1F8E217D"/>
    <w:rsid w:val="1FDD1048"/>
    <w:rsid w:val="29CB7CA5"/>
    <w:rsid w:val="31805A5D"/>
    <w:rsid w:val="3703C674"/>
    <w:rsid w:val="3C20ED84"/>
    <w:rsid w:val="545B8A70"/>
    <w:rsid w:val="5FED6BE2"/>
    <w:rsid w:val="60D9B70E"/>
    <w:rsid w:val="7AB310C1"/>
    <w:rsid w:val="7C3C0B75"/>
    <w:rsid w:val="7EBAFA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65849"/>
  <w15:chartTrackingRefBased/>
  <w15:docId w15:val="{0876637D-6EC3-4F72-ABE9-23DDCDE1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D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D15"/>
    <w:pPr>
      <w:tabs>
        <w:tab w:val="center" w:pos="4513"/>
        <w:tab w:val="right" w:pos="9026"/>
      </w:tabs>
    </w:pPr>
  </w:style>
  <w:style w:type="character" w:customStyle="1" w:styleId="HeaderChar">
    <w:name w:val="Header Char"/>
    <w:basedOn w:val="DefaultParagraphFont"/>
    <w:link w:val="Header"/>
    <w:uiPriority w:val="99"/>
    <w:rsid w:val="00095D15"/>
  </w:style>
  <w:style w:type="paragraph" w:styleId="Footer">
    <w:name w:val="footer"/>
    <w:basedOn w:val="Normal"/>
    <w:link w:val="FooterChar"/>
    <w:uiPriority w:val="99"/>
    <w:unhideWhenUsed/>
    <w:rsid w:val="00095D15"/>
    <w:pPr>
      <w:tabs>
        <w:tab w:val="center" w:pos="4513"/>
        <w:tab w:val="right" w:pos="9026"/>
      </w:tabs>
    </w:pPr>
  </w:style>
  <w:style w:type="character" w:customStyle="1" w:styleId="FooterChar">
    <w:name w:val="Footer Char"/>
    <w:basedOn w:val="DefaultParagraphFont"/>
    <w:link w:val="Footer"/>
    <w:uiPriority w:val="99"/>
    <w:rsid w:val="00095D15"/>
  </w:style>
  <w:style w:type="character" w:styleId="Hyperlink">
    <w:name w:val="Hyperlink"/>
    <w:basedOn w:val="DefaultParagraphFont"/>
    <w:uiPriority w:val="99"/>
    <w:unhideWhenUsed/>
    <w:rsid w:val="00095D15"/>
    <w:rPr>
      <w:color w:val="0563C1" w:themeColor="hyperlink"/>
      <w:u w:val="single"/>
    </w:rPr>
  </w:style>
  <w:style w:type="character" w:styleId="UnresolvedMention">
    <w:name w:val="Unresolved Mention"/>
    <w:basedOn w:val="DefaultParagraphFont"/>
    <w:uiPriority w:val="99"/>
    <w:semiHidden/>
    <w:unhideWhenUsed/>
    <w:rsid w:val="00095D15"/>
    <w:rPr>
      <w:color w:val="605E5C"/>
      <w:shd w:val="clear" w:color="auto" w:fill="E1DFDD"/>
    </w:rPr>
  </w:style>
  <w:style w:type="paragraph" w:styleId="ListParagraph">
    <w:name w:val="List Paragraph"/>
    <w:basedOn w:val="Normal"/>
    <w:uiPriority w:val="34"/>
    <w:qFormat/>
    <w:rsid w:val="00095D15"/>
    <w:pPr>
      <w:ind w:left="720"/>
    </w:pPr>
  </w:style>
  <w:style w:type="character" w:styleId="CommentReference">
    <w:name w:val="annotation reference"/>
    <w:basedOn w:val="DefaultParagraphFont"/>
    <w:uiPriority w:val="99"/>
    <w:semiHidden/>
    <w:unhideWhenUsed/>
    <w:rsid w:val="00F04236"/>
    <w:rPr>
      <w:sz w:val="16"/>
      <w:szCs w:val="16"/>
    </w:rPr>
  </w:style>
  <w:style w:type="paragraph" w:styleId="CommentText">
    <w:name w:val="annotation text"/>
    <w:basedOn w:val="Normal"/>
    <w:link w:val="CommentTextChar"/>
    <w:uiPriority w:val="99"/>
    <w:unhideWhenUsed/>
    <w:rsid w:val="00F04236"/>
    <w:rPr>
      <w:rFonts w:asciiTheme="minorHAnsi" w:eastAsiaTheme="minorHAnsi" w:hAnsiTheme="minorHAnsi" w:cstheme="minorBidi"/>
      <w:kern w:val="2"/>
      <w14:ligatures w14:val="standardContextual"/>
    </w:rPr>
  </w:style>
  <w:style w:type="character" w:customStyle="1" w:styleId="CommentTextChar">
    <w:name w:val="Comment Text Char"/>
    <w:basedOn w:val="DefaultParagraphFont"/>
    <w:link w:val="CommentText"/>
    <w:uiPriority w:val="99"/>
    <w:rsid w:val="00F04236"/>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C41E81"/>
    <w:rPr>
      <w:rFonts w:ascii="Times New Roman" w:eastAsia="Times New Roman" w:hAnsi="Times New Roman" w:cs="Times New Roman"/>
      <w:b/>
      <w:bCs/>
      <w:kern w:val="0"/>
      <w14:ligatures w14:val="none"/>
    </w:rPr>
  </w:style>
  <w:style w:type="character" w:customStyle="1" w:styleId="CommentSubjectChar">
    <w:name w:val="Comment Subject Char"/>
    <w:basedOn w:val="CommentTextChar"/>
    <w:link w:val="CommentSubject"/>
    <w:uiPriority w:val="99"/>
    <w:semiHidden/>
    <w:rsid w:val="00C41E81"/>
    <w:rPr>
      <w:rFonts w:ascii="Times New Roman" w:eastAsia="Times New Roman" w:hAnsi="Times New Roman" w:cs="Times New Roman"/>
      <w:b/>
      <w:bCs/>
      <w:kern w:val="2"/>
      <w:sz w:val="20"/>
      <w:szCs w:val="20"/>
      <w14:ligatures w14:val="standardContextual"/>
    </w:rPr>
  </w:style>
  <w:style w:type="paragraph" w:styleId="Revision">
    <w:name w:val="Revision"/>
    <w:hidden/>
    <w:uiPriority w:val="99"/>
    <w:semiHidden/>
    <w:rsid w:val="00355FA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ydan.figaroa@un.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ohchr-registry@un.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1020ff-48ad-4b90-98f4-7161a6f3b630">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0FE70-9A24-4915-AD0C-9C5A1024EB1F}"/>
</file>

<file path=customXml/itemProps2.xml><?xml version="1.0" encoding="utf-8"?>
<ds:datastoreItem xmlns:ds="http://schemas.openxmlformats.org/officeDocument/2006/customXml" ds:itemID="{BABB747E-9E55-4F9A-821C-191CE4EF0FB1}">
  <ds:schemaRefs>
    <ds:schemaRef ds:uri="http://schemas.microsoft.com/office/2006/metadata/properties"/>
    <ds:schemaRef ds:uri="http://schemas.microsoft.com/office/infopath/2007/PartnerControls"/>
    <ds:schemaRef ds:uri="8a56169f-f16f-4d51-8ecc-bcf2bd15a713"/>
    <ds:schemaRef ds:uri="eebda7d3-fbd3-4fc2-a4cf-80344efde34f"/>
  </ds:schemaRefs>
</ds:datastoreItem>
</file>

<file path=customXml/itemProps3.xml><?xml version="1.0" encoding="utf-8"?>
<ds:datastoreItem xmlns:ds="http://schemas.openxmlformats.org/officeDocument/2006/customXml" ds:itemID="{70E2BD9B-8334-4BEA-B68C-D53A6A1C4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751</Words>
  <Characters>4282</Characters>
  <Application>Microsoft Office Word</Application>
  <DocSecurity>4</DocSecurity>
  <Lines>35</Lines>
  <Paragraphs>10</Paragraphs>
  <ScaleCrop>false</ScaleCrop>
  <Company/>
  <LinksUpToDate>false</LinksUpToDate>
  <CharactersWithSpaces>5023</CharactersWithSpaces>
  <SharedDoc>false</SharedDoc>
  <HLinks>
    <vt:vector size="12" baseType="variant">
      <vt:variant>
        <vt:i4>3276890</vt:i4>
      </vt:variant>
      <vt:variant>
        <vt:i4>3</vt:i4>
      </vt:variant>
      <vt:variant>
        <vt:i4>0</vt:i4>
      </vt:variant>
      <vt:variant>
        <vt:i4>5</vt:i4>
      </vt:variant>
      <vt:variant>
        <vt:lpwstr>mailto:aydan.figaroa@un.org</vt:lpwstr>
      </vt:variant>
      <vt:variant>
        <vt:lpwstr/>
      </vt:variant>
      <vt:variant>
        <vt:i4>3014735</vt:i4>
      </vt:variant>
      <vt:variant>
        <vt:i4>0</vt:i4>
      </vt:variant>
      <vt:variant>
        <vt:i4>0</vt:i4>
      </vt:variant>
      <vt:variant>
        <vt:i4>5</vt:i4>
      </vt:variant>
      <vt:variant>
        <vt:lpwstr>mailto:ohchr-registry@un.org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Aydan Efren Antonie Figaroa</dc:title>
  <dc:subject/>
  <dc:creator>Aydan Efren Antonie Figaroa</dc:creator>
  <cp:keywords/>
  <dc:description/>
  <cp:lastModifiedBy>Aydan Efren Antonie Figaroa</cp:lastModifiedBy>
  <cp:revision>76</cp:revision>
  <dcterms:created xsi:type="dcterms:W3CDTF">2023-11-29T19:22:00Z</dcterms:created>
  <dcterms:modified xsi:type="dcterms:W3CDTF">2023-12-05T23:02:00Z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MediaServiceImageTags">
    <vt:lpwstr/>
  </property>
  <property fmtid="{D5CDD505-2E9C-101B-9397-08002B2CF9AE}" pid="4" name="_ExtendedDescription">
    <vt:lpwstr>RE&amp;#58; Templates reports + call for submissions website</vt:lpwstr>
  </property>
</Properties>
</file>