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1725C" w14:textId="5416D0D9" w:rsidR="00BD452D" w:rsidRPr="008B3CE3" w:rsidRDefault="00BD452D" w:rsidP="00331C1F">
      <w:pPr>
        <w:pStyle w:val="HChG"/>
        <w:bidi/>
        <w:rPr>
          <w:rFonts w:cs="Noto Naskh Arabic"/>
        </w:rPr>
      </w:pPr>
      <w:r w:rsidRPr="008B3CE3">
        <w:rPr>
          <w:rFonts w:cs="Noto Naskh Arabic"/>
          <w:b w:val="0"/>
        </w:rPr>
        <w:tab/>
      </w:r>
      <w:r w:rsidRPr="008B3CE3">
        <w:rPr>
          <w:rFonts w:cs="Noto Naskh Arabic"/>
          <w:b w:val="0"/>
        </w:rPr>
        <w:tab/>
      </w:r>
      <w:r w:rsidRPr="008B3CE3">
        <w:rPr>
          <w:rFonts w:cs="Noto Naskh Arabic"/>
          <w:bCs/>
          <w:rtl/>
          <w:lang w:bidi="ar"/>
        </w:rPr>
        <w:t xml:space="preserve">ورقة العمل- الملخص التنفيذي </w:t>
      </w:r>
    </w:p>
    <w:p w14:paraId="110D11FC" w14:textId="531966E2" w:rsidR="00BD452D" w:rsidRPr="0063511C" w:rsidRDefault="00BD452D" w:rsidP="00BD452D">
      <w:pPr>
        <w:pStyle w:val="H1G"/>
        <w:bidi/>
        <w:ind w:right="992"/>
        <w:rPr>
          <w:rFonts w:cs="Noto Naskh Arabic"/>
          <w:sz w:val="20"/>
        </w:rPr>
      </w:pPr>
      <w:r w:rsidRPr="0063511C">
        <w:rPr>
          <w:rFonts w:cs="Noto Naskh Arabic"/>
          <w:b w:val="0"/>
          <w:sz w:val="20"/>
        </w:rPr>
        <w:tab/>
      </w:r>
      <w:r w:rsidRPr="0063511C">
        <w:rPr>
          <w:rFonts w:cs="Noto Naskh Arabic"/>
          <w:b w:val="0"/>
          <w:sz w:val="20"/>
        </w:rPr>
        <w:tab/>
      </w:r>
      <w:r w:rsidRPr="0063511C">
        <w:rPr>
          <w:rFonts w:cs="Noto Naskh Arabic"/>
          <w:bCs/>
          <w:sz w:val="20"/>
          <w:rtl/>
          <w:lang w:bidi="ar"/>
        </w:rPr>
        <w:t>الخيارات والأسئلة التوجيهية لوضع خطة لتنفيذ استنتاجات رؤساء الهيئات التي جري إنشاؤها بموجب المعاهدات في اجتماعهم الرابع والثلاثين في يونيو 2022 (</w:t>
      </w:r>
      <w:r w:rsidRPr="0063511C">
        <w:rPr>
          <w:rFonts w:cs="Noto Naskh Arabic"/>
          <w:bCs/>
          <w:sz w:val="20"/>
        </w:rPr>
        <w:t>A/77/228</w:t>
      </w:r>
      <w:r w:rsidRPr="0063511C">
        <w:rPr>
          <w:rFonts w:cs="Noto Naskh Arabic"/>
          <w:bCs/>
          <w:sz w:val="20"/>
          <w:rtl/>
          <w:lang w:bidi="ar"/>
        </w:rPr>
        <w:t>، الفقرتان 55-56)</w:t>
      </w:r>
    </w:p>
    <w:p w14:paraId="332F7C98" w14:textId="40ED3944" w:rsidR="00BD452D" w:rsidRPr="008B3CE3" w:rsidRDefault="00BD452D" w:rsidP="00DF135E">
      <w:pPr>
        <w:pStyle w:val="H1G"/>
        <w:bidi/>
        <w:rPr>
          <w:rFonts w:cs="Noto Naskh Arabic"/>
        </w:rPr>
      </w:pPr>
      <w:r w:rsidRPr="008B3CE3">
        <w:rPr>
          <w:rFonts w:cs="Noto Naskh Arabic"/>
          <w:b w:val="0"/>
        </w:rPr>
        <w:tab/>
      </w:r>
      <w:r w:rsidRPr="008B3CE3">
        <w:rPr>
          <w:rFonts w:cs="Noto Naskh Arabic"/>
          <w:b w:val="0"/>
        </w:rPr>
        <w:tab/>
      </w:r>
      <w:r w:rsidRPr="008B3CE3">
        <w:rPr>
          <w:rFonts w:cs="Noto Naskh Arabic"/>
          <w:bCs/>
          <w:rtl/>
          <w:lang w:bidi="ar"/>
        </w:rPr>
        <w:t xml:space="preserve">مقر </w:t>
      </w:r>
      <w:r w:rsidR="00186805" w:rsidRPr="008B3CE3">
        <w:rPr>
          <w:rFonts w:cs="Noto Naskh Arabic"/>
          <w:bCs/>
          <w:rtl/>
          <w:lang w:bidi="ar"/>
        </w:rPr>
        <w:t>مفوضِّية الأمم المتحدة السامية لحقوق الإنسان</w:t>
      </w:r>
      <w:r w:rsidRPr="008B3CE3">
        <w:rPr>
          <w:rFonts w:cs="Noto Naskh Arabic"/>
          <w:bCs/>
          <w:rtl/>
          <w:lang w:bidi="ar"/>
        </w:rPr>
        <w:t>، 29 مايو 2023</w:t>
      </w:r>
    </w:p>
    <w:p w14:paraId="1C785EEE" w14:textId="65F93CF6" w:rsidR="00BD452D" w:rsidRPr="008B3CE3" w:rsidRDefault="00BD452D" w:rsidP="00BD452D">
      <w:pPr>
        <w:pStyle w:val="HChG"/>
        <w:bidi/>
        <w:rPr>
          <w:rFonts w:cs="Noto Naskh Arabic"/>
        </w:rPr>
      </w:pPr>
      <w:r w:rsidRPr="008B3CE3">
        <w:rPr>
          <w:rFonts w:cs="Noto Naskh Arabic"/>
          <w:b w:val="0"/>
        </w:rPr>
        <w:tab/>
      </w:r>
      <w:r w:rsidR="00F30DBA" w:rsidRPr="008B3CE3">
        <w:rPr>
          <w:rFonts w:cs="Noto Naskh Arabic"/>
          <w:bCs/>
          <w:sz w:val="20"/>
          <w:szCs w:val="14"/>
          <w:lang w:bidi="ar"/>
        </w:rPr>
        <w:t>I</w:t>
      </w:r>
      <w:r w:rsidRPr="008B3CE3">
        <w:rPr>
          <w:rFonts w:cs="Noto Naskh Arabic"/>
          <w:bCs/>
          <w:rtl/>
          <w:lang w:bidi="ar"/>
        </w:rPr>
        <w:t>.</w:t>
      </w:r>
      <w:r w:rsidRPr="008B3CE3">
        <w:rPr>
          <w:rFonts w:cs="Noto Naskh Arabic"/>
          <w:bCs/>
          <w:rtl/>
          <w:lang w:bidi="ar"/>
        </w:rPr>
        <w:tab/>
        <w:t>مقدمة</w:t>
      </w:r>
    </w:p>
    <w:p w14:paraId="06E24F8D" w14:textId="31F4459A" w:rsidR="00BD452D" w:rsidRPr="008B3CE3" w:rsidRDefault="00BD452D" w:rsidP="008015CC">
      <w:pPr>
        <w:pStyle w:val="SingleTxtG"/>
        <w:bidi/>
        <w:rPr>
          <w:rFonts w:cs="Noto Naskh Arabic"/>
        </w:rPr>
      </w:pPr>
      <w:r w:rsidRPr="008B3CE3">
        <w:rPr>
          <w:rFonts w:cs="Noto Naskh Arabic"/>
          <w:rtl/>
          <w:lang w:bidi="ar"/>
        </w:rPr>
        <w:t>في اجتماعهم الرابع والثلاثين في يونيو 2022، قد</w:t>
      </w:r>
      <w:r w:rsidR="0061177C" w:rsidRPr="008B3CE3">
        <w:rPr>
          <w:rFonts w:cs="Noto Naskh Arabic" w:hint="cs"/>
          <w:rtl/>
          <w:lang w:bidi="ar"/>
        </w:rPr>
        <w:t>َّ</w:t>
      </w:r>
      <w:r w:rsidRPr="008B3CE3">
        <w:rPr>
          <w:rFonts w:cs="Noto Naskh Arabic"/>
          <w:rtl/>
          <w:lang w:bidi="ar"/>
        </w:rPr>
        <w:t xml:space="preserve">م رؤساء هيئات معاهدات حقوق الإنسان التابعة للأمم المتحدة مقترحات تطلعية حول نظام </w:t>
      </w:r>
      <w:r w:rsidRPr="008B3CE3">
        <w:rPr>
          <w:rFonts w:cs="Noto Naskh Arabic"/>
          <w:b/>
          <w:bCs/>
          <w:rtl/>
          <w:lang w:bidi="ar"/>
        </w:rPr>
        <w:t>هيئات المعاهدات</w:t>
      </w:r>
      <w:bookmarkStart w:id="0" w:name="_Hlk134551021"/>
      <w:r w:rsidR="000D66AA" w:rsidRPr="008B3CE3">
        <w:rPr>
          <w:rFonts w:cs="Noto Naskh Arabic" w:hint="cs"/>
          <w:b/>
          <w:bCs/>
          <w:rtl/>
          <w:lang w:bidi="ar"/>
        </w:rPr>
        <w:t xml:space="preserve"> </w:t>
      </w:r>
      <w:r w:rsidRPr="008B3CE3">
        <w:rPr>
          <w:rFonts w:cs="Noto Naskh Arabic"/>
          <w:rtl/>
          <w:lang w:bidi="ar"/>
        </w:rPr>
        <w:t>(</w:t>
      </w:r>
      <w:hyperlink r:id="rId11" w:history="1">
        <w:r w:rsidRPr="008B3CE3">
          <w:rPr>
            <w:rStyle w:val="Hyperlink"/>
            <w:rFonts w:cs="Noto Naskh Arabic"/>
            <w:color w:val="0000FF"/>
          </w:rPr>
          <w:t>A/77/228</w:t>
        </w:r>
      </w:hyperlink>
      <w:r w:rsidRPr="008B3CE3">
        <w:rPr>
          <w:rFonts w:cs="Noto Naskh Arabic"/>
          <w:rtl/>
          <w:lang w:bidi="ar"/>
        </w:rPr>
        <w:t>، الفقرتان 55-56)</w:t>
      </w:r>
      <w:bookmarkEnd w:id="0"/>
      <w:r w:rsidRPr="008B3CE3">
        <w:rPr>
          <w:rFonts w:cs="Noto Naskh Arabic"/>
          <w:rtl/>
          <w:lang w:bidi="ar"/>
        </w:rPr>
        <w:t>. حيث ترسي تلك الاستنتاجات التي تم التوصل إليها بالإجماع الأساس لزيادة القدرة على التنبؤ، وكذلك ضمان إمكانية الوصول، وتوافق الإجراءات، وتعزيز التنسيق حول الجوهر وأساليب العمل. فمثل هذه الاستنتاجات تُوف</w:t>
      </w:r>
      <w:r w:rsidR="000D66AA" w:rsidRPr="008B3CE3">
        <w:rPr>
          <w:rFonts w:cs="Noto Naskh Arabic" w:hint="cs"/>
          <w:rtl/>
          <w:lang w:bidi="ar"/>
        </w:rPr>
        <w:t>ِّ</w:t>
      </w:r>
      <w:r w:rsidRPr="008B3CE3">
        <w:rPr>
          <w:rFonts w:cs="Noto Naskh Arabic"/>
          <w:rtl/>
          <w:lang w:bidi="ar"/>
        </w:rPr>
        <w:t>ر فرصة فريدة لإنشاء نظام</w:t>
      </w:r>
      <w:r w:rsidR="000D66AA" w:rsidRPr="008B3CE3">
        <w:rPr>
          <w:rFonts w:cs="Noto Naskh Arabic"/>
          <w:rtl/>
          <w:lang w:bidi="ar"/>
        </w:rPr>
        <w:t xml:space="preserve"> </w:t>
      </w:r>
      <w:r w:rsidR="008678AE" w:rsidRPr="008B3CE3">
        <w:rPr>
          <w:rFonts w:cs="Noto Naskh Arabic"/>
          <w:rtl/>
          <w:lang w:bidi="ar"/>
        </w:rPr>
        <w:t>فعَّال</w:t>
      </w:r>
      <w:r w:rsidR="000D66AA" w:rsidRPr="008B3CE3">
        <w:rPr>
          <w:rFonts w:cs="Noto Naskh Arabic"/>
          <w:rtl/>
          <w:lang w:bidi="ar"/>
        </w:rPr>
        <w:t xml:space="preserve"> </w:t>
      </w:r>
      <w:r w:rsidRPr="008B3CE3">
        <w:rPr>
          <w:rFonts w:cs="Noto Naskh Arabic"/>
          <w:rtl/>
          <w:lang w:bidi="ar"/>
        </w:rPr>
        <w:t>وملائم للغرض و</w:t>
      </w:r>
      <w:r w:rsidR="008678AE" w:rsidRPr="008B3CE3">
        <w:rPr>
          <w:rFonts w:cs="Noto Naskh Arabic"/>
          <w:rtl/>
          <w:lang w:bidi="ar"/>
        </w:rPr>
        <w:t>فعَّال</w:t>
      </w:r>
      <w:r w:rsidRPr="008B3CE3">
        <w:rPr>
          <w:rFonts w:cs="Noto Naskh Arabic"/>
          <w:rtl/>
          <w:lang w:bidi="ar"/>
        </w:rPr>
        <w:t xml:space="preserve"> من حيث التكلفة ومتماسك لمثل هذه الهيئات، دون إدخال تعديلات على المعاهدات. ولذلك تُقد</w:t>
      </w:r>
      <w:r w:rsidR="000D66AA" w:rsidRPr="008B3CE3">
        <w:rPr>
          <w:rFonts w:cs="Noto Naskh Arabic" w:hint="cs"/>
          <w:rtl/>
          <w:lang w:bidi="ar"/>
        </w:rPr>
        <w:t>ِّ</w:t>
      </w:r>
      <w:r w:rsidRPr="008B3CE3">
        <w:rPr>
          <w:rFonts w:cs="Noto Naskh Arabic"/>
          <w:rtl/>
          <w:lang w:bidi="ar"/>
        </w:rPr>
        <w:t xml:space="preserve">م ورقة العمل هذه خيارات وأسئلة توجيهية حول تنفيذ استنتاجات الرؤساء. </w:t>
      </w:r>
    </w:p>
    <w:p w14:paraId="7697840E" w14:textId="12682596" w:rsidR="00BD452D" w:rsidRPr="008B3CE3" w:rsidRDefault="00BD452D" w:rsidP="008115A1">
      <w:pPr>
        <w:pStyle w:val="HChG"/>
        <w:bidi/>
        <w:rPr>
          <w:rFonts w:cs="Noto Naskh Arabic"/>
        </w:rPr>
      </w:pPr>
      <w:r w:rsidRPr="008B3CE3">
        <w:rPr>
          <w:rFonts w:cs="Noto Naskh Arabic"/>
          <w:b w:val="0"/>
        </w:rPr>
        <w:tab/>
      </w:r>
      <w:r w:rsidR="00F30DBA" w:rsidRPr="008B3CE3">
        <w:rPr>
          <w:rFonts w:cs="Noto Naskh Arabic"/>
          <w:bCs/>
          <w:sz w:val="20"/>
          <w:szCs w:val="14"/>
          <w:lang w:bidi="ar"/>
        </w:rPr>
        <w:t>II</w:t>
      </w:r>
      <w:r w:rsidRPr="008B3CE3">
        <w:rPr>
          <w:rFonts w:cs="Noto Naskh Arabic"/>
          <w:bCs/>
          <w:rtl/>
          <w:lang w:bidi="ar"/>
        </w:rPr>
        <w:t>.</w:t>
      </w:r>
      <w:r w:rsidRPr="008B3CE3">
        <w:rPr>
          <w:rFonts w:cs="Noto Naskh Arabic"/>
          <w:bCs/>
          <w:rtl/>
          <w:lang w:bidi="ar"/>
        </w:rPr>
        <w:tab/>
        <w:t>السياق والغرض</w:t>
      </w:r>
    </w:p>
    <w:p w14:paraId="23B755FE" w14:textId="531FEDCE" w:rsidR="00BD452D" w:rsidRPr="008B3CE3" w:rsidRDefault="00BD452D" w:rsidP="008015CC">
      <w:pPr>
        <w:pStyle w:val="SingleTxtG"/>
        <w:bidi/>
        <w:rPr>
          <w:rFonts w:cs="Noto Naskh Arabic"/>
        </w:rPr>
      </w:pPr>
      <w:r w:rsidRPr="008B3CE3">
        <w:rPr>
          <w:rFonts w:cs="Noto Naskh Arabic"/>
          <w:rtl/>
          <w:lang w:bidi="ar"/>
        </w:rPr>
        <w:t>تُمث</w:t>
      </w:r>
      <w:r w:rsidR="000D66AA" w:rsidRPr="008B3CE3">
        <w:rPr>
          <w:rFonts w:cs="Noto Naskh Arabic" w:hint="cs"/>
          <w:rtl/>
          <w:lang w:bidi="ar"/>
        </w:rPr>
        <w:t>ِّ</w:t>
      </w:r>
      <w:r w:rsidRPr="008B3CE3">
        <w:rPr>
          <w:rFonts w:cs="Noto Naskh Arabic"/>
          <w:rtl/>
          <w:lang w:bidi="ar"/>
        </w:rPr>
        <w:t xml:space="preserve">ل استنتاجات رؤساء الهيئات لعام 2022 أحدث خطوة في عملية دعم </w:t>
      </w:r>
      <w:r w:rsidRPr="008B3CE3">
        <w:rPr>
          <w:rFonts w:cs="Noto Naskh Arabic"/>
          <w:b/>
          <w:bCs/>
          <w:rtl/>
          <w:lang w:bidi="ar"/>
        </w:rPr>
        <w:t>هيئات المعاهدات</w:t>
      </w:r>
      <w:r w:rsidRPr="008B3CE3">
        <w:rPr>
          <w:rFonts w:cs="Noto Naskh Arabic"/>
          <w:rtl/>
          <w:lang w:bidi="ar"/>
        </w:rPr>
        <w:t xml:space="preserve"> التي تستغرق عشر سنوات، والتي بدأتها المفوضة السامية السابقة لحقوق الإنسان، نافي بيلاي في عام 2012، (</w:t>
      </w:r>
      <w:hyperlink r:id="rId12">
        <w:r w:rsidRPr="008B3CE3">
          <w:rPr>
            <w:rStyle w:val="Hyperlink"/>
            <w:rFonts w:cs="Noto Naskh Arabic"/>
            <w:color w:val="0000FF"/>
          </w:rPr>
          <w:t>A/66/860</w:t>
        </w:r>
      </w:hyperlink>
      <w:r w:rsidRPr="008B3CE3">
        <w:rPr>
          <w:rFonts w:cs="Noto Naskh Arabic"/>
          <w:rtl/>
          <w:lang w:bidi="ar"/>
        </w:rPr>
        <w:t>). وتقوم ورقة العمل هذه علي استنتاجات الرئيس وتَعكس نتائج عملية التيسير المشترك لعام 2020 (</w:t>
      </w:r>
      <w:hyperlink r:id="rId13">
        <w:r w:rsidRPr="008B3CE3">
          <w:rPr>
            <w:rStyle w:val="Hyperlink"/>
            <w:rFonts w:cs="Noto Naskh Arabic"/>
            <w:color w:val="0000FF"/>
          </w:rPr>
          <w:t>A/75/601</w:t>
        </w:r>
      </w:hyperlink>
      <w:r w:rsidRPr="008B3CE3">
        <w:rPr>
          <w:rFonts w:cs="Noto Naskh Arabic"/>
          <w:rtl/>
          <w:lang w:bidi="ar"/>
        </w:rPr>
        <w:t xml:space="preserve">). فهو يقوم على قرار الجمعية العامة رقم </w:t>
      </w:r>
      <w:hyperlink r:id="rId14">
        <w:r w:rsidRPr="008B3CE3">
          <w:rPr>
            <w:rStyle w:val="Hyperlink"/>
            <w:rFonts w:cs="Noto Naskh Arabic"/>
            <w:color w:val="0000FF"/>
            <w:rtl/>
            <w:lang w:bidi="ar"/>
          </w:rPr>
          <w:t>68/268</w:t>
        </w:r>
      </w:hyperlink>
      <w:r w:rsidRPr="008B3CE3">
        <w:rPr>
          <w:rFonts w:cs="Noto Naskh Arabic"/>
          <w:rtl/>
          <w:lang w:bidi="ar"/>
        </w:rPr>
        <w:t>، والعوامل في تقرير التدقيق للعام 2021 الخاص بمكتب خدمات الرقابة الداخلية (راجع قرار الجمعية العامة</w:t>
      </w:r>
      <w:r w:rsidRPr="008B3CE3">
        <w:rPr>
          <w:rFonts w:cs="Noto Naskh Arabic"/>
          <w:color w:val="0000FF"/>
          <w:rtl/>
          <w:lang w:bidi="ar"/>
        </w:rPr>
        <w:t xml:space="preserve"> </w:t>
      </w:r>
      <w:hyperlink r:id="rId15">
        <w:r w:rsidRPr="008B3CE3">
          <w:rPr>
            <w:rStyle w:val="Hyperlink"/>
            <w:rFonts w:cs="Noto Naskh Arabic"/>
            <w:color w:val="0000FF"/>
            <w:rtl/>
            <w:lang w:bidi="ar"/>
          </w:rPr>
          <w:t>75/252</w:t>
        </w:r>
      </w:hyperlink>
      <w:r w:rsidRPr="008B3CE3">
        <w:rPr>
          <w:rFonts w:cs="Noto Naskh Arabic"/>
          <w:rtl/>
          <w:lang w:bidi="ar"/>
        </w:rPr>
        <w:t xml:space="preserve">، الفقرة  54). </w:t>
      </w:r>
    </w:p>
    <w:p w14:paraId="5821EA2F" w14:textId="0A799CA8" w:rsidR="00BD452D" w:rsidRPr="008B3CE3" w:rsidRDefault="00BD452D" w:rsidP="008015CC">
      <w:pPr>
        <w:pStyle w:val="SingleTxtG"/>
        <w:bidi/>
        <w:rPr>
          <w:rFonts w:cs="Noto Naskh Arabic"/>
        </w:rPr>
      </w:pPr>
      <w:r w:rsidRPr="008B3CE3">
        <w:rPr>
          <w:rFonts w:cs="Noto Naskh Arabic"/>
          <w:rtl/>
          <w:lang w:bidi="ar"/>
        </w:rPr>
        <w:t xml:space="preserve">تمت الإشارة إلى استنتاجات الرئيس في التقرير الرابع الذي يقدمه الأمين العام كل سنتين عن حالة نظام </w:t>
      </w:r>
      <w:r w:rsidRPr="008B3CE3">
        <w:rPr>
          <w:rFonts w:cs="Noto Naskh Arabic"/>
          <w:b/>
          <w:bCs/>
          <w:rtl/>
          <w:lang w:bidi="ar"/>
        </w:rPr>
        <w:t>هيئات المعاهدات</w:t>
      </w:r>
      <w:r w:rsidRPr="008B3CE3">
        <w:rPr>
          <w:rFonts w:cs="Noto Naskh Arabic"/>
          <w:rtl/>
          <w:lang w:bidi="ar"/>
        </w:rPr>
        <w:t xml:space="preserve"> بشكل إيجابي (</w:t>
      </w:r>
      <w:hyperlink r:id="rId16">
        <w:r w:rsidRPr="008B3CE3">
          <w:rPr>
            <w:rStyle w:val="Hyperlink"/>
            <w:rFonts w:cs="Noto Naskh Arabic"/>
            <w:color w:val="0000FF"/>
          </w:rPr>
          <w:t>A/77/279</w:t>
        </w:r>
      </w:hyperlink>
      <w:r w:rsidRPr="008B3CE3">
        <w:rPr>
          <w:rFonts w:cs="Noto Naskh Arabic"/>
          <w:rtl/>
          <w:lang w:bidi="ar"/>
        </w:rPr>
        <w:t xml:space="preserve">، الفقرتان 63-73) وعلى الرغم من عدم وجود لغة الميزانية المقابلة، في قرار الجمعية العامة رقم </w:t>
      </w:r>
      <w:hyperlink r:id="rId17">
        <w:r w:rsidRPr="008B3CE3">
          <w:rPr>
            <w:rStyle w:val="Hyperlink"/>
            <w:rFonts w:cs="Noto Naskh Arabic"/>
            <w:color w:val="0000FF"/>
            <w:rtl/>
            <w:lang w:bidi="ar"/>
          </w:rPr>
          <w:t>77/210</w:t>
        </w:r>
      </w:hyperlink>
      <w:r w:rsidRPr="008B3CE3">
        <w:rPr>
          <w:rFonts w:cs="Noto Naskh Arabic"/>
          <w:rtl/>
          <w:lang w:bidi="ar"/>
        </w:rPr>
        <w:t>. يمثل توقيت ورقة العمل هذه له أهمية سياسية، لأنه يقع ضمن الذكرى السنوية الخامسة والسبعين للإعلان العالمي لحقوق الإنسان ويستجيب لدعوة الأمين العام."</w:t>
      </w:r>
      <w:hyperlink r:id="rId18">
        <w:r w:rsidRPr="008B3CE3">
          <w:rPr>
            <w:rStyle w:val="Hyperlink"/>
            <w:rFonts w:cs="Noto Naskh Arabic"/>
            <w:color w:val="0000FF"/>
            <w:rtl/>
            <w:lang w:bidi="ar"/>
          </w:rPr>
          <w:t>نداء العمل من أجل حقوق الإنسان</w:t>
        </w:r>
      </w:hyperlink>
      <w:r w:rsidRPr="008B3CE3">
        <w:rPr>
          <w:rFonts w:cs="Noto Naskh Arabic"/>
          <w:rtl/>
          <w:lang w:bidi="ar"/>
        </w:rPr>
        <w:t>" (2020)، بالإضافة إلي تقريره "</w:t>
      </w:r>
      <w:hyperlink r:id="rId19">
        <w:r w:rsidRPr="008B3CE3">
          <w:rPr>
            <w:rStyle w:val="Hyperlink"/>
            <w:rFonts w:cs="Noto Naskh Arabic"/>
            <w:color w:val="0000FF"/>
            <w:rtl/>
            <w:lang w:bidi="ar"/>
          </w:rPr>
          <w:t>خطتنا المشتركة</w:t>
        </w:r>
      </w:hyperlink>
      <w:r w:rsidRPr="008B3CE3">
        <w:rPr>
          <w:rFonts w:cs="Noto Naskh Arabic"/>
          <w:rtl/>
          <w:lang w:bidi="ar"/>
        </w:rPr>
        <w:t xml:space="preserve">" (2021). </w:t>
      </w:r>
    </w:p>
    <w:p w14:paraId="2821F587" w14:textId="2BCDEAAF" w:rsidR="00BD452D" w:rsidRPr="008B3CE3" w:rsidRDefault="00BD452D" w:rsidP="00BD452D">
      <w:pPr>
        <w:pStyle w:val="HChG"/>
        <w:bidi/>
        <w:rPr>
          <w:rFonts w:cs="Noto Naskh Arabic"/>
        </w:rPr>
      </w:pPr>
      <w:r w:rsidRPr="008B3CE3">
        <w:rPr>
          <w:rFonts w:cs="Noto Naskh Arabic"/>
          <w:b w:val="0"/>
        </w:rPr>
        <w:tab/>
      </w:r>
      <w:r w:rsidR="00F30DBA" w:rsidRPr="008B3CE3">
        <w:rPr>
          <w:rFonts w:cs="Noto Naskh Arabic"/>
          <w:bCs/>
          <w:sz w:val="20"/>
          <w:szCs w:val="14"/>
          <w:lang w:bidi="ar"/>
        </w:rPr>
        <w:t>III</w:t>
      </w:r>
      <w:r w:rsidRPr="008B3CE3">
        <w:rPr>
          <w:rFonts w:cs="Noto Naskh Arabic"/>
          <w:bCs/>
          <w:rtl/>
          <w:lang w:bidi="ar"/>
        </w:rPr>
        <w:t>.</w:t>
      </w:r>
      <w:r w:rsidRPr="008B3CE3">
        <w:rPr>
          <w:rFonts w:cs="Noto Naskh Arabic"/>
          <w:bCs/>
          <w:rtl/>
          <w:lang w:bidi="ar"/>
        </w:rPr>
        <w:tab/>
        <w:t xml:space="preserve">منهج الخيارات والأسئلة </w:t>
      </w:r>
    </w:p>
    <w:p w14:paraId="693CA5B5" w14:textId="5FFA8C7C" w:rsidR="00BD452D" w:rsidRPr="008B3CE3" w:rsidRDefault="00BD452D" w:rsidP="008015CC">
      <w:pPr>
        <w:pStyle w:val="SingleTxtG"/>
        <w:bidi/>
        <w:rPr>
          <w:rFonts w:cs="Noto Naskh Arabic"/>
        </w:rPr>
      </w:pPr>
      <w:r w:rsidRPr="008B3CE3">
        <w:rPr>
          <w:rFonts w:cs="Noto Naskh Arabic"/>
          <w:rtl/>
          <w:lang w:bidi="ar"/>
        </w:rPr>
        <w:t xml:space="preserve">تم إعداد ورقة العمل هذه بناءً على طلب رؤساء </w:t>
      </w:r>
      <w:r w:rsidR="00186805" w:rsidRPr="008B3CE3">
        <w:rPr>
          <w:rFonts w:cs="Noto Naskh Arabic"/>
          <w:rtl/>
          <w:lang w:bidi="ar"/>
        </w:rPr>
        <w:t>مفوضِّية الأمم المتحدة السامية لحقوق الإنسان</w:t>
      </w:r>
      <w:r w:rsidRPr="008B3CE3">
        <w:rPr>
          <w:rFonts w:cs="Noto Naskh Arabic"/>
          <w:rtl/>
          <w:lang w:bidi="ar"/>
        </w:rPr>
        <w:t xml:space="preserve"> لصياغة خطة التنفيذ لاستنتاجاتهم (</w:t>
      </w:r>
      <w:hyperlink r:id="rId20">
        <w:r w:rsidRPr="008B3CE3">
          <w:rPr>
            <w:rStyle w:val="Hyperlink"/>
            <w:rFonts w:cs="Noto Naskh Arabic"/>
            <w:color w:val="0000FF"/>
          </w:rPr>
          <w:t>A/77/228</w:t>
        </w:r>
      </w:hyperlink>
      <w:r w:rsidRPr="008B3CE3">
        <w:rPr>
          <w:rFonts w:cs="Noto Naskh Arabic"/>
          <w:rtl/>
          <w:lang w:bidi="ar"/>
        </w:rPr>
        <w:t>، الفقرتان 55 (ج)، 56) وهي تستند إلى المسؤولية الشاملة للمفوضية السامية لحقوق الإنسان، على النحو المنصوص عليه في قرار الجمعية العامة رقم</w:t>
      </w:r>
      <w:r w:rsidR="000D66AA" w:rsidRPr="008B3CE3">
        <w:rPr>
          <w:rFonts w:cs="Noto Naskh Arabic" w:hint="cs"/>
          <w:rtl/>
          <w:lang w:bidi="ar"/>
        </w:rPr>
        <w:t xml:space="preserve"> </w:t>
      </w:r>
      <w:hyperlink r:id="rId21">
        <w:r w:rsidRPr="008B3CE3">
          <w:rPr>
            <w:rStyle w:val="Hyperlink"/>
            <w:rFonts w:cs="Noto Naskh Arabic"/>
            <w:color w:val="0000FF"/>
            <w:rtl/>
            <w:lang w:bidi="ar"/>
          </w:rPr>
          <w:t>48/141</w:t>
        </w:r>
      </w:hyperlink>
      <w:r w:rsidRPr="008B3CE3">
        <w:rPr>
          <w:rFonts w:cs="Noto Naskh Arabic"/>
          <w:rtl/>
          <w:lang w:bidi="ar"/>
        </w:rPr>
        <w:t xml:space="preserve"> (الفقرة  4). بالإضافة إلي ذلك، تقترح </w:t>
      </w:r>
      <w:r w:rsidR="00186805" w:rsidRPr="008B3CE3">
        <w:rPr>
          <w:rFonts w:cs="Noto Naskh Arabic"/>
          <w:rtl/>
          <w:lang w:bidi="ar"/>
        </w:rPr>
        <w:t>مفوضِّية الأمم المتحدة السامية لحقوق الإنسان</w:t>
      </w:r>
      <w:r w:rsidRPr="008B3CE3">
        <w:rPr>
          <w:rFonts w:cs="Noto Naskh Arabic"/>
          <w:rtl/>
          <w:lang w:bidi="ar"/>
        </w:rPr>
        <w:t xml:space="preserve"> المرفقة خيارات وأسئلة توجيهية موجهة إلى الدول وأعضاء </w:t>
      </w:r>
      <w:r w:rsidRPr="008B3CE3">
        <w:rPr>
          <w:rFonts w:cs="Noto Naskh Arabic"/>
          <w:b/>
          <w:bCs/>
          <w:rtl/>
          <w:lang w:bidi="ar"/>
        </w:rPr>
        <w:t>هيئات المعاهدات</w:t>
      </w:r>
      <w:r w:rsidRPr="008B3CE3">
        <w:rPr>
          <w:rFonts w:cs="Noto Naskh Arabic"/>
          <w:rtl/>
          <w:lang w:bidi="ar"/>
        </w:rPr>
        <w:t xml:space="preserve"> في إطار اختصاصات ومسؤوليات كل منهم. وتلك الخيارات والأسئلة تُغطي الركائز الثلاث لاستنتاجات الرؤساء (الجدول الزمني المتوقع للمراجعات، والتوافق حول أساليب العمل، والارتقاء الرقمي) وإضافة التفاصيل الفنية اللازمة لوضع إرشادات الرؤساء موضع التنفيذ.</w:t>
      </w:r>
    </w:p>
    <w:p w14:paraId="6D438A64" w14:textId="5466B61E" w:rsidR="00BD452D" w:rsidRPr="008B3CE3" w:rsidRDefault="00BD452D" w:rsidP="008015CC">
      <w:pPr>
        <w:pStyle w:val="SingleTxtG"/>
        <w:bidi/>
        <w:rPr>
          <w:rFonts w:cs="Noto Naskh Arabic"/>
        </w:rPr>
      </w:pPr>
      <w:r w:rsidRPr="008B3CE3">
        <w:rPr>
          <w:rFonts w:cs="Noto Naskh Arabic"/>
          <w:rtl/>
          <w:lang w:bidi="ar"/>
        </w:rPr>
        <w:t>يتعين على الدول الأعضاء واللجان الإجابة على الأسئلة وتحسين الخيارات الموض</w:t>
      </w:r>
      <w:r w:rsidR="008678AE" w:rsidRPr="008B3CE3">
        <w:rPr>
          <w:rFonts w:cs="Noto Naskh Arabic" w:hint="cs"/>
          <w:rtl/>
          <w:lang w:bidi="ar"/>
        </w:rPr>
        <w:t>َّ</w:t>
      </w:r>
      <w:r w:rsidRPr="008B3CE3">
        <w:rPr>
          <w:rFonts w:cs="Noto Naskh Arabic"/>
          <w:rtl/>
          <w:lang w:bidi="ar"/>
        </w:rPr>
        <w:t xml:space="preserve">حة في ورقة العمل هذه. وخلاف ذلك، فإن الوضع الراهن سوف يسود وسيزداد التراكم المتزايد لتقارير الدول الأطراف التي تنتظر الاستعراض والشكاوى الفردية. ومن دون موارد إضافية لتغطية جميع الأنشطة المكلفة بها </w:t>
      </w:r>
      <w:r w:rsidRPr="008B3CE3">
        <w:rPr>
          <w:rFonts w:cs="Noto Naskh Arabic"/>
          <w:b/>
          <w:bCs/>
          <w:rtl/>
          <w:lang w:bidi="ar"/>
        </w:rPr>
        <w:t>هيئات المعاهدات</w:t>
      </w:r>
      <w:r w:rsidRPr="008B3CE3">
        <w:rPr>
          <w:rFonts w:cs="Noto Naskh Arabic"/>
          <w:rtl/>
          <w:lang w:bidi="ar"/>
        </w:rPr>
        <w:t xml:space="preserve">، </w:t>
      </w:r>
      <w:r w:rsidRPr="008B3CE3">
        <w:rPr>
          <w:rFonts w:cs="Noto Naskh Arabic"/>
          <w:rtl/>
          <w:lang w:bidi="ar"/>
        </w:rPr>
        <w:lastRenderedPageBreak/>
        <w:t>ستضطر المفوضية إلى مواصلة خفض نواتجها إلى مستوى يمكن دعمه بشكل</w:t>
      </w:r>
      <w:r w:rsidR="000D66AA" w:rsidRPr="008B3CE3">
        <w:rPr>
          <w:rFonts w:cs="Noto Naskh Arabic"/>
          <w:rtl/>
          <w:lang w:bidi="ar"/>
        </w:rPr>
        <w:t xml:space="preserve"> </w:t>
      </w:r>
      <w:r w:rsidR="008678AE" w:rsidRPr="008B3CE3">
        <w:rPr>
          <w:rFonts w:cs="Noto Naskh Arabic"/>
          <w:rtl/>
          <w:lang w:bidi="ar"/>
        </w:rPr>
        <w:t>فعَّال</w:t>
      </w:r>
      <w:r w:rsidR="000D66AA" w:rsidRPr="008B3CE3">
        <w:rPr>
          <w:rFonts w:cs="Noto Naskh Arabic"/>
          <w:rtl/>
          <w:lang w:bidi="ar"/>
        </w:rPr>
        <w:t xml:space="preserve"> </w:t>
      </w:r>
      <w:r w:rsidRPr="008B3CE3">
        <w:rPr>
          <w:rFonts w:cs="Noto Naskh Arabic"/>
          <w:rtl/>
          <w:lang w:bidi="ar"/>
        </w:rPr>
        <w:t xml:space="preserve">بالموارد المتاحة، وبالتالي منع </w:t>
      </w:r>
      <w:r w:rsidRPr="008B3CE3">
        <w:rPr>
          <w:rFonts w:cs="Noto Naskh Arabic"/>
          <w:b/>
          <w:bCs/>
          <w:rtl/>
          <w:lang w:bidi="ar"/>
        </w:rPr>
        <w:t>هيئات المعاهدات</w:t>
      </w:r>
      <w:r w:rsidRPr="008B3CE3">
        <w:rPr>
          <w:rFonts w:cs="Noto Naskh Arabic"/>
          <w:rtl/>
          <w:lang w:bidi="ar"/>
        </w:rPr>
        <w:t xml:space="preserve"> من الوفاء بولاياتها وتقييد حصول الضحايا على حقوقهم. وإذا كان من الممكن الاتفاق على خطة تنفيذ لاستنتاجات الرئيس، فسيتم إجراء تعديل مماثل على صيغة الموارد الحالية في قرار الجمعية العامة رقم </w:t>
      </w:r>
      <w:hyperlink r:id="rId22">
        <w:r w:rsidRPr="008B3CE3">
          <w:rPr>
            <w:rStyle w:val="Hyperlink"/>
            <w:rFonts w:cs="Noto Naskh Arabic"/>
            <w:color w:val="0000FF"/>
            <w:rtl/>
            <w:lang w:bidi="ar"/>
          </w:rPr>
          <w:t>68/268</w:t>
        </w:r>
      </w:hyperlink>
      <w:r w:rsidRPr="008B3CE3">
        <w:rPr>
          <w:rFonts w:cs="Noto Naskh Arabic"/>
          <w:rtl/>
          <w:lang w:bidi="ar"/>
        </w:rPr>
        <w:t xml:space="preserve"> (الفقرات 26-27) لتمويل الخيارات ال</w:t>
      </w:r>
      <w:r w:rsidR="008678AE" w:rsidRPr="008B3CE3">
        <w:rPr>
          <w:rFonts w:cs="Noto Naskh Arabic"/>
          <w:rtl/>
          <w:lang w:bidi="ar"/>
        </w:rPr>
        <w:t>فعَّال</w:t>
      </w:r>
      <w:r w:rsidRPr="008B3CE3">
        <w:rPr>
          <w:rFonts w:cs="Noto Naskh Arabic"/>
          <w:rtl/>
          <w:lang w:bidi="ar"/>
        </w:rPr>
        <w:t xml:space="preserve">ة من حيث التكلفة المعروضة في ورقة العمل هذه. ويمكن تحقيق ذلك من خلال قرار الجمعية العامة الذي يَصدر كل سنتين حول نظام هيئات معاهدات حقوق الإنسان، والمقرر صدوره في ديسمبر 2024. </w:t>
      </w:r>
    </w:p>
    <w:p w14:paraId="36EB0C9B" w14:textId="0943594A" w:rsidR="00BD452D" w:rsidRPr="008B3CE3" w:rsidRDefault="00BD452D" w:rsidP="008115A1">
      <w:pPr>
        <w:pStyle w:val="HChG"/>
        <w:bidi/>
        <w:rPr>
          <w:rFonts w:cs="Noto Naskh Arabic"/>
        </w:rPr>
      </w:pPr>
      <w:r w:rsidRPr="008B3CE3">
        <w:rPr>
          <w:rFonts w:cs="Noto Naskh Arabic"/>
          <w:b w:val="0"/>
        </w:rPr>
        <w:tab/>
      </w:r>
      <w:r w:rsidR="00F30DBA" w:rsidRPr="008B3CE3">
        <w:rPr>
          <w:rFonts w:cs="Noto Naskh Arabic"/>
          <w:bCs/>
          <w:sz w:val="20"/>
          <w:szCs w:val="14"/>
          <w:lang w:bidi="ar"/>
        </w:rPr>
        <w:t>IV</w:t>
      </w:r>
      <w:r w:rsidRPr="008B3CE3">
        <w:rPr>
          <w:rFonts w:cs="Noto Naskh Arabic"/>
          <w:bCs/>
          <w:rtl/>
          <w:lang w:bidi="ar"/>
        </w:rPr>
        <w:t>.</w:t>
      </w:r>
      <w:r w:rsidRPr="008B3CE3">
        <w:rPr>
          <w:rFonts w:cs="Noto Naskh Arabic"/>
          <w:bCs/>
          <w:rtl/>
          <w:lang w:bidi="ar"/>
        </w:rPr>
        <w:tab/>
        <w:t xml:space="preserve">المبادئ التوجيهية والاعتبارات العملية </w:t>
      </w:r>
    </w:p>
    <w:p w14:paraId="6DC1C5A3" w14:textId="7C5252FE" w:rsidR="00BD452D" w:rsidRPr="008B3CE3" w:rsidRDefault="00BD452D" w:rsidP="008015CC">
      <w:pPr>
        <w:pStyle w:val="SingleTxtG"/>
        <w:bidi/>
        <w:rPr>
          <w:rFonts w:cs="Noto Naskh Arabic"/>
        </w:rPr>
      </w:pPr>
      <w:r w:rsidRPr="008B3CE3">
        <w:rPr>
          <w:rFonts w:cs="Noto Naskh Arabic"/>
          <w:rtl/>
          <w:lang w:bidi="ar"/>
        </w:rPr>
        <w:t>تَهدف استنتاجات الرئيس إلى "تعزيز حماية أصحاب الحقوق، وهو الهدف الرئيسي الذي يقع في صلب الالتزامات القانونية للدول" (</w:t>
      </w:r>
      <w:hyperlink r:id="rId23" w:history="1">
        <w:r w:rsidRPr="008B3CE3">
          <w:rPr>
            <w:rStyle w:val="Hyperlink"/>
            <w:rFonts w:cs="Noto Naskh Arabic"/>
            <w:color w:val="0000FF"/>
            <w:rtl/>
            <w:lang w:bidi="ar"/>
          </w:rPr>
          <w:t>أ/77/228</w:t>
        </w:r>
      </w:hyperlink>
      <w:r w:rsidRPr="008B3CE3">
        <w:rPr>
          <w:rFonts w:cs="Noto Naskh Arabic"/>
          <w:rtl/>
          <w:lang w:bidi="ar"/>
        </w:rPr>
        <w:t xml:space="preserve">، الفقرة 55 (د)). فضلاً عن ذلك، يجب النظر إلى ورقة العمل هذه في ضوء الاعتبارات التالية: </w:t>
      </w:r>
    </w:p>
    <w:p w14:paraId="3DC7EB16" w14:textId="4C5EF348" w:rsidR="00BD452D" w:rsidRPr="008B3CE3" w:rsidRDefault="00BD452D" w:rsidP="001426C1">
      <w:pPr>
        <w:pStyle w:val="Bullet1G"/>
        <w:bidi/>
        <w:rPr>
          <w:rFonts w:cs="Noto Naskh Arabic"/>
        </w:rPr>
      </w:pPr>
      <w:r w:rsidRPr="008B3CE3">
        <w:rPr>
          <w:rFonts w:cs="Noto Naskh Arabic"/>
          <w:rtl/>
          <w:lang w:bidi="ar"/>
        </w:rPr>
        <w:t>توصّل الرؤساء إلى استنتاجات في نطاق اختصاصهم بموجب ولايات المعاهدات القائمة الملزمة قانونًا. وهي تُشير إلى التزامات الدول الأطراف بتقديم التقارير الدورية، المنصوص عليها في المعاهدات التي تفاوضت وصدقّت عليها الدول؛</w:t>
      </w:r>
    </w:p>
    <w:p w14:paraId="399281FC" w14:textId="03657A44" w:rsidR="00BD452D" w:rsidRPr="008B3CE3" w:rsidRDefault="00BD452D" w:rsidP="001426C1">
      <w:pPr>
        <w:pStyle w:val="Bullet1G"/>
        <w:bidi/>
        <w:rPr>
          <w:rFonts w:cs="Noto Naskh Arabic"/>
        </w:rPr>
      </w:pPr>
      <w:r w:rsidRPr="008B3CE3">
        <w:rPr>
          <w:rFonts w:cs="Noto Naskh Arabic"/>
          <w:rtl/>
          <w:lang w:bidi="ar"/>
        </w:rPr>
        <w:t>الدول هي مُنشئي نظام مراقبة المعاهدة والمستفيدين منه. وقد أعربت تلك الدول بانتظام عن توقعاتهم بشأن التعاون وعدم الازدواجية والتكامل وال</w:t>
      </w:r>
      <w:r w:rsidR="008678AE" w:rsidRPr="008B3CE3">
        <w:rPr>
          <w:rFonts w:cs="Noto Naskh Arabic"/>
          <w:rtl/>
          <w:lang w:bidi="ar"/>
        </w:rPr>
        <w:t>فعَّال</w:t>
      </w:r>
      <w:r w:rsidRPr="008B3CE3">
        <w:rPr>
          <w:rFonts w:cs="Noto Naskh Arabic"/>
          <w:rtl/>
          <w:lang w:bidi="ar"/>
        </w:rPr>
        <w:t xml:space="preserve">ية من ناحية التكلفة؛ </w:t>
      </w:r>
    </w:p>
    <w:p w14:paraId="1B676145" w14:textId="0F497C59" w:rsidR="00BD452D" w:rsidRPr="008B3CE3" w:rsidRDefault="00BD452D" w:rsidP="00BD452D">
      <w:pPr>
        <w:pStyle w:val="Bullet1G"/>
        <w:bidi/>
        <w:rPr>
          <w:rFonts w:cs="Noto Naskh Arabic"/>
        </w:rPr>
      </w:pPr>
      <w:r w:rsidRPr="008B3CE3">
        <w:rPr>
          <w:rFonts w:cs="Noto Naskh Arabic"/>
          <w:rtl/>
          <w:lang w:bidi="ar"/>
        </w:rPr>
        <w:t xml:space="preserve">في حين أن </w:t>
      </w:r>
      <w:r w:rsidRPr="008B3CE3">
        <w:rPr>
          <w:rFonts w:cs="Noto Naskh Arabic"/>
          <w:b/>
          <w:bCs/>
          <w:rtl/>
          <w:lang w:bidi="ar"/>
        </w:rPr>
        <w:t>هيئات المعاهدات</w:t>
      </w:r>
      <w:r w:rsidRPr="008B3CE3">
        <w:rPr>
          <w:rFonts w:cs="Noto Naskh Arabic"/>
          <w:rtl/>
          <w:lang w:bidi="ar"/>
        </w:rPr>
        <w:t xml:space="preserve"> هي كيانات قانونية متميزة، إلا إن نظام </w:t>
      </w:r>
      <w:r w:rsidRPr="008B3CE3">
        <w:rPr>
          <w:rFonts w:cs="Noto Naskh Arabic"/>
          <w:b/>
          <w:bCs/>
          <w:rtl/>
          <w:lang w:bidi="ar"/>
        </w:rPr>
        <w:t>هيئات المعاهدات</w:t>
      </w:r>
      <w:r w:rsidRPr="008B3CE3">
        <w:rPr>
          <w:rFonts w:cs="Noto Naskh Arabic"/>
          <w:rtl/>
          <w:lang w:bidi="ar"/>
        </w:rPr>
        <w:t xml:space="preserve"> يظل ضرورة موضوعية لترشيد عملها نظرًا لتطابق الأحكام في مختلف المعاهدات، والزيادة المطردة في عدد </w:t>
      </w:r>
      <w:r w:rsidRPr="008B3CE3">
        <w:rPr>
          <w:rFonts w:cs="Noto Naskh Arabic"/>
          <w:b/>
          <w:bCs/>
          <w:rtl/>
          <w:lang w:bidi="ar"/>
        </w:rPr>
        <w:t>هيئات المعاهدات</w:t>
      </w:r>
      <w:r w:rsidRPr="008B3CE3">
        <w:rPr>
          <w:rFonts w:cs="Noto Naskh Arabic"/>
          <w:rtl/>
          <w:lang w:bidi="ar"/>
        </w:rPr>
        <w:t xml:space="preserve">، واستخدام الدول لمفهوم النظام هذا، وحقيقة أن الازدواجية غير الضرورية من شأنها أن تضر بمصداقية </w:t>
      </w:r>
      <w:r w:rsidRPr="008B3CE3">
        <w:rPr>
          <w:rFonts w:cs="Noto Naskh Arabic"/>
          <w:b/>
          <w:bCs/>
          <w:rtl/>
          <w:lang w:bidi="ar"/>
        </w:rPr>
        <w:t>هيئات المعاهدات</w:t>
      </w:r>
      <w:r w:rsidRPr="008B3CE3">
        <w:rPr>
          <w:rFonts w:cs="Noto Naskh Arabic"/>
          <w:rtl/>
          <w:lang w:bidi="ar"/>
        </w:rPr>
        <w:t xml:space="preserve"> والنظام بأكمله. </w:t>
      </w:r>
    </w:p>
    <w:p w14:paraId="15A47B93" w14:textId="25FA1C61" w:rsidR="00BD452D" w:rsidRPr="008B3CE3" w:rsidRDefault="00BD452D" w:rsidP="008115A1">
      <w:pPr>
        <w:pStyle w:val="HChG"/>
        <w:bidi/>
        <w:rPr>
          <w:rFonts w:cs="Noto Naskh Arabic"/>
        </w:rPr>
      </w:pPr>
      <w:r w:rsidRPr="008B3CE3">
        <w:rPr>
          <w:rFonts w:cs="Noto Naskh Arabic"/>
          <w:b w:val="0"/>
        </w:rPr>
        <w:tab/>
      </w:r>
      <w:r w:rsidR="00F30DBA" w:rsidRPr="008B3CE3">
        <w:rPr>
          <w:rFonts w:cs="Noto Naskh Arabic"/>
          <w:bCs/>
          <w:sz w:val="20"/>
          <w:szCs w:val="14"/>
          <w:lang w:bidi="ar"/>
        </w:rPr>
        <w:t>V</w:t>
      </w:r>
      <w:r w:rsidRPr="008B3CE3">
        <w:rPr>
          <w:rFonts w:cs="Noto Naskh Arabic"/>
          <w:bCs/>
          <w:rtl/>
          <w:lang w:bidi="ar"/>
        </w:rPr>
        <w:t>.</w:t>
      </w:r>
      <w:r w:rsidRPr="008B3CE3">
        <w:rPr>
          <w:rFonts w:cs="Noto Naskh Arabic"/>
          <w:bCs/>
          <w:rtl/>
          <w:lang w:bidi="ar"/>
        </w:rPr>
        <w:tab/>
        <w:t xml:space="preserve">الأساس المنطقي ومزايا الطرق المختلفة لتنفيذ الركائز الثلاث لاستنتاجات الرؤساء </w:t>
      </w:r>
    </w:p>
    <w:p w14:paraId="62256BC0" w14:textId="67103341" w:rsidR="00BD452D" w:rsidRPr="008B3CE3" w:rsidRDefault="00BD452D" w:rsidP="008678AE">
      <w:pPr>
        <w:pStyle w:val="SingleTxtG"/>
        <w:bidi/>
        <w:rPr>
          <w:rFonts w:cs="Noto Naskh Arabic"/>
        </w:rPr>
      </w:pPr>
      <w:r w:rsidRPr="008B3CE3">
        <w:rPr>
          <w:rFonts w:cs="Noto Naskh Arabic"/>
          <w:rtl/>
          <w:lang w:bidi="ar"/>
        </w:rPr>
        <w:t xml:space="preserve">تَقديم </w:t>
      </w:r>
      <w:r w:rsidRPr="008B3CE3">
        <w:rPr>
          <w:rFonts w:cs="Noto Naskh Arabic"/>
          <w:i/>
          <w:iCs/>
          <w:u w:val="single"/>
          <w:rtl/>
          <w:lang w:bidi="ar"/>
        </w:rPr>
        <w:t>جدول زمني يمكن التنبؤ به مدته 8 سنوات للمراجعات</w:t>
      </w:r>
      <w:r w:rsidRPr="008B3CE3">
        <w:rPr>
          <w:rFonts w:cs="Noto Naskh Arabic"/>
          <w:rtl/>
          <w:lang w:bidi="ar"/>
        </w:rPr>
        <w:t xml:space="preserve"> </w:t>
      </w:r>
      <w:r w:rsidRPr="008B3CE3">
        <w:rPr>
          <w:rFonts w:cs="Noto Naskh Arabic"/>
          <w:b/>
          <w:bCs/>
          <w:rtl/>
          <w:lang w:bidi="ar"/>
        </w:rPr>
        <w:t>لهيئات المعاهدات</w:t>
      </w:r>
      <w:r w:rsidRPr="008B3CE3">
        <w:rPr>
          <w:rFonts w:cs="Noto Naskh Arabic"/>
          <w:rtl/>
          <w:lang w:bidi="ar"/>
        </w:rPr>
        <w:t xml:space="preserve"> التي تجري مراجعات دورية، وللجنة المعنية بالاختفاء القسري واللجنة الفرعية لمنع التعذيب "وفقًا لولاياتهما وممارساتهما"، مع إجراء مراجعات متابعة بينهما (</w:t>
      </w:r>
      <w:hyperlink r:id="rId24">
        <w:r w:rsidR="008678AE" w:rsidRPr="008B3CE3">
          <w:rPr>
            <w:rStyle w:val="Hyperlink"/>
            <w:rFonts w:cs="Noto Naskh Arabic"/>
            <w:color w:val="0000FF"/>
            <w:lang w:bidi="ar"/>
          </w:rPr>
          <w:t>A</w:t>
        </w:r>
        <w:r w:rsidR="008678AE" w:rsidRPr="008B3CE3">
          <w:rPr>
            <w:rStyle w:val="Hyperlink"/>
            <w:rFonts w:cs="Noto Naskh Arabic"/>
            <w:color w:val="0000FF"/>
            <w:rtl/>
            <w:lang w:bidi="ar"/>
          </w:rPr>
          <w:t>/77/228</w:t>
        </w:r>
      </w:hyperlink>
      <w:r w:rsidRPr="008B3CE3">
        <w:rPr>
          <w:rFonts w:cs="Noto Naskh Arabic"/>
          <w:rtl/>
          <w:lang w:bidi="ar"/>
        </w:rPr>
        <w:t xml:space="preserve">، الفقرات 55 (1)(أ)-(ب)، (هـ)، (ح)-(ط))، التى سيكون لها الفوائد التالية: </w:t>
      </w:r>
    </w:p>
    <w:p w14:paraId="50A38B2D" w14:textId="336F4FB5" w:rsidR="00BD452D" w:rsidRPr="008B3CE3" w:rsidRDefault="00BD452D" w:rsidP="008115A1">
      <w:pPr>
        <w:pStyle w:val="Bullet1G"/>
        <w:bidi/>
        <w:rPr>
          <w:rFonts w:eastAsia="Arial" w:cs="Noto Naskh Arabic"/>
        </w:rPr>
      </w:pPr>
      <w:r w:rsidRPr="008B3CE3">
        <w:rPr>
          <w:rFonts w:eastAsia="Arial" w:cs="Noto Naskh Arabic"/>
          <w:rtl/>
          <w:lang w:bidi="ar"/>
        </w:rPr>
        <w:t xml:space="preserve">استبدال عدم القدرة على التنبؤ بالنظام الحالي بجدول زمني مدته 8 سنوات يسمح للدول وأصحاب المصلحة الآخرين بالتخطيط بثقة وكفاءة لاستعداداتهم الموضوعية والتنظيمية لمراجعات الدولة الطرف ومتابعتها، مع بعض المرونة في الظروف الاستثنائية؛ </w:t>
      </w:r>
    </w:p>
    <w:p w14:paraId="2D1F22CD" w14:textId="09F83A56" w:rsidR="00BD452D" w:rsidRPr="008B3CE3" w:rsidRDefault="00BD452D" w:rsidP="008115A1">
      <w:pPr>
        <w:pStyle w:val="Bullet1G"/>
        <w:bidi/>
        <w:rPr>
          <w:rFonts w:cs="Noto Naskh Arabic"/>
        </w:rPr>
      </w:pPr>
      <w:r w:rsidRPr="008B3CE3">
        <w:rPr>
          <w:rFonts w:cs="Noto Naskh Arabic"/>
          <w:rtl/>
          <w:lang w:bidi="ar"/>
        </w:rPr>
        <w:t>المساواة في المعاملة بين الدول الأطراف في جدول زمني يمكن التنبؤ به للمراجعات، مما يضمن الامتثال الكامل لتقديم التقارير وعدم تراكم أي أعمال متأخرة في المستقبل؛</w:t>
      </w:r>
    </w:p>
    <w:p w14:paraId="1E86EA11" w14:textId="1A6CE3AB" w:rsidR="00BD452D" w:rsidRPr="008B3CE3" w:rsidRDefault="00BD452D" w:rsidP="008115A1">
      <w:pPr>
        <w:pStyle w:val="Bullet1G"/>
        <w:bidi/>
        <w:rPr>
          <w:rFonts w:cs="Noto Naskh Arabic"/>
        </w:rPr>
      </w:pPr>
      <w:r w:rsidRPr="008B3CE3">
        <w:rPr>
          <w:rFonts w:cs="Noto Naskh Arabic"/>
          <w:rtl/>
          <w:lang w:bidi="ar"/>
        </w:rPr>
        <w:t xml:space="preserve">تقديم مشورة خبراء متجددة، بالمقارنة مع الأعمال المتأخرة الحالية التي تتطلب من الدول الأطراف تحديث تقاريرها والذي يؤخر تقديم التوصيات في الوقت المناسب؛ </w:t>
      </w:r>
    </w:p>
    <w:p w14:paraId="38CE4E9D" w14:textId="6520A691" w:rsidR="00BD452D" w:rsidRPr="009C3B21" w:rsidRDefault="00BD452D" w:rsidP="008115A1">
      <w:pPr>
        <w:pStyle w:val="Bullet1G"/>
        <w:bidi/>
        <w:rPr>
          <w:rFonts w:cs="Noto Naskh Arabic"/>
        </w:rPr>
      </w:pPr>
      <w:r w:rsidRPr="009C3B21">
        <w:rPr>
          <w:rFonts w:cs="Noto Naskh Arabic"/>
          <w:rtl/>
          <w:lang w:bidi="ar"/>
        </w:rPr>
        <w:t>زيادة تكامل المراجعات التي يحب أن تُقلل من ازدواجية القضايا التي تُثيرها هيئات المعاهدات وتسمح للدول بتحسين العمليات التشاورية الوطنية؛</w:t>
      </w:r>
    </w:p>
    <w:p w14:paraId="6B37D063" w14:textId="1A496530" w:rsidR="00AC2C3D" w:rsidRPr="008B3CE3" w:rsidRDefault="00BD452D" w:rsidP="00331C1F">
      <w:pPr>
        <w:pStyle w:val="Bullet1G"/>
        <w:bidi/>
        <w:rPr>
          <w:rFonts w:cs="Noto Naskh Arabic"/>
        </w:rPr>
      </w:pPr>
      <w:r w:rsidRPr="008B3CE3">
        <w:rPr>
          <w:rFonts w:cs="Noto Naskh Arabic"/>
          <w:rtl/>
          <w:lang w:bidi="ar"/>
        </w:rPr>
        <w:t xml:space="preserve">تَخفيف عبء العمل الواقع على عاتق الدول الأطراف وأصحاب المصلحة الآخرين من خلال إجراء عمليات مراجعات كاملة ومراجعات متابعة بشكل دوري، مما يحقق التوازن بين أهمية متابعة القضايا </w:t>
      </w:r>
      <w:r w:rsidRPr="008B3CE3">
        <w:rPr>
          <w:rFonts w:cs="Noto Naskh Arabic"/>
          <w:rtl/>
          <w:lang w:bidi="ar"/>
        </w:rPr>
        <w:lastRenderedPageBreak/>
        <w:t xml:space="preserve">الحاسمة في الوقت المناسب والظهور المنتظم على المستوى الوطني من أجل إعمال الحقوق - من جهة، والوقت والموارد التي يجب استثمارها من جهة أخرى. </w:t>
      </w:r>
    </w:p>
    <w:p w14:paraId="40B62EF1" w14:textId="77777777" w:rsidR="00BD452D" w:rsidRPr="008B3CE3" w:rsidRDefault="00BD452D" w:rsidP="008015CC">
      <w:pPr>
        <w:pStyle w:val="SingleTxtG"/>
        <w:bidi/>
        <w:rPr>
          <w:rFonts w:cs="Noto Naskh Arabic"/>
          <w:i/>
          <w:iCs/>
        </w:rPr>
      </w:pPr>
      <w:r w:rsidRPr="008B3CE3">
        <w:rPr>
          <w:rFonts w:cs="Noto Naskh Arabic"/>
          <w:i/>
          <w:iCs/>
          <w:rtl/>
          <w:lang w:bidi="ar"/>
        </w:rPr>
        <w:t xml:space="preserve">تقترح ورقة العمل ثلاثة خيارات لجدول زمني يمكن التنبؤ به للمراجعات لمدة 8 سنوات: </w:t>
      </w:r>
    </w:p>
    <w:p w14:paraId="2833A3F3" w14:textId="5FB9E86A" w:rsidR="00BD452D" w:rsidRPr="009C3B21" w:rsidRDefault="003A0E34" w:rsidP="00CB2285">
      <w:pPr>
        <w:pStyle w:val="SingleTxtG"/>
        <w:bidi/>
        <w:rPr>
          <w:rFonts w:cs="Noto Naskh Arabic"/>
          <w:i/>
          <w:iCs/>
        </w:rPr>
      </w:pPr>
      <w:r w:rsidRPr="009C3B21">
        <w:rPr>
          <w:rFonts w:cs="Noto Naskh Arabic"/>
        </w:rPr>
        <w:tab/>
      </w:r>
      <w:r w:rsidRPr="009C3B21">
        <w:rPr>
          <w:rFonts w:cs="Noto Naskh Arabic"/>
          <w:i/>
          <w:iCs/>
          <w:rtl/>
          <w:lang w:bidi="ar"/>
        </w:rPr>
        <w:t>(أ)</w:t>
      </w:r>
      <w:r w:rsidRPr="009C3B21">
        <w:rPr>
          <w:rFonts w:cs="Noto Naskh Arabic"/>
          <w:i/>
          <w:iCs/>
          <w:rtl/>
          <w:lang w:bidi="ar"/>
        </w:rPr>
        <w:tab/>
        <w:t>بموجب الخيار الأول ("المراجعات الخطية")، ستتم تحديد مواعيد المراجعات الخاصة بالدولة الطرف بشكل تسلسلي، قدر الإمكان، عبر دورة مدتها 8 سنوات لهيئات المعاهدات التي تجري مراجعات دورية (في حال ما صدَّقت الدولة الطرف على جميع المعاهدات الثماني مع مراجعات دورية، سيتم إجراء مراجعة كاملة واحدة سنويًا بشكل عام)؛</w:t>
      </w:r>
    </w:p>
    <w:p w14:paraId="6025774B" w14:textId="1482245E" w:rsidR="00BD452D" w:rsidRPr="008B3CE3" w:rsidRDefault="003A0E34" w:rsidP="00CB2285">
      <w:pPr>
        <w:pStyle w:val="SingleTxtG"/>
        <w:bidi/>
        <w:rPr>
          <w:rFonts w:cs="Noto Naskh Arabic"/>
          <w:i/>
          <w:iCs/>
        </w:rPr>
      </w:pPr>
      <w:r w:rsidRPr="008B3CE3">
        <w:rPr>
          <w:rFonts w:cs="Noto Naskh Arabic"/>
        </w:rPr>
        <w:tab/>
      </w:r>
      <w:r w:rsidRPr="008B3CE3">
        <w:rPr>
          <w:rFonts w:cs="Noto Naskh Arabic"/>
          <w:i/>
          <w:iCs/>
          <w:rtl/>
          <w:lang w:bidi="ar"/>
        </w:rPr>
        <w:t>(ب)</w:t>
      </w:r>
      <w:r w:rsidRPr="008B3CE3">
        <w:rPr>
          <w:rFonts w:cs="Noto Naskh Arabic"/>
          <w:i/>
          <w:iCs/>
          <w:rtl/>
          <w:lang w:bidi="ar"/>
        </w:rPr>
        <w:tab/>
        <w:t>بموجب الخيار الثاني ("التجميع الجزئي")، ستتم تحديد مواعيد المراجعات بموجب كلا العهدين "التعاقب" في سنة واحدة من دورة الثمان سنوات، لتعزيز عدم قابلية تجزئة الحقوق في العهد الدولي الخاص بالحقوق المدنية والسياسية والعهد الدولي الخاص بالحقوق الاقتصادية والاجتماعية والثقافية، مع إجراء المراجعات الستة الكاملة الأخرى بشكل تسلسلي؛</w:t>
      </w:r>
    </w:p>
    <w:p w14:paraId="5C9B3579" w14:textId="30CF1C6C" w:rsidR="00EA2395" w:rsidRPr="008B3CE3" w:rsidRDefault="003A0E34" w:rsidP="00CB2285">
      <w:pPr>
        <w:pStyle w:val="SingleTxtG"/>
        <w:bidi/>
        <w:rPr>
          <w:rFonts w:cs="Noto Naskh Arabic"/>
          <w:i/>
          <w:iCs/>
        </w:rPr>
      </w:pPr>
      <w:r w:rsidRPr="008B3CE3">
        <w:rPr>
          <w:rFonts w:cs="Noto Naskh Arabic"/>
        </w:rPr>
        <w:tab/>
      </w:r>
      <w:r w:rsidRPr="008B3CE3">
        <w:rPr>
          <w:rFonts w:cs="Noto Naskh Arabic"/>
          <w:i/>
          <w:iCs/>
          <w:rtl/>
          <w:lang w:bidi="ar"/>
        </w:rPr>
        <w:t>(ج)</w:t>
      </w:r>
      <w:r w:rsidRPr="008B3CE3">
        <w:rPr>
          <w:rFonts w:cs="Noto Naskh Arabic"/>
          <w:i/>
          <w:iCs/>
          <w:rtl/>
          <w:lang w:bidi="ar"/>
        </w:rPr>
        <w:tab/>
        <w:t xml:space="preserve">وبموجب الخيار الثالث ("التجميع الكامل")، سيتم إجراء مراجعات لمعاهدتين دوليتين لحقوق الإنسان مع إجراءات تقديم التقارير الدورية "المتعاقبة" كل عامين (على سبيل المثال، السنوات 1 و 3 و 5 و 7)، بنفس القدر قدر الإمكان من منظور جدول المواعيد. سيتم اقتران العهود والاتفاقيات عندما تكون الحقوق متشابهة و/أو متداخلة و/أو يتم تناولها بالطريقة التقليدية من قِبل نفس السلطات الوطنية أو أصحاب المصلحة. وهذا التجميع من شأنه أن يُيسر الإعداد الموضوعي للمراجعات، مما يجعلها أكثر </w:t>
      </w:r>
      <w:r w:rsidR="008678AE" w:rsidRPr="008B3CE3">
        <w:rPr>
          <w:rFonts w:cs="Noto Naskh Arabic"/>
          <w:i/>
          <w:iCs/>
          <w:rtl/>
          <w:lang w:bidi="ar"/>
        </w:rPr>
        <w:t>فعَّال</w:t>
      </w:r>
      <w:r w:rsidRPr="008B3CE3">
        <w:rPr>
          <w:rFonts w:cs="Noto Naskh Arabic"/>
          <w:i/>
          <w:iCs/>
          <w:rtl/>
          <w:lang w:bidi="ar"/>
        </w:rPr>
        <w:t xml:space="preserve">ية من حيث الوقت والتكلفة بالنسبة للدول وأصحاب المصلحة الآخرين. </w:t>
      </w:r>
    </w:p>
    <w:p w14:paraId="389E18D9" w14:textId="33158BA6" w:rsidR="00BD452D" w:rsidRPr="008B3CE3" w:rsidRDefault="00BD452D" w:rsidP="008015CC">
      <w:pPr>
        <w:pStyle w:val="SingleTxtG"/>
        <w:bidi/>
        <w:rPr>
          <w:rFonts w:cs="Noto Naskh Arabic"/>
          <w:i/>
          <w:iCs/>
        </w:rPr>
      </w:pPr>
      <w:r w:rsidRPr="008B3CE3">
        <w:rPr>
          <w:rFonts w:cs="Noto Naskh Arabic"/>
          <w:i/>
          <w:iCs/>
          <w:rtl/>
          <w:lang w:bidi="ar"/>
        </w:rPr>
        <w:t xml:space="preserve">فيما يلي الخيارات الثلاثة لمراجعات المتابعة التي تتم بين المراجعات الكاملة: </w:t>
      </w:r>
    </w:p>
    <w:p w14:paraId="242BFC73" w14:textId="31AC0F2E" w:rsidR="00BD452D" w:rsidRPr="008B3CE3" w:rsidRDefault="003A0E34" w:rsidP="00CB2285">
      <w:pPr>
        <w:pStyle w:val="SingleTxtG"/>
        <w:bidi/>
        <w:rPr>
          <w:rFonts w:cs="Noto Naskh Arabic"/>
          <w:i/>
          <w:iCs/>
        </w:rPr>
      </w:pPr>
      <w:r w:rsidRPr="008B3CE3">
        <w:rPr>
          <w:rFonts w:cs="Noto Naskh Arabic"/>
        </w:rPr>
        <w:tab/>
      </w:r>
      <w:r w:rsidRPr="008B3CE3">
        <w:rPr>
          <w:rFonts w:cs="Noto Naskh Arabic"/>
          <w:i/>
          <w:iCs/>
          <w:rtl/>
          <w:lang w:bidi="ar"/>
        </w:rPr>
        <w:t>(أ)</w:t>
      </w:r>
      <w:r w:rsidRPr="008B3CE3">
        <w:rPr>
          <w:rFonts w:cs="Noto Naskh Arabic"/>
          <w:i/>
          <w:iCs/>
          <w:rtl/>
          <w:lang w:bidi="ar"/>
        </w:rPr>
        <w:tab/>
        <w:t>بموجب الخيار الأول، ستستند مراجعات المتابعة إلى المراسلات فقط، وهو الشكل المعتمد حاليًا لإجراءات المتابعة من قِبل العديد من اللجان (</w:t>
      </w:r>
      <w:r w:rsidRPr="008B3CE3">
        <w:rPr>
          <w:rFonts w:cs="Noto Naskh Arabic"/>
          <w:i/>
          <w:iCs/>
        </w:rPr>
        <w:t>CAT</w:t>
      </w:r>
      <w:r w:rsidRPr="008B3CE3">
        <w:rPr>
          <w:rFonts w:cs="Noto Naskh Arabic"/>
          <w:i/>
          <w:iCs/>
          <w:rtl/>
          <w:lang w:bidi="ar"/>
        </w:rPr>
        <w:t>،</w:t>
      </w:r>
      <w:r w:rsidRPr="008B3CE3">
        <w:rPr>
          <w:rFonts w:cs="Noto Naskh Arabic"/>
          <w:i/>
          <w:iCs/>
        </w:rPr>
        <w:t xml:space="preserve"> CCPR</w:t>
      </w:r>
      <w:r w:rsidRPr="008B3CE3">
        <w:rPr>
          <w:rFonts w:cs="Noto Naskh Arabic"/>
          <w:i/>
          <w:iCs/>
          <w:rtl/>
          <w:lang w:bidi="ar"/>
        </w:rPr>
        <w:t>،</w:t>
      </w:r>
      <w:r w:rsidRPr="008B3CE3">
        <w:rPr>
          <w:rFonts w:cs="Noto Naskh Arabic"/>
          <w:i/>
          <w:iCs/>
        </w:rPr>
        <w:t xml:space="preserve"> CED</w:t>
      </w:r>
      <w:r w:rsidRPr="008B3CE3">
        <w:rPr>
          <w:rFonts w:cs="Noto Naskh Arabic"/>
          <w:i/>
          <w:iCs/>
          <w:rtl/>
          <w:lang w:bidi="ar"/>
        </w:rPr>
        <w:t>،</w:t>
      </w:r>
      <w:r w:rsidRPr="008B3CE3">
        <w:rPr>
          <w:rFonts w:cs="Noto Naskh Arabic"/>
          <w:i/>
          <w:iCs/>
        </w:rPr>
        <w:t xml:space="preserve"> CEDAW</w:t>
      </w:r>
      <w:r w:rsidRPr="008B3CE3">
        <w:rPr>
          <w:rFonts w:cs="Noto Naskh Arabic"/>
          <w:i/>
          <w:iCs/>
          <w:rtl/>
          <w:lang w:bidi="ar"/>
        </w:rPr>
        <w:t>،</w:t>
      </w:r>
      <w:r w:rsidRPr="008B3CE3">
        <w:rPr>
          <w:rFonts w:cs="Noto Naskh Arabic"/>
          <w:i/>
          <w:iCs/>
        </w:rPr>
        <w:t xml:space="preserve"> CERD</w:t>
      </w:r>
      <w:r w:rsidRPr="008B3CE3">
        <w:rPr>
          <w:rFonts w:cs="Noto Naskh Arabic"/>
          <w:i/>
          <w:iCs/>
          <w:rtl/>
          <w:lang w:bidi="ar"/>
        </w:rPr>
        <w:t>،</w:t>
      </w:r>
      <w:r w:rsidRPr="008B3CE3">
        <w:rPr>
          <w:rFonts w:cs="Noto Naskh Arabic"/>
          <w:i/>
          <w:iCs/>
        </w:rPr>
        <w:t xml:space="preserve"> CESCR</w:t>
      </w:r>
      <w:r w:rsidRPr="008B3CE3">
        <w:rPr>
          <w:rFonts w:cs="Noto Naskh Arabic"/>
          <w:i/>
          <w:iCs/>
          <w:rtl/>
          <w:lang w:bidi="ar"/>
        </w:rPr>
        <w:t>،</w:t>
      </w:r>
      <w:r w:rsidRPr="008B3CE3">
        <w:rPr>
          <w:rFonts w:cs="Noto Naskh Arabic"/>
          <w:i/>
          <w:iCs/>
        </w:rPr>
        <w:t xml:space="preserve"> CMW</w:t>
      </w:r>
      <w:r w:rsidRPr="008B3CE3">
        <w:rPr>
          <w:rFonts w:cs="Noto Naskh Arabic"/>
          <w:i/>
          <w:iCs/>
          <w:rtl/>
          <w:lang w:bidi="ar"/>
        </w:rPr>
        <w:t>) يُوفر هذا الخيار البساطة والاستمرارية والتكلفة المنخفضة؛</w:t>
      </w:r>
    </w:p>
    <w:p w14:paraId="4680836C" w14:textId="6A8955C3" w:rsidR="00BD452D" w:rsidRPr="009C3B21" w:rsidRDefault="003A0E34" w:rsidP="00CB2285">
      <w:pPr>
        <w:pStyle w:val="SingleTxtG"/>
        <w:bidi/>
        <w:rPr>
          <w:rFonts w:eastAsia="Arial" w:cs="Noto Naskh Arabic"/>
          <w:i/>
          <w:iCs/>
        </w:rPr>
      </w:pPr>
      <w:r w:rsidRPr="009C3B21">
        <w:rPr>
          <w:rFonts w:cs="Noto Naskh Arabic"/>
        </w:rPr>
        <w:tab/>
      </w:r>
      <w:r w:rsidRPr="009C3B21">
        <w:rPr>
          <w:rFonts w:cs="Noto Naskh Arabic"/>
          <w:i/>
          <w:iCs/>
          <w:rtl/>
          <w:lang w:bidi="ar"/>
        </w:rPr>
        <w:t>(ب)</w:t>
      </w:r>
      <w:r w:rsidRPr="009C3B21">
        <w:rPr>
          <w:rFonts w:cs="Noto Naskh Arabic"/>
          <w:i/>
          <w:iCs/>
          <w:rtl/>
          <w:lang w:bidi="ar"/>
        </w:rPr>
        <w:tab/>
        <w:t>بموجب الخيار الثاني، يمكن إجراء مراجعة تقارير المتابعة بالطريقة الحالية القائمة على المراسلات، مع إجراء حوار بن</w:t>
      </w:r>
      <w:r w:rsidR="0014321F" w:rsidRPr="009C3B21">
        <w:rPr>
          <w:rFonts w:cs="Noto Naskh Arabic" w:hint="cs"/>
          <w:i/>
          <w:iCs/>
          <w:rtl/>
          <w:lang w:bidi="ar"/>
        </w:rPr>
        <w:t>َّ</w:t>
      </w:r>
      <w:r w:rsidRPr="009C3B21">
        <w:rPr>
          <w:rFonts w:cs="Noto Naskh Arabic"/>
          <w:i/>
          <w:iCs/>
          <w:rtl/>
          <w:lang w:bidi="ar"/>
        </w:rPr>
        <w:t>اء إضافي وإحاطات إعلامية من جانب أصحاب المصلحة في شكل مختلط أو عبر الإنترنت. ويحقق هذا النهج التوازن بين المشاركة المباشرة لهيئات المعاهدات مع الدول الأطراف وأصحاب المصلحة، و</w:t>
      </w:r>
      <w:r w:rsidR="008678AE" w:rsidRPr="009C3B21">
        <w:rPr>
          <w:rFonts w:cs="Noto Naskh Arabic"/>
          <w:i/>
          <w:iCs/>
          <w:rtl/>
          <w:lang w:bidi="ar"/>
        </w:rPr>
        <w:t>فعَّال</w:t>
      </w:r>
      <w:r w:rsidRPr="009C3B21">
        <w:rPr>
          <w:rFonts w:cs="Noto Naskh Arabic"/>
          <w:i/>
          <w:iCs/>
          <w:rtl/>
          <w:lang w:bidi="ar"/>
        </w:rPr>
        <w:t>ية الوقت والتكلفة؛</w:t>
      </w:r>
    </w:p>
    <w:p w14:paraId="7969575C" w14:textId="59855135" w:rsidR="00331C1F" w:rsidRPr="009C3B21" w:rsidRDefault="003A0E34" w:rsidP="008015CC">
      <w:pPr>
        <w:pStyle w:val="SingleTxtG"/>
        <w:bidi/>
        <w:rPr>
          <w:rFonts w:eastAsia="Arial" w:cs="Noto Naskh Arabic"/>
          <w:i/>
          <w:iCs/>
        </w:rPr>
      </w:pPr>
      <w:r w:rsidRPr="009C3B21">
        <w:rPr>
          <w:rFonts w:cs="Noto Naskh Arabic"/>
        </w:rPr>
        <w:tab/>
      </w:r>
      <w:r w:rsidRPr="009C3B21">
        <w:rPr>
          <w:rFonts w:cs="Noto Naskh Arabic"/>
          <w:i/>
          <w:iCs/>
          <w:rtl/>
          <w:lang w:bidi="ar"/>
        </w:rPr>
        <w:t>(ج)</w:t>
      </w:r>
      <w:r w:rsidRPr="009C3B21">
        <w:rPr>
          <w:rFonts w:cs="Noto Naskh Arabic"/>
          <w:i/>
          <w:iCs/>
          <w:rtl/>
          <w:lang w:bidi="ar"/>
        </w:rPr>
        <w:tab/>
        <w:t xml:space="preserve">بموجب الخيار الثالث، يمكن إجراء تقييم توصيات المتابعة في شكل زيارة ميدانية للدولة الطرف يقوم بها وفد من أعضاء هيئات المعاهدات وموظفي الأمانة العامة. إذ أن هذا الخيار يؤدي إلى تعظيم الرؤية والمشاركة على المستوى الوطني، إلا إنه يستلزم إعداداً موضوعياً وتنظيمياً مكثفاً للوقت ومكلفاً للغاية، وإجراء ومتابعة هذه البعثات من قِبل هيئات المعاهدات والأمانة العامة. وستكون هناك حاجة إلى توجيه دعوة دائمة من الدول الأطراف إلى أعضاء هيئات المعاهدات لضمان القدرة على التنبؤ. </w:t>
      </w:r>
    </w:p>
    <w:p w14:paraId="210B91F9" w14:textId="365AF3AA" w:rsidR="00BD452D" w:rsidRPr="008B3CE3" w:rsidRDefault="00BD452D" w:rsidP="008015CC">
      <w:pPr>
        <w:pStyle w:val="SingleTxtG"/>
        <w:bidi/>
        <w:rPr>
          <w:rFonts w:cs="Noto Naskh Arabic"/>
          <w:i/>
          <w:iCs/>
        </w:rPr>
      </w:pPr>
      <w:r w:rsidRPr="008B3CE3">
        <w:rPr>
          <w:rFonts w:cs="Noto Naskh Arabic"/>
          <w:i/>
          <w:iCs/>
          <w:rtl/>
          <w:lang w:bidi="ar"/>
        </w:rPr>
        <w:t>وقد وافق الرؤساء بالإجماع على التوافق حول أساليب العمل (</w:t>
      </w:r>
      <w:hyperlink r:id="rId25" w:history="1">
        <w:r w:rsidRPr="008B3CE3">
          <w:rPr>
            <w:rStyle w:val="Hyperlink"/>
            <w:rFonts w:cs="Noto Naskh Arabic"/>
            <w:i/>
            <w:iCs/>
            <w:color w:val="0000FF"/>
          </w:rPr>
          <w:t>A/77/228</w:t>
        </w:r>
      </w:hyperlink>
      <w:r w:rsidRPr="008B3CE3">
        <w:rPr>
          <w:rFonts w:cs="Noto Naskh Arabic"/>
          <w:i/>
          <w:iCs/>
          <w:rtl/>
          <w:lang w:bidi="ar"/>
        </w:rPr>
        <w:t xml:space="preserve">، الفقرة  55 (5)) وقد طالبت الجمعية العامة ذلك بشدة وبشكل متكرر منذ قرارها البارز رقم </w:t>
      </w:r>
      <w:hyperlink r:id="rId26" w:history="1">
        <w:r w:rsidRPr="008B3CE3">
          <w:rPr>
            <w:rStyle w:val="Hyperlink"/>
            <w:rFonts w:cs="Noto Naskh Arabic"/>
            <w:i/>
            <w:iCs/>
            <w:color w:val="0000FF"/>
            <w:rtl/>
            <w:lang w:bidi="ar"/>
          </w:rPr>
          <w:t>68/268</w:t>
        </w:r>
      </w:hyperlink>
      <w:r w:rsidRPr="008B3CE3">
        <w:rPr>
          <w:rFonts w:cs="Noto Naskh Arabic"/>
          <w:i/>
          <w:iCs/>
          <w:rtl/>
          <w:lang w:bidi="ar"/>
        </w:rPr>
        <w:t xml:space="preserve">. حيث سيكون للتنسيق الحقيقي والمستدام المزايا التالية: </w:t>
      </w:r>
    </w:p>
    <w:p w14:paraId="53EBC8FC" w14:textId="082FEFCD" w:rsidR="00BD452D" w:rsidRPr="009C3B21" w:rsidRDefault="00BD452D" w:rsidP="00CB2285">
      <w:pPr>
        <w:pStyle w:val="Bullet1G"/>
        <w:bidi/>
        <w:rPr>
          <w:rFonts w:cs="Noto Naskh Arabic"/>
        </w:rPr>
      </w:pPr>
      <w:r w:rsidRPr="009C3B21">
        <w:rPr>
          <w:rFonts w:cs="Noto Naskh Arabic"/>
          <w:rtl/>
          <w:lang w:bidi="ar"/>
        </w:rPr>
        <w:t xml:space="preserve">تسهيل مشاركة الدول الأطراف وأصحاب المصلحة الآخرين في نظام هيئات المعاهدات، مع النظر في خصوصيات كل معاهدة؛ </w:t>
      </w:r>
    </w:p>
    <w:p w14:paraId="178A48FC" w14:textId="0F7E4FFA" w:rsidR="00BD452D" w:rsidRPr="009C3B21" w:rsidRDefault="00BD452D" w:rsidP="00CB2285">
      <w:pPr>
        <w:pStyle w:val="Bullet1G"/>
        <w:bidi/>
        <w:rPr>
          <w:rFonts w:cs="Noto Naskh Arabic"/>
        </w:rPr>
      </w:pPr>
      <w:r w:rsidRPr="009C3B21">
        <w:rPr>
          <w:rFonts w:cs="Noto Naskh Arabic"/>
          <w:rtl/>
          <w:lang w:bidi="ar"/>
        </w:rPr>
        <w:t xml:space="preserve">السماح للدول وأصحاب المصلحة الآخرين بالتركيز على استعداداتهم الموضوعية في المقام الأول، عوضًا عن مواجهة العديد من الإجراءات والمواعيد النهائية التي تختلف بين هيئات المعاهدات؛  </w:t>
      </w:r>
    </w:p>
    <w:p w14:paraId="2F1EB26E" w14:textId="5A4F6873" w:rsidR="00BD452D" w:rsidRPr="008B3CE3" w:rsidRDefault="00BD452D" w:rsidP="00CB2285">
      <w:pPr>
        <w:pStyle w:val="Bullet1G"/>
        <w:bidi/>
        <w:rPr>
          <w:rFonts w:cs="Noto Naskh Arabic"/>
        </w:rPr>
      </w:pPr>
      <w:r w:rsidRPr="008B3CE3">
        <w:rPr>
          <w:rFonts w:cs="Noto Naskh Arabic"/>
          <w:rtl/>
          <w:lang w:bidi="ar"/>
        </w:rPr>
        <w:lastRenderedPageBreak/>
        <w:t>تقصير المدة الطويلة الحالية بين تقديم تقرير الدولة الطرف ومراجعته، مما يتجنب الحاجة إلى التحديثات ويَسمح بتقديم التوصيات في الوقت المناسب؛</w:t>
      </w:r>
    </w:p>
    <w:p w14:paraId="47AFF95B" w14:textId="0D3F5D57" w:rsidR="00BD452D" w:rsidRPr="008B3CE3" w:rsidRDefault="00BD452D" w:rsidP="00CB2285">
      <w:pPr>
        <w:pStyle w:val="Bullet1G"/>
        <w:bidi/>
        <w:rPr>
          <w:rFonts w:cs="Noto Naskh Arabic"/>
        </w:rPr>
      </w:pPr>
      <w:r w:rsidRPr="008B3CE3">
        <w:rPr>
          <w:rFonts w:cs="Noto Naskh Arabic"/>
          <w:rtl/>
          <w:lang w:bidi="ar"/>
        </w:rPr>
        <w:t>تقليل عبء تقديم التقارير من خلال تعميم إجراءات تقديم التقارير المُبسطة التي ستسمح للدول الأطراف بإعداد وتقديم تقارير أكثر تركيزًا وأقصر وموضوعية مع إيلاء الأولوية لعدد أقل من القضايا التي يجب متابعتها؛</w:t>
      </w:r>
    </w:p>
    <w:p w14:paraId="44FDF844" w14:textId="735FA250" w:rsidR="00BD452D" w:rsidRPr="008B3CE3" w:rsidRDefault="00BD452D" w:rsidP="00CB2285">
      <w:pPr>
        <w:pStyle w:val="Bullet1G"/>
        <w:bidi/>
        <w:rPr>
          <w:rFonts w:cs="Noto Naskh Arabic"/>
        </w:rPr>
      </w:pPr>
      <w:r w:rsidRPr="008B3CE3">
        <w:rPr>
          <w:rFonts w:cs="Noto Naskh Arabic"/>
          <w:rtl/>
          <w:lang w:bidi="ar"/>
        </w:rPr>
        <w:t>الحد من الازدواجية في الملاحظات الختامية وفي قوائم القضايا (قبل تقديم التقارير)؛</w:t>
      </w:r>
    </w:p>
    <w:p w14:paraId="12C9712B" w14:textId="1224B546" w:rsidR="00BD452D" w:rsidRPr="008B3CE3" w:rsidRDefault="00BD452D" w:rsidP="003A0E34">
      <w:pPr>
        <w:pStyle w:val="Bullet1G"/>
        <w:bidi/>
        <w:rPr>
          <w:rFonts w:cs="Noto Naskh Arabic"/>
        </w:rPr>
      </w:pPr>
      <w:r w:rsidRPr="008B3CE3">
        <w:rPr>
          <w:rFonts w:cs="Noto Naskh Arabic"/>
          <w:rtl/>
          <w:lang w:bidi="ar"/>
        </w:rPr>
        <w:t xml:space="preserve">تَحسين إمكانية الوصول وتوفير الترتيبات التيسيرية المعقولة لمختلف أصحاب المصلحة. </w:t>
      </w:r>
    </w:p>
    <w:p w14:paraId="55074654" w14:textId="77777777" w:rsidR="00BD452D" w:rsidRPr="008B3CE3" w:rsidRDefault="00BD452D" w:rsidP="008015CC">
      <w:pPr>
        <w:pStyle w:val="SingleTxtG"/>
        <w:bidi/>
        <w:rPr>
          <w:rFonts w:cs="Noto Naskh Arabic"/>
          <w:i/>
          <w:iCs/>
        </w:rPr>
      </w:pPr>
      <w:r w:rsidRPr="008B3CE3">
        <w:rPr>
          <w:rFonts w:cs="Noto Naskh Arabic"/>
          <w:i/>
          <w:iCs/>
          <w:rtl/>
          <w:lang w:bidi="ar"/>
        </w:rPr>
        <w:t xml:space="preserve">تَقترح ورقة العمل </w:t>
      </w:r>
      <w:r w:rsidRPr="008B3CE3">
        <w:rPr>
          <w:rFonts w:cs="Noto Naskh Arabic"/>
          <w:i/>
          <w:iCs/>
          <w:u w:val="single"/>
          <w:rtl/>
          <w:lang w:bidi="ar"/>
        </w:rPr>
        <w:t>خيارين للتنسيق حول تنسيق أساليب العمل</w:t>
      </w:r>
      <w:r w:rsidRPr="008B3CE3">
        <w:rPr>
          <w:rFonts w:cs="Noto Naskh Arabic"/>
          <w:i/>
          <w:iCs/>
          <w:rtl/>
          <w:lang w:bidi="ar"/>
        </w:rPr>
        <w:t xml:space="preserve">، فضلاً عن العديد من المقترحات التقنية حول كيفية تنسيق أساليب العمل بشأن جوانب محددة من مراجعات الدول الأطراف والأنشطة الأخرى المكلفة بها </w:t>
      </w:r>
      <w:r w:rsidRPr="008B3CE3">
        <w:rPr>
          <w:rFonts w:cs="Noto Naskh Arabic"/>
          <w:b/>
          <w:bCs/>
          <w:i/>
          <w:iCs/>
          <w:rtl/>
          <w:lang w:bidi="ar"/>
        </w:rPr>
        <w:t>هيئات المعاهدات</w:t>
      </w:r>
      <w:r w:rsidRPr="008B3CE3">
        <w:rPr>
          <w:rFonts w:cs="Noto Naskh Arabic"/>
          <w:i/>
          <w:iCs/>
          <w:rtl/>
          <w:lang w:bidi="ar"/>
        </w:rPr>
        <w:t>:</w:t>
      </w:r>
    </w:p>
    <w:p w14:paraId="1321D7D7" w14:textId="3572A1A9" w:rsidR="00BD452D" w:rsidRPr="002404E2" w:rsidRDefault="003A0E34" w:rsidP="00CB2285">
      <w:pPr>
        <w:pStyle w:val="SingleTxtG"/>
        <w:bidi/>
        <w:rPr>
          <w:rFonts w:eastAsia="Arial" w:cs="Noto Naskh Arabic"/>
          <w:i/>
          <w:iCs/>
        </w:rPr>
      </w:pPr>
      <w:r w:rsidRPr="002404E2">
        <w:rPr>
          <w:rFonts w:cs="Noto Naskh Arabic"/>
        </w:rPr>
        <w:tab/>
      </w:r>
      <w:r w:rsidRPr="002404E2">
        <w:rPr>
          <w:rFonts w:cs="Noto Naskh Arabic"/>
          <w:i/>
          <w:iCs/>
          <w:rtl/>
          <w:lang w:bidi="ar"/>
        </w:rPr>
        <w:t>(أ)</w:t>
      </w:r>
      <w:r w:rsidRPr="002404E2">
        <w:rPr>
          <w:rFonts w:cs="Noto Naskh Arabic"/>
          <w:i/>
          <w:iCs/>
          <w:rtl/>
          <w:lang w:bidi="ar"/>
        </w:rPr>
        <w:tab/>
        <w:t xml:space="preserve">الخيار الأول وهو استمرار الممارسة الحالية، والتي تُناقش بموجبها هيئات المعاهدات تنسيق أساليب العمل في الاجتماعات السنوية للرؤساء وفي عمليات التبادل بين الرؤساء وجهات الاتصال على أساس كل حالة علي حدة، دون تنفيذ منهجي للقرارات. بالاستمرار في هذا النهج يمكنه أن يُوفر الوقت والجهد اللازمين للتنسيق ويضمن حماية أفضليات وخصوصيات كل هيئة من هيئات المعاهدات. ومع ذلك، فإن هذا النهج من شأنه أن يُخاطر بإدامة العدد الكبير من أساليب العمل المختلفة الحالية، والتي يجب على الدول وأصحاب المصلحة الآخرين التعامل معها؛ </w:t>
      </w:r>
    </w:p>
    <w:p w14:paraId="0F8C54D7" w14:textId="09B0AA63" w:rsidR="00BD452D" w:rsidRPr="008B3CE3" w:rsidRDefault="003A0E34" w:rsidP="008015CC">
      <w:pPr>
        <w:pStyle w:val="SingleTxtG"/>
        <w:bidi/>
        <w:rPr>
          <w:rFonts w:cs="Noto Naskh Arabic"/>
          <w:i/>
          <w:iCs/>
        </w:rPr>
      </w:pPr>
      <w:r w:rsidRPr="008B3CE3">
        <w:rPr>
          <w:rFonts w:cs="Noto Naskh Arabic"/>
        </w:rPr>
        <w:tab/>
      </w:r>
      <w:r w:rsidRPr="008B3CE3">
        <w:rPr>
          <w:rFonts w:cs="Noto Naskh Arabic"/>
          <w:i/>
          <w:iCs/>
          <w:rtl/>
          <w:lang w:bidi="ar"/>
        </w:rPr>
        <w:t>(ب)</w:t>
      </w:r>
      <w:r w:rsidRPr="008B3CE3">
        <w:rPr>
          <w:rFonts w:cs="Noto Naskh Arabic"/>
          <w:i/>
          <w:iCs/>
          <w:rtl/>
          <w:lang w:bidi="ar"/>
        </w:rPr>
        <w:tab/>
        <w:t>الخيار الثاني وهو في إنشاء آلية تنسيق، والتي يُصبح بموجبها اتخاذ القرار من قِبل رؤساء هيئات معاهدات حاسماً في هذا المجال، بدعم من جهات التنسيق الخاصة بهم بشأن أساليب العمل. وهذا الخيار ومن شأنه أن يَسمح بإضفاء الطابع المؤسسي على التنسيق المنهجية لأساليب العمل الحالية والجديدة لصالح التماسك والكفاءة بما يعود بالنفع على الدول وجميع أصحاب المصلحة الآخرين.</w:t>
      </w:r>
    </w:p>
    <w:p w14:paraId="159F69BD" w14:textId="087DF0D6" w:rsidR="00BD452D" w:rsidRPr="008B3CE3" w:rsidRDefault="00BD452D" w:rsidP="00CB2285">
      <w:pPr>
        <w:pStyle w:val="SingleTxtG"/>
        <w:bidi/>
        <w:rPr>
          <w:rFonts w:cs="Noto Naskh Arabic"/>
        </w:rPr>
      </w:pPr>
      <w:r w:rsidRPr="008B3CE3">
        <w:rPr>
          <w:rFonts w:cs="Noto Naskh Arabic"/>
          <w:rtl/>
          <w:lang w:bidi="ar"/>
        </w:rPr>
        <w:t>وأخير</w:t>
      </w:r>
      <w:r w:rsidR="00A43092" w:rsidRPr="008B3CE3">
        <w:rPr>
          <w:rFonts w:cs="Noto Naskh Arabic" w:hint="cs"/>
          <w:rtl/>
          <w:lang w:bidi="ar"/>
        </w:rPr>
        <w:t>ً</w:t>
      </w:r>
      <w:r w:rsidRPr="008B3CE3">
        <w:rPr>
          <w:rFonts w:cs="Noto Naskh Arabic"/>
          <w:rtl/>
          <w:lang w:bidi="ar"/>
        </w:rPr>
        <w:t xml:space="preserve">ا، سيكون </w:t>
      </w:r>
      <w:r w:rsidRPr="008B3CE3">
        <w:rPr>
          <w:rFonts w:cs="Noto Naskh Arabic"/>
          <w:u w:val="single"/>
          <w:rtl/>
          <w:lang w:bidi="ar"/>
        </w:rPr>
        <w:t>للارتقاء الرقمي</w:t>
      </w:r>
      <w:r w:rsidRPr="008B3CE3">
        <w:rPr>
          <w:rFonts w:cs="Noto Naskh Arabic"/>
          <w:rtl/>
          <w:lang w:bidi="ar"/>
        </w:rPr>
        <w:t xml:space="preserve"> الفوائد التالية: </w:t>
      </w:r>
    </w:p>
    <w:p w14:paraId="1FA842E4" w14:textId="0F0C5FE8" w:rsidR="00BD452D" w:rsidRPr="008B3CE3" w:rsidRDefault="00BD452D" w:rsidP="00CB2285">
      <w:pPr>
        <w:pStyle w:val="Bullet1G"/>
        <w:bidi/>
        <w:rPr>
          <w:rFonts w:cs="Noto Naskh Arabic"/>
        </w:rPr>
      </w:pPr>
      <w:r w:rsidRPr="008B3CE3">
        <w:rPr>
          <w:rFonts w:cs="Noto Naskh Arabic"/>
          <w:rtl/>
          <w:lang w:bidi="ar"/>
        </w:rPr>
        <w:t xml:space="preserve">تَسهيل مشاركة الدول والضحايا وأصحاب المصلحة الآخرين، وذلك من خلال صفحة ويب مشتركة ومنصة مشتركة لإدارة التقارير والوثائق للتقارير والالتماسات، مع الاستمرار في السماح بأشكال أخرى من التقديمات لأولئك الذين لا يستطيعون الوصول إلى الأدوات الرقمية اللازمة؛ </w:t>
      </w:r>
    </w:p>
    <w:p w14:paraId="151AE665" w14:textId="5A47DD85" w:rsidR="00BD452D" w:rsidRPr="002404E2" w:rsidRDefault="00BD452D" w:rsidP="00CB2285">
      <w:pPr>
        <w:pStyle w:val="Bullet1G"/>
        <w:bidi/>
        <w:rPr>
          <w:rFonts w:cs="Noto Naskh Arabic"/>
        </w:rPr>
      </w:pPr>
      <w:r w:rsidRPr="002404E2">
        <w:rPr>
          <w:rFonts w:cs="Noto Naskh Arabic"/>
          <w:rtl/>
          <w:lang w:bidi="ar"/>
        </w:rPr>
        <w:t xml:space="preserve">زيادة كفاءة الوقت وتحسين النتائج الموضوعية في عمل هيئات المعاهدات من خلال أدوات تكنولوجيا المعلومات التي تدعم الصياغة التعاونية، والتجميع الآلي للمعلومات والإنتاج الآلي لجداول الأعمال والوثائق الأخرى ذات الصلة بالدورة؛ </w:t>
      </w:r>
    </w:p>
    <w:p w14:paraId="440561B2" w14:textId="10EC210D" w:rsidR="00BD452D" w:rsidRPr="008B3CE3" w:rsidRDefault="00BD452D" w:rsidP="00CB2285">
      <w:pPr>
        <w:pStyle w:val="Bullet1G"/>
        <w:bidi/>
        <w:rPr>
          <w:rFonts w:cs="Noto Naskh Arabic"/>
        </w:rPr>
      </w:pPr>
      <w:r w:rsidRPr="008B3CE3">
        <w:rPr>
          <w:rFonts w:cs="Noto Naskh Arabic"/>
          <w:rtl/>
          <w:lang w:bidi="ar"/>
        </w:rPr>
        <w:t>تَسهيل أنشطة بناء القدرات من خلال الوسائل الرقمية؛</w:t>
      </w:r>
    </w:p>
    <w:p w14:paraId="15054B3F" w14:textId="531C0297" w:rsidR="00BD452D" w:rsidRPr="002404E2" w:rsidRDefault="00BD452D" w:rsidP="003A0E34">
      <w:pPr>
        <w:pStyle w:val="Bullet1G"/>
        <w:bidi/>
        <w:rPr>
          <w:rFonts w:cs="Noto Naskh Arabic"/>
        </w:rPr>
      </w:pPr>
      <w:r w:rsidRPr="002404E2">
        <w:rPr>
          <w:rFonts w:cs="Noto Naskh Arabic"/>
          <w:rtl/>
          <w:lang w:bidi="ar"/>
        </w:rPr>
        <w:t xml:space="preserve">جعل نظام هيئات المعاهدات </w:t>
      </w:r>
      <w:r w:rsidR="008678AE" w:rsidRPr="002404E2">
        <w:rPr>
          <w:rFonts w:cs="Noto Naskh Arabic"/>
          <w:rtl/>
          <w:lang w:bidi="ar"/>
        </w:rPr>
        <w:t>فعَّال</w:t>
      </w:r>
      <w:r w:rsidRPr="002404E2">
        <w:rPr>
          <w:rFonts w:cs="Noto Naskh Arabic"/>
          <w:rtl/>
          <w:lang w:bidi="ar"/>
        </w:rPr>
        <w:t xml:space="preserve">اً بما يكفي لمعالجة نموه المستمر. </w:t>
      </w:r>
    </w:p>
    <w:p w14:paraId="692718CE" w14:textId="1EA49013" w:rsidR="00CB2285" w:rsidRPr="008B3CE3" w:rsidRDefault="00BD452D" w:rsidP="00CB2285">
      <w:pPr>
        <w:pStyle w:val="SingleTxtG"/>
        <w:bidi/>
        <w:rPr>
          <w:rFonts w:cs="Noto Naskh Arabic"/>
          <w:i/>
          <w:iCs/>
        </w:rPr>
      </w:pPr>
      <w:r w:rsidRPr="008B3CE3">
        <w:rPr>
          <w:rFonts w:cs="Noto Naskh Arabic"/>
          <w:i/>
          <w:iCs/>
          <w:rtl/>
          <w:lang w:bidi="ar"/>
        </w:rPr>
        <w:t xml:space="preserve">تقترح ورقة العمل العديد من </w:t>
      </w:r>
      <w:r w:rsidRPr="008B3CE3">
        <w:rPr>
          <w:rFonts w:cs="Noto Naskh Arabic"/>
          <w:i/>
          <w:iCs/>
          <w:u w:val="single"/>
          <w:rtl/>
          <w:lang w:bidi="ar"/>
        </w:rPr>
        <w:t>أدوات تكنولوجيا المعلومات</w:t>
      </w:r>
      <w:r w:rsidRPr="008B3CE3">
        <w:rPr>
          <w:rFonts w:cs="Noto Naskh Arabic"/>
          <w:i/>
          <w:iCs/>
          <w:rtl/>
          <w:lang w:bidi="ar"/>
        </w:rPr>
        <w:t xml:space="preserve"> للابتعاد عن الممارسات الحالية التي تتميز بالتبادل الورقي والبريد الإلكتروني، مع الاستخدام المحدود وغير المتسق لقواعد البيانات غير المتصلة في الغالب وتبادل المعلومات الذي لا يأتي دائمًا في الوقت المناسب. الخيارات المقترحة هي: </w:t>
      </w:r>
    </w:p>
    <w:p w14:paraId="1C2C9FA1" w14:textId="1F1ED049" w:rsidR="00BD452D" w:rsidRPr="008B3CE3" w:rsidRDefault="003A0E34" w:rsidP="0014321F">
      <w:pPr>
        <w:pStyle w:val="Bullet1G"/>
        <w:numPr>
          <w:ilvl w:val="0"/>
          <w:numId w:val="0"/>
        </w:numPr>
        <w:bidi/>
        <w:ind w:left="1701"/>
        <w:rPr>
          <w:rFonts w:cs="Noto Naskh Arabic"/>
          <w:i/>
          <w:iCs/>
        </w:rPr>
      </w:pPr>
      <w:r w:rsidRPr="008B3CE3">
        <w:rPr>
          <w:rFonts w:cs="Noto Naskh Arabic"/>
          <w:i/>
          <w:iCs/>
          <w:rtl/>
          <w:lang w:bidi="ar"/>
        </w:rPr>
        <w:t>1.</w:t>
      </w:r>
      <w:r w:rsidRPr="008B3CE3">
        <w:rPr>
          <w:rFonts w:cs="Noto Naskh Arabic"/>
          <w:i/>
          <w:iCs/>
          <w:rtl/>
          <w:lang w:bidi="ar"/>
        </w:rPr>
        <w:tab/>
        <w:t>صفحة ويب وقاعدة بيانات مشتركة حول إجراءات الإبلاغ المبسطة (</w:t>
      </w:r>
      <w:r w:rsidRPr="008B3CE3">
        <w:rPr>
          <w:rFonts w:cs="Noto Naskh Arabic"/>
          <w:i/>
          <w:iCs/>
        </w:rPr>
        <w:t>SRP</w:t>
      </w:r>
      <w:r w:rsidR="0014321F" w:rsidRPr="008B3CE3">
        <w:rPr>
          <w:rFonts w:cs="Noto Naskh Arabic" w:hint="cs"/>
          <w:i/>
          <w:iCs/>
          <w:rtl/>
        </w:rPr>
        <w:t>)</w:t>
      </w:r>
      <w:r w:rsidR="0014321F" w:rsidRPr="008B3CE3">
        <w:rPr>
          <w:rFonts w:cs="Noto Naskh Arabic"/>
          <w:i/>
          <w:iCs/>
          <w:rtl/>
          <w:lang w:bidi="ar"/>
        </w:rPr>
        <w:t>؛</w:t>
      </w:r>
    </w:p>
    <w:p w14:paraId="76F4A4E6" w14:textId="7C293D22" w:rsidR="00BD452D" w:rsidRPr="008B3CE3" w:rsidRDefault="003A0E34" w:rsidP="003A0E34">
      <w:pPr>
        <w:pStyle w:val="Bullet1G"/>
        <w:numPr>
          <w:ilvl w:val="0"/>
          <w:numId w:val="0"/>
        </w:numPr>
        <w:bidi/>
        <w:ind w:left="1701"/>
        <w:rPr>
          <w:rFonts w:cs="Noto Naskh Arabic"/>
          <w:i/>
          <w:iCs/>
        </w:rPr>
      </w:pPr>
      <w:r w:rsidRPr="008B3CE3">
        <w:rPr>
          <w:rFonts w:cs="Noto Naskh Arabic"/>
          <w:i/>
          <w:iCs/>
          <w:rtl/>
          <w:lang w:bidi="ar"/>
        </w:rPr>
        <w:t>2.</w:t>
      </w:r>
      <w:r w:rsidRPr="008B3CE3">
        <w:rPr>
          <w:rFonts w:cs="Noto Naskh Arabic"/>
          <w:i/>
          <w:iCs/>
          <w:rtl/>
          <w:lang w:bidi="ar"/>
        </w:rPr>
        <w:tab/>
        <w:t>منصات مشتركة سهلة الاستخدام لإدارة التقديم وإدارة الوثائق، والتي تُتيح سهولة الوصول إلى الوثائق المتاحة للجمهور للجماهير الخارجية؛</w:t>
      </w:r>
    </w:p>
    <w:p w14:paraId="2266FB5A" w14:textId="551B3F88" w:rsidR="00BD452D" w:rsidRPr="002404E2" w:rsidRDefault="003A0E34" w:rsidP="003A0E34">
      <w:pPr>
        <w:pStyle w:val="Bullet1G"/>
        <w:numPr>
          <w:ilvl w:val="0"/>
          <w:numId w:val="0"/>
        </w:numPr>
        <w:bidi/>
        <w:ind w:left="1701"/>
        <w:rPr>
          <w:rFonts w:cs="Noto Naskh Arabic"/>
          <w:i/>
          <w:iCs/>
        </w:rPr>
      </w:pPr>
      <w:r w:rsidRPr="002404E2">
        <w:rPr>
          <w:rFonts w:cs="Noto Naskh Arabic"/>
          <w:i/>
          <w:iCs/>
          <w:rtl/>
          <w:lang w:bidi="ar"/>
        </w:rPr>
        <w:t>3.</w:t>
      </w:r>
      <w:r w:rsidRPr="002404E2">
        <w:rPr>
          <w:rFonts w:cs="Noto Naskh Arabic"/>
          <w:i/>
          <w:iCs/>
          <w:rtl/>
          <w:lang w:bidi="ar"/>
        </w:rPr>
        <w:tab/>
        <w:t>منصة صياغة تعاونية إلكترونية لأعضاء هيئات المعاهدات وموظفي الأمانة العامة؛</w:t>
      </w:r>
    </w:p>
    <w:p w14:paraId="63C55F78" w14:textId="15C15946" w:rsidR="00BD452D" w:rsidRPr="008B3CE3" w:rsidRDefault="00CB2285" w:rsidP="003A0E34">
      <w:pPr>
        <w:pStyle w:val="Bullet1G"/>
        <w:numPr>
          <w:ilvl w:val="0"/>
          <w:numId w:val="0"/>
        </w:numPr>
        <w:bidi/>
        <w:ind w:left="1701"/>
        <w:rPr>
          <w:rFonts w:cs="Noto Naskh Arabic"/>
          <w:i/>
          <w:iCs/>
        </w:rPr>
      </w:pPr>
      <w:r w:rsidRPr="008B3CE3">
        <w:rPr>
          <w:rFonts w:cs="Noto Naskh Arabic"/>
          <w:i/>
          <w:iCs/>
          <w:rtl/>
          <w:lang w:bidi="ar"/>
        </w:rPr>
        <w:lastRenderedPageBreak/>
        <w:t>4.</w:t>
      </w:r>
      <w:r w:rsidRPr="008B3CE3">
        <w:rPr>
          <w:rFonts w:cs="Noto Naskh Arabic"/>
          <w:i/>
          <w:iCs/>
          <w:rtl/>
          <w:lang w:bidi="ar"/>
        </w:rPr>
        <w:tab/>
        <w:t xml:space="preserve">الإنشاء الآلي لقائمة الوثائق المتعلقة بتطورات حقوق الإنسان والتقدم المحرز في الدول الأطراف؛ </w:t>
      </w:r>
    </w:p>
    <w:p w14:paraId="4C4A9356" w14:textId="05FB8EDE" w:rsidR="00CB2285" w:rsidRPr="008B3CE3" w:rsidRDefault="00CB2285" w:rsidP="003A0E34">
      <w:pPr>
        <w:pStyle w:val="Bullet1G"/>
        <w:numPr>
          <w:ilvl w:val="0"/>
          <w:numId w:val="0"/>
        </w:numPr>
        <w:bidi/>
        <w:ind w:left="1701"/>
        <w:rPr>
          <w:rFonts w:cs="Noto Naskh Arabic"/>
          <w:i/>
          <w:iCs/>
        </w:rPr>
      </w:pPr>
      <w:r w:rsidRPr="008B3CE3">
        <w:rPr>
          <w:rFonts w:cs="Noto Naskh Arabic"/>
          <w:i/>
          <w:iCs/>
          <w:rtl/>
          <w:lang w:bidi="ar"/>
        </w:rPr>
        <w:t>5.</w:t>
      </w:r>
      <w:r w:rsidRPr="008B3CE3">
        <w:rPr>
          <w:rFonts w:cs="Noto Naskh Arabic"/>
          <w:i/>
          <w:iCs/>
          <w:rtl/>
          <w:lang w:bidi="ar"/>
        </w:rPr>
        <w:tab/>
        <w:t xml:space="preserve">الأتمتة المُحسّنة لتطوير ومعالجة الوثائق القياسية المتعلقة بالجلسة. </w:t>
      </w:r>
    </w:p>
    <w:p w14:paraId="09D7B846" w14:textId="2765DD96" w:rsidR="00BD452D" w:rsidRPr="004C4598" w:rsidRDefault="00BD452D" w:rsidP="00AE13EA">
      <w:pPr>
        <w:pStyle w:val="SingleTxtG"/>
        <w:bidi/>
        <w:rPr>
          <w:rFonts w:cs="Noto Naskh Arabic"/>
          <w:i/>
          <w:iCs/>
        </w:rPr>
      </w:pPr>
      <w:r w:rsidRPr="004C4598">
        <w:rPr>
          <w:rFonts w:cs="Noto Naskh Arabic"/>
          <w:i/>
          <w:iCs/>
          <w:rtl/>
          <w:lang w:bidi="ar"/>
        </w:rPr>
        <w:t xml:space="preserve">فضلاً عن ذلك، تجري رقمنة أدوات بناء القدرات للدول وأصحاب المصلحة الآخرين من خلال برنامج بناء قدرات هيئات المعاهدات التابع للمفوضية السامية لحقوق الإنسان. </w:t>
      </w:r>
    </w:p>
    <w:p w14:paraId="33C51319" w14:textId="38CF974C" w:rsidR="00BD452D" w:rsidRPr="008B3CE3" w:rsidRDefault="00BD452D" w:rsidP="00BD452D">
      <w:pPr>
        <w:pStyle w:val="HChG"/>
        <w:bidi/>
        <w:rPr>
          <w:rFonts w:cs="Noto Naskh Arabic"/>
        </w:rPr>
      </w:pPr>
      <w:r w:rsidRPr="008B3CE3">
        <w:rPr>
          <w:rFonts w:cs="Noto Naskh Arabic"/>
          <w:b w:val="0"/>
        </w:rPr>
        <w:tab/>
      </w:r>
      <w:r w:rsidR="00F30DBA" w:rsidRPr="008B3CE3">
        <w:rPr>
          <w:rFonts w:cs="Noto Naskh Arabic"/>
          <w:bCs/>
          <w:sz w:val="20"/>
          <w:szCs w:val="14"/>
          <w:lang w:bidi="ar"/>
        </w:rPr>
        <w:t>VI</w:t>
      </w:r>
      <w:r w:rsidRPr="008B3CE3">
        <w:rPr>
          <w:rFonts w:cs="Noto Naskh Arabic"/>
          <w:bCs/>
          <w:rtl/>
          <w:lang w:bidi="ar"/>
        </w:rPr>
        <w:t>.</w:t>
      </w:r>
      <w:r w:rsidRPr="008B3CE3">
        <w:rPr>
          <w:rFonts w:cs="Noto Naskh Arabic"/>
          <w:bCs/>
          <w:rtl/>
          <w:lang w:bidi="ar"/>
        </w:rPr>
        <w:tab/>
        <w:t>الخطوات المستقبلية المقترحة</w:t>
      </w:r>
    </w:p>
    <w:p w14:paraId="359C1429" w14:textId="6AEA6226" w:rsidR="00BD452D" w:rsidRPr="008B3CE3" w:rsidRDefault="00BD452D" w:rsidP="0058629E">
      <w:pPr>
        <w:pStyle w:val="SingleTxtG"/>
        <w:bidi/>
        <w:rPr>
          <w:rFonts w:cs="Noto Naskh Arabic"/>
        </w:rPr>
      </w:pPr>
      <w:r w:rsidRPr="008B3CE3">
        <w:rPr>
          <w:rFonts w:cs="Noto Naskh Arabic"/>
          <w:rtl/>
          <w:lang w:bidi="ar"/>
        </w:rPr>
        <w:t xml:space="preserve">من بين الأسئلة المهمة التي يتعين على الدول الأعضاء مراعاتها هو متى "تتم العملية الجارية للنظر في حالة نظام هيئات معاهدات حقوق الإنسان" (قرار الجمعية العامة رقم </w:t>
      </w:r>
      <w:hyperlink r:id="rId27">
        <w:r w:rsidRPr="008B3CE3">
          <w:rPr>
            <w:rStyle w:val="Hyperlink"/>
            <w:rFonts w:cs="Noto Naskh Arabic"/>
            <w:color w:val="0000FF"/>
            <w:rtl/>
            <w:lang w:bidi="ar"/>
          </w:rPr>
          <w:t>77/210</w:t>
        </w:r>
      </w:hyperlink>
      <w:r w:rsidRPr="008B3CE3">
        <w:rPr>
          <w:rFonts w:cs="Noto Naskh Arabic"/>
          <w:rtl/>
          <w:lang w:bidi="ar"/>
        </w:rPr>
        <w:t xml:space="preserve">، </w:t>
      </w:r>
      <w:r w:rsidRPr="008B3CE3">
        <w:rPr>
          <w:rFonts w:cs="Noto Naskh Arabic"/>
        </w:rPr>
        <w:t>PP9</w:t>
      </w:r>
      <w:r w:rsidRPr="008B3CE3">
        <w:rPr>
          <w:rFonts w:cs="Noto Naskh Arabic"/>
          <w:rtl/>
          <w:lang w:bidi="ar"/>
        </w:rPr>
        <w:t xml:space="preserve">) سوف تكون جاهزة لقرارهم. لذلك، تُشير ورقة العمل هذه إلى أن قرار الجمعية العامة الذي يصدر كل سنتين بشأن نظام هيئات معاهدات حقوق الإنسان، والمقرر صدوره في ديسمبر 2024، هو التوقيت والوسيلة الأكثر منطقية لمثل هذا القرار. ولكي يحدث هذا، يتعين على الدول، ربما من خلال الجهات الراعية لقرار الجمعية العامة رقم </w:t>
      </w:r>
      <w:hyperlink r:id="rId28" w:history="1">
        <w:r w:rsidRPr="008B3CE3">
          <w:rPr>
            <w:rStyle w:val="Hyperlink"/>
            <w:rFonts w:cs="Noto Naskh Arabic"/>
            <w:color w:val="0000FF"/>
            <w:rtl/>
            <w:lang w:bidi="ar"/>
          </w:rPr>
          <w:t>77/210</w:t>
        </w:r>
      </w:hyperlink>
      <w:r w:rsidRPr="008B3CE3">
        <w:rPr>
          <w:rFonts w:cs="Noto Naskh Arabic"/>
          <w:color w:val="0000FF"/>
          <w:rtl/>
          <w:lang w:bidi="ar"/>
        </w:rPr>
        <w:t xml:space="preserve">، </w:t>
      </w:r>
      <w:r w:rsidRPr="008B3CE3">
        <w:rPr>
          <w:rFonts w:cs="Noto Naskh Arabic"/>
          <w:rtl/>
          <w:lang w:bidi="ar"/>
        </w:rPr>
        <w:t>البدء في التعامل بانتظام مع رؤساء الهيئات و</w:t>
      </w:r>
      <w:r w:rsidR="00186805" w:rsidRPr="008B3CE3">
        <w:rPr>
          <w:rFonts w:cs="Noto Naskh Arabic"/>
          <w:rtl/>
          <w:lang w:bidi="ar"/>
        </w:rPr>
        <w:t>مفوضِّية الأمم المتحدة السامية لحقوق الإنسان</w:t>
      </w:r>
      <w:r w:rsidRPr="008B3CE3">
        <w:rPr>
          <w:rFonts w:cs="Noto Naskh Arabic"/>
          <w:rtl/>
          <w:lang w:bidi="ar"/>
        </w:rPr>
        <w:t xml:space="preserve">. وتعتزم مفوضة الأمم المتحدة السامية لحقوق الإنسان بدء مثل هذه النقاشات المنظمة. </w:t>
      </w:r>
    </w:p>
    <w:p w14:paraId="3FBE43B5" w14:textId="24F5530E" w:rsidR="00BD452D" w:rsidRPr="004C4598" w:rsidRDefault="00331C1F" w:rsidP="00AE13EA">
      <w:pPr>
        <w:pStyle w:val="SingleTxtG"/>
        <w:bidi/>
        <w:rPr>
          <w:rFonts w:cs="Noto Naskh Arabic"/>
        </w:rPr>
      </w:pPr>
      <w:r w:rsidRPr="004C4598">
        <w:rPr>
          <w:rFonts w:cs="Noto Naskh Arabic"/>
        </w:rPr>
        <w:tab/>
      </w:r>
      <w:r w:rsidRPr="004C4598">
        <w:rPr>
          <w:rFonts w:cs="Noto Naskh Arabic"/>
          <w:rtl/>
          <w:lang w:bidi="ar"/>
        </w:rPr>
        <w:t>(أ)</w:t>
      </w:r>
      <w:r w:rsidRPr="004C4598">
        <w:rPr>
          <w:rFonts w:cs="Noto Naskh Arabic"/>
          <w:rtl/>
          <w:lang w:bidi="ar"/>
        </w:rPr>
        <w:tab/>
        <w:t xml:space="preserve">سيعمل المنسق الأعلى مع رؤساء هيئات المعاهدات خلال اجتماعهم السنوي الخامس والثلاثين (29 مايو - 2 يونيو) لبدء المناقشات حول ورقة العمل، بهدف الحصول على تعليقاتهم الملموسة وحول الخيارات والأسئلة التوجيهية المنصوص عليها فيه؛ </w:t>
      </w:r>
    </w:p>
    <w:p w14:paraId="0138564B" w14:textId="72800CA9" w:rsidR="00BD452D" w:rsidRPr="008B3CE3" w:rsidRDefault="00331C1F" w:rsidP="00AE13EA">
      <w:pPr>
        <w:pStyle w:val="SingleTxtG"/>
        <w:bidi/>
        <w:rPr>
          <w:rFonts w:cs="Noto Naskh Arabic"/>
        </w:rPr>
      </w:pPr>
      <w:r w:rsidRPr="008B3CE3">
        <w:rPr>
          <w:rFonts w:cs="Noto Naskh Arabic"/>
        </w:rPr>
        <w:tab/>
      </w:r>
      <w:r w:rsidRPr="008B3CE3">
        <w:rPr>
          <w:rFonts w:cs="Noto Naskh Arabic"/>
          <w:rtl/>
          <w:lang w:bidi="ar"/>
        </w:rPr>
        <w:t>(ب)</w:t>
      </w:r>
      <w:r w:rsidRPr="008B3CE3">
        <w:rPr>
          <w:rFonts w:cs="Noto Naskh Arabic"/>
          <w:rtl/>
          <w:lang w:bidi="ar"/>
        </w:rPr>
        <w:tab/>
        <w:t xml:space="preserve">سوف يطلب المفوض السامي مدخلات من جميع الدول الأعضاء بشأن ورقة العمل، بما في ذلك عن طريق دعوتهم إلى مشاورات غير رسمية، والتي على أساسها سيضع المكتب اللمسات الأخيرة على خطة التنفيذ. </w:t>
      </w:r>
    </w:p>
    <w:p w14:paraId="7E32CDAF" w14:textId="77E4A8B7" w:rsidR="00AE13EA" w:rsidRPr="008B3CE3" w:rsidRDefault="00BD452D" w:rsidP="00AE13EA">
      <w:pPr>
        <w:pStyle w:val="SingleTxtG"/>
        <w:bidi/>
        <w:rPr>
          <w:rFonts w:cs="Noto Naskh Arabic"/>
        </w:rPr>
      </w:pPr>
      <w:r w:rsidRPr="008B3CE3">
        <w:rPr>
          <w:rFonts w:cs="Noto Naskh Arabic"/>
          <w:rtl/>
          <w:lang w:bidi="ar"/>
        </w:rPr>
        <w:t>وتهدف ورقة العمل هذه إلى تنظيم هذه العمليات وتوجيهها.</w:t>
      </w:r>
    </w:p>
    <w:p w14:paraId="5991EC4D" w14:textId="33C56A62" w:rsidR="005B4B50" w:rsidRPr="00B27787" w:rsidRDefault="00ED6201" w:rsidP="00B27787">
      <w:pPr>
        <w:suppressAutoHyphens w:val="0"/>
        <w:bidi/>
        <w:spacing w:line="240" w:lineRule="auto"/>
        <w:rPr>
          <w:rFonts w:cs="Noto Naskh Arabic"/>
        </w:rPr>
      </w:pPr>
      <w:r w:rsidRPr="008B3CE3">
        <w:rPr>
          <w:rFonts w:cs="Noto Naskh Arabic"/>
          <w:sz w:val="21"/>
          <w:szCs w:val="21"/>
          <w:rtl/>
          <w:lang w:bidi="ar"/>
        </w:rPr>
        <w:t xml:space="preserve"> </w:t>
      </w:r>
    </w:p>
    <w:sectPr w:rsidR="005B4B50" w:rsidRPr="00B27787" w:rsidSect="00B27787">
      <w:headerReference w:type="even" r:id="rId29"/>
      <w:headerReference w:type="default" r:id="rId30"/>
      <w:footerReference w:type="even" r:id="rId31"/>
      <w:footerReference w:type="default" r:id="rId32"/>
      <w:footerReference w:type="first" r:id="rId33"/>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2F5B3" w14:textId="77777777" w:rsidR="00905C13" w:rsidRDefault="00905C13"/>
  </w:endnote>
  <w:endnote w:type="continuationSeparator" w:id="0">
    <w:p w14:paraId="7D0FAE06" w14:textId="77777777" w:rsidR="00905C13" w:rsidRDefault="00905C13"/>
  </w:endnote>
  <w:endnote w:type="continuationNotice" w:id="1">
    <w:p w14:paraId="1593330B" w14:textId="77777777" w:rsidR="00905C13" w:rsidRDefault="00905C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841E9FE-C438-4F2B-AAD7-C59C02BD8179}"/>
    <w:embedBold r:id="rId2" w:fontKey="{35AD2DEA-41E3-40BC-ACED-4D204AC808FE}"/>
  </w:font>
  <w:font w:name="Tahoma">
    <w:panose1 w:val="020B0604030504040204"/>
    <w:charset w:val="00"/>
    <w:family w:val="swiss"/>
    <w:pitch w:val="variable"/>
    <w:sig w:usb0="E1002EFF" w:usb1="C000605B" w:usb2="00000029" w:usb3="00000000" w:csb0="000101FF" w:csb1="00000000"/>
    <w:embedRegular r:id="rId3" w:fontKey="{296150EB-8632-4EEF-ADF9-0D414CD2B03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F42B378-FBC4-460D-A10A-CDD3BFC8805B}"/>
    <w:embedBold r:id="rId5" w:fontKey="{8B8430E2-2041-4727-B2F6-6B5F3F8CB10C}"/>
  </w:font>
  <w:font w:name="Cambria">
    <w:panose1 w:val="02040503050406030204"/>
    <w:charset w:val="00"/>
    <w:family w:val="roman"/>
    <w:pitch w:val="variable"/>
    <w:sig w:usb0="E00006FF" w:usb1="420024FF" w:usb2="02000000" w:usb3="00000000" w:csb0="0000019F" w:csb1="00000000"/>
    <w:embedRegular r:id="rId6" w:fontKey="{34334486-3F4E-4D94-B0ED-B90E050F8D1C}"/>
  </w:font>
  <w:font w:name="SimSun">
    <w:altName w:val="宋体"/>
    <w:panose1 w:val="02010600030101010101"/>
    <w:charset w:val="86"/>
    <w:family w:val="auto"/>
    <w:pitch w:val="variable"/>
    <w:sig w:usb0="00000203" w:usb1="288F0000" w:usb2="00000016" w:usb3="00000000" w:csb0="00040001" w:csb1="00000000"/>
  </w:font>
  <w:font w:name="Noto Naskh Arabic">
    <w:altName w:val="Arial"/>
    <w:charset w:val="B2"/>
    <w:family w:val="auto"/>
    <w:pitch w:val="variable"/>
    <w:sig w:usb0="80002003" w:usb1="80002000" w:usb2="00000008" w:usb3="00000000" w:csb0="00000040" w:csb1="00000000"/>
    <w:embedRegular r:id="rId7" w:fontKey="{956CD6CD-BA50-4590-AD5D-FD2B321BDDCB}"/>
    <w:embedBold r:id="rId8" w:fontKey="{E2B2993C-83A9-431A-AE29-615BF1E419E7}"/>
    <w:embedItalic r:id="rId9" w:fontKey="{37118425-0B4F-4643-82E0-55EFF9E2BA7D}"/>
    <w:embedBoldItalic r:id="rId10" w:fontKey="{68020AA7-2C9D-4940-9A56-A07EE71849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3F81" w14:textId="00D66A9C" w:rsidR="002404E2" w:rsidRPr="004A6286" w:rsidRDefault="002404E2" w:rsidP="004A6286">
    <w:pPr>
      <w:pStyle w:val="Footer"/>
      <w:tabs>
        <w:tab w:val="right" w:pos="9638"/>
      </w:tabs>
      <w:bidi/>
      <w:rPr>
        <w:sz w:val="18"/>
      </w:rPr>
    </w:pPr>
    <w:r>
      <w:rPr>
        <w:sz w:val="18"/>
      </w:rPr>
      <w:fldChar w:fldCharType="begin"/>
    </w:r>
    <w:r>
      <w:rPr>
        <w:sz w:val="18"/>
      </w:rPr>
      <w:instrText xml:space="preserve"> PAGE  \* MERGEFORMAT </w:instrText>
    </w:r>
    <w:r>
      <w:rPr>
        <w:sz w:val="18"/>
      </w:rPr>
      <w:fldChar w:fldCharType="separate"/>
    </w:r>
    <w:r w:rsidR="002A1C29" w:rsidRPr="002A1C29">
      <w:rPr>
        <w:b/>
        <w:bCs/>
        <w:noProof/>
        <w:sz w:val="18"/>
        <w:rtl/>
        <w:lang w:bidi="ar"/>
      </w:rPr>
      <w:t>18</w:t>
    </w:r>
    <w:r w:rsidR="002A1C29" w:rsidRPr="002A1C29">
      <w:rPr>
        <w:b/>
        <w:bCs/>
        <w:noProof/>
        <w:sz w:val="18"/>
        <w:rtl/>
        <w:lang w:bidi="ar"/>
      </w:rPr>
      <w:t>0</w:t>
    </w:r>
    <w:r>
      <w:rPr>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2E2A" w14:textId="45649203" w:rsidR="002404E2" w:rsidRPr="004A6286" w:rsidRDefault="002404E2" w:rsidP="00C20888">
    <w:pPr>
      <w:rPr>
        <w:b/>
      </w:rPr>
    </w:pPr>
    <w:r>
      <w:fldChar w:fldCharType="begin"/>
    </w:r>
    <w:r>
      <w:instrText xml:space="preserve"> PAGE  \* MERGEFORMAT </w:instrText>
    </w:r>
    <w:r>
      <w:fldChar w:fldCharType="separate"/>
    </w:r>
    <w:r w:rsidR="002A1C29" w:rsidRPr="002A1C29">
      <w:rPr>
        <w:b/>
        <w:bCs/>
        <w:noProof/>
        <w:lang w:bidi="ar"/>
      </w:rPr>
      <w:t>181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88F9" w14:textId="7FEE9170" w:rsidR="002404E2" w:rsidRPr="004A6286" w:rsidRDefault="002404E2">
    <w:pPr>
      <w:bidi/>
    </w:pPr>
    <w:r>
      <w:rPr>
        <w:noProof/>
        <w:lang w:val="en-US"/>
      </w:rPr>
      <w:drawing>
        <wp:anchor distT="0" distB="0" distL="114300" distR="114300" simplePos="0" relativeHeight="251660288" behindDoc="0" locked="1" layoutInCell="1" allowOverlap="1" wp14:anchorId="141CFF7F" wp14:editId="5BD40DD3">
          <wp:simplePos x="0" y="0"/>
          <wp:positionH relativeFrom="margin">
            <wp:posOffset>5080</wp:posOffset>
          </wp:positionH>
          <wp:positionV relativeFrom="margin">
            <wp:posOffset>9290050</wp:posOffset>
          </wp:positionV>
          <wp:extent cx="933450" cy="228600"/>
          <wp:effectExtent l="0" t="0" r="0"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A9D43" w14:textId="77777777" w:rsidR="00905C13" w:rsidRPr="000B175B" w:rsidRDefault="00905C13" w:rsidP="003F7593">
      <w:pPr>
        <w:tabs>
          <w:tab w:val="right" w:pos="2155"/>
        </w:tabs>
        <w:bidi/>
        <w:spacing w:after="80"/>
        <w:ind w:left="680"/>
        <w:rPr>
          <w:u w:val="single"/>
        </w:rPr>
      </w:pPr>
      <w:r>
        <w:rPr>
          <w:u w:val="single"/>
        </w:rPr>
        <w:tab/>
      </w:r>
    </w:p>
  </w:footnote>
  <w:footnote w:type="continuationSeparator" w:id="0">
    <w:p w14:paraId="7C1D47D4" w14:textId="77777777" w:rsidR="00905C13" w:rsidRPr="00FC68B7" w:rsidRDefault="00905C13" w:rsidP="003F7593">
      <w:pPr>
        <w:tabs>
          <w:tab w:val="left" w:pos="2155"/>
        </w:tabs>
        <w:bidi/>
        <w:spacing w:after="80"/>
        <w:ind w:left="680"/>
        <w:rPr>
          <w:u w:val="single"/>
        </w:rPr>
      </w:pPr>
      <w:r>
        <w:rPr>
          <w:u w:val="single"/>
        </w:rPr>
        <w:tab/>
      </w:r>
    </w:p>
  </w:footnote>
  <w:footnote w:type="continuationNotice" w:id="1">
    <w:p w14:paraId="2566AF7A" w14:textId="77777777" w:rsidR="00905C13" w:rsidRDefault="00905C13" w:rsidP="003F7593">
      <w:pPr>
        <w:bid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C1D37" w14:textId="749435B1" w:rsidR="002404E2" w:rsidRDefault="002404E2">
    <w:pPr>
      <w:pStyle w:val="Header"/>
      <w:bidi/>
    </w:pPr>
    <w:r>
      <w:fldChar w:fldCharType="begin"/>
    </w:r>
    <w:r>
      <w:instrText xml:space="preserve"> TITLE  \* MERGEFORMAT </w:instrText>
    </w:r>
    <w:r>
      <w:rPr>
        <w:bCs/>
      </w:rPr>
      <w:fldChar w:fldCharType="end"/>
    </w:r>
  </w:p>
  <w:p w14:paraId="6DEF04CF" w14:textId="77777777" w:rsidR="002404E2" w:rsidRPr="004A6286" w:rsidRDefault="002404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195D4" w14:textId="53AADF5F" w:rsidR="002404E2" w:rsidRPr="004A6286" w:rsidRDefault="002404E2" w:rsidP="004A6286">
    <w:pPr>
      <w:pStyle w:val="Header"/>
      <w:bidi/>
      <w:jc w:val="right"/>
    </w:pPr>
    <w:r>
      <w:fldChar w:fldCharType="begin"/>
    </w:r>
    <w:r>
      <w:instrText xml:space="preserve"> TITLE  \* MERGEFORMAT </w:instrText>
    </w:r>
    <w:r>
      <w:rPr>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3BA1"/>
    <w:multiLevelType w:val="multilevel"/>
    <w:tmpl w:val="A6E6400A"/>
    <w:lvl w:ilvl="0">
      <w:start w:val="2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 w15:restartNumberingAfterBreak="0">
    <w:nsid w:val="00612A34"/>
    <w:multiLevelType w:val="hybridMultilevel"/>
    <w:tmpl w:val="987E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BF49D7"/>
    <w:multiLevelType w:val="hybridMultilevel"/>
    <w:tmpl w:val="106A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46157"/>
    <w:multiLevelType w:val="hybridMultilevel"/>
    <w:tmpl w:val="204C733E"/>
    <w:lvl w:ilvl="0" w:tplc="D19603F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3F193D"/>
    <w:multiLevelType w:val="multilevel"/>
    <w:tmpl w:val="D51C0966"/>
    <w:lvl w:ilvl="0">
      <w:start w:val="14"/>
      <w:numFmt w:val="decimal"/>
      <w:lvlText w:val="%1"/>
      <w:lvlJc w:val="left"/>
      <w:pPr>
        <w:ind w:left="360" w:hanging="360"/>
      </w:pPr>
      <w:rPr>
        <w:rFonts w:hint="default"/>
      </w:rPr>
    </w:lvl>
    <w:lvl w:ilvl="1">
      <w:start w:val="1"/>
      <w:numFmt w:val="decimal"/>
      <w:lvlText w:val="%1.%2"/>
      <w:lvlJc w:val="left"/>
      <w:pPr>
        <w:ind w:left="2421" w:hanging="360"/>
      </w:pPr>
      <w:rPr>
        <w:rFonts w:hint="default"/>
      </w:rPr>
    </w:lvl>
    <w:lvl w:ilvl="2">
      <w:start w:val="1"/>
      <w:numFmt w:val="decimal"/>
      <w:lvlText w:val="%1.%2.%3"/>
      <w:lvlJc w:val="left"/>
      <w:pPr>
        <w:ind w:left="4842" w:hanging="720"/>
      </w:pPr>
      <w:rPr>
        <w:rFonts w:hint="default"/>
      </w:rPr>
    </w:lvl>
    <w:lvl w:ilvl="3">
      <w:start w:val="1"/>
      <w:numFmt w:val="decimal"/>
      <w:lvlText w:val="%1.%2.%3.%4"/>
      <w:lvlJc w:val="left"/>
      <w:pPr>
        <w:ind w:left="6903" w:hanging="720"/>
      </w:pPr>
      <w:rPr>
        <w:rFonts w:hint="default"/>
      </w:rPr>
    </w:lvl>
    <w:lvl w:ilvl="4">
      <w:start w:val="1"/>
      <w:numFmt w:val="decimal"/>
      <w:lvlText w:val="%1.%2.%3.%4.%5"/>
      <w:lvlJc w:val="left"/>
      <w:pPr>
        <w:ind w:left="8964" w:hanging="720"/>
      </w:pPr>
      <w:rPr>
        <w:rFonts w:hint="default"/>
      </w:rPr>
    </w:lvl>
    <w:lvl w:ilvl="5">
      <w:start w:val="1"/>
      <w:numFmt w:val="decimal"/>
      <w:lvlText w:val="%1.%2.%3.%4.%5.%6"/>
      <w:lvlJc w:val="left"/>
      <w:pPr>
        <w:ind w:left="11385" w:hanging="1080"/>
      </w:pPr>
      <w:rPr>
        <w:rFonts w:hint="default"/>
      </w:rPr>
    </w:lvl>
    <w:lvl w:ilvl="6">
      <w:start w:val="1"/>
      <w:numFmt w:val="decimal"/>
      <w:lvlText w:val="%1.%2.%3.%4.%5.%6.%7"/>
      <w:lvlJc w:val="left"/>
      <w:pPr>
        <w:ind w:left="13446" w:hanging="1080"/>
      </w:pPr>
      <w:rPr>
        <w:rFonts w:hint="default"/>
      </w:rPr>
    </w:lvl>
    <w:lvl w:ilvl="7">
      <w:start w:val="1"/>
      <w:numFmt w:val="decimal"/>
      <w:lvlText w:val="%1.%2.%3.%4.%5.%6.%7.%8"/>
      <w:lvlJc w:val="left"/>
      <w:pPr>
        <w:ind w:left="15867" w:hanging="1440"/>
      </w:pPr>
      <w:rPr>
        <w:rFonts w:hint="default"/>
      </w:rPr>
    </w:lvl>
    <w:lvl w:ilvl="8">
      <w:start w:val="1"/>
      <w:numFmt w:val="decimal"/>
      <w:lvlText w:val="%1.%2.%3.%4.%5.%6.%7.%8.%9"/>
      <w:lvlJc w:val="left"/>
      <w:pPr>
        <w:ind w:left="17928" w:hanging="1440"/>
      </w:pPr>
      <w:rPr>
        <w:rFonts w:hint="default"/>
      </w:rPr>
    </w:lvl>
  </w:abstractNum>
  <w:abstractNum w:abstractNumId="6" w15:restartNumberingAfterBreak="0">
    <w:nsid w:val="058B62A3"/>
    <w:multiLevelType w:val="hybridMultilevel"/>
    <w:tmpl w:val="911C7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EF7B27"/>
    <w:multiLevelType w:val="hybridMultilevel"/>
    <w:tmpl w:val="621671D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A162869"/>
    <w:multiLevelType w:val="multilevel"/>
    <w:tmpl w:val="143CB65E"/>
    <w:lvl w:ilvl="0">
      <w:start w:val="2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11C8622A"/>
    <w:multiLevelType w:val="hybridMultilevel"/>
    <w:tmpl w:val="DE32CF3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3B73C0"/>
    <w:multiLevelType w:val="hybridMultilevel"/>
    <w:tmpl w:val="BEEE5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97468"/>
    <w:multiLevelType w:val="multilevel"/>
    <w:tmpl w:val="1E42457E"/>
    <w:lvl w:ilvl="0">
      <w:start w:val="24"/>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720" w:hanging="72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080" w:hanging="108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3" w15:restartNumberingAfterBreak="0">
    <w:nsid w:val="154C39DB"/>
    <w:multiLevelType w:val="hybridMultilevel"/>
    <w:tmpl w:val="8EF4A0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2D0614"/>
    <w:multiLevelType w:val="multilevel"/>
    <w:tmpl w:val="9FB2F4FC"/>
    <w:lvl w:ilvl="0">
      <w:start w:val="21"/>
      <w:numFmt w:val="decimal"/>
      <w:lvlText w:val="%1."/>
      <w:lvlJc w:val="left"/>
      <w:pPr>
        <w:ind w:left="400" w:hanging="400"/>
      </w:pPr>
      <w:rPr>
        <w:rFonts w:hint="default"/>
      </w:rPr>
    </w:lvl>
    <w:lvl w:ilvl="1">
      <w:start w:val="1"/>
      <w:numFmt w:val="decimal"/>
      <w:lvlText w:val="%1.%2."/>
      <w:lvlJc w:val="left"/>
      <w:pPr>
        <w:ind w:left="1534" w:hanging="40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5" w15:restartNumberingAfterBreak="0">
    <w:nsid w:val="1EBB3539"/>
    <w:multiLevelType w:val="multilevel"/>
    <w:tmpl w:val="30F6981E"/>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63622FA"/>
    <w:multiLevelType w:val="hybridMultilevel"/>
    <w:tmpl w:val="11680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CD40D7"/>
    <w:multiLevelType w:val="hybridMultilevel"/>
    <w:tmpl w:val="538CB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7946D6"/>
    <w:multiLevelType w:val="hybridMultilevel"/>
    <w:tmpl w:val="A86A6B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A6B77E8"/>
    <w:multiLevelType w:val="hybridMultilevel"/>
    <w:tmpl w:val="B554C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657E87"/>
    <w:multiLevelType w:val="hybridMultilevel"/>
    <w:tmpl w:val="7C4001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E0D7562"/>
    <w:multiLevelType w:val="hybridMultilevel"/>
    <w:tmpl w:val="A2647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0D7537"/>
    <w:multiLevelType w:val="multilevel"/>
    <w:tmpl w:val="2ACEAB44"/>
    <w:lvl w:ilvl="0">
      <w:start w:val="14"/>
      <w:numFmt w:val="decimal"/>
      <w:lvlText w:val="%1"/>
      <w:lvlJc w:val="left"/>
      <w:pPr>
        <w:ind w:left="360" w:hanging="360"/>
      </w:pPr>
      <w:rPr>
        <w:rFonts w:hint="default"/>
      </w:rPr>
    </w:lvl>
    <w:lvl w:ilvl="1">
      <w:start w:val="1"/>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9792" w:hanging="72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4688" w:hanging="108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584" w:hanging="1440"/>
      </w:pPr>
      <w:rPr>
        <w:rFonts w:hint="default"/>
      </w:rPr>
    </w:lvl>
  </w:abstractNum>
  <w:abstractNum w:abstractNumId="23" w15:restartNumberingAfterBreak="0">
    <w:nsid w:val="32390100"/>
    <w:multiLevelType w:val="multilevel"/>
    <w:tmpl w:val="15AA5A22"/>
    <w:lvl w:ilvl="0">
      <w:start w:val="20"/>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720" w:hanging="72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080" w:hanging="108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4" w15:restartNumberingAfterBreak="0">
    <w:nsid w:val="335205B1"/>
    <w:multiLevelType w:val="multilevel"/>
    <w:tmpl w:val="0B12F9E0"/>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3FB5838"/>
    <w:multiLevelType w:val="hybridMultilevel"/>
    <w:tmpl w:val="5140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9C02AE"/>
    <w:multiLevelType w:val="multilevel"/>
    <w:tmpl w:val="E83AC0BC"/>
    <w:lvl w:ilvl="0">
      <w:start w:val="1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524" w:hanging="72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286" w:hanging="108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048" w:hanging="1440"/>
      </w:pPr>
      <w:rPr>
        <w:rFonts w:hint="default"/>
      </w:rPr>
    </w:lvl>
  </w:abstractNum>
  <w:abstractNum w:abstractNumId="27" w15:restartNumberingAfterBreak="0">
    <w:nsid w:val="36C863C0"/>
    <w:multiLevelType w:val="multilevel"/>
    <w:tmpl w:val="F7CE30CC"/>
    <w:lvl w:ilvl="0">
      <w:start w:val="18"/>
      <w:numFmt w:val="decimal"/>
      <w:lvlText w:val="%1"/>
      <w:lvlJc w:val="left"/>
      <w:pPr>
        <w:ind w:left="360" w:hanging="360"/>
      </w:pPr>
      <w:rPr>
        <w:rFonts w:eastAsia="Calibri" w:hint="default"/>
      </w:rPr>
    </w:lvl>
    <w:lvl w:ilvl="1">
      <w:start w:val="1"/>
      <w:numFmt w:val="decimal"/>
      <w:lvlText w:val="%1.%2"/>
      <w:lvlJc w:val="left"/>
      <w:pPr>
        <w:ind w:left="2061" w:hanging="360"/>
      </w:pPr>
      <w:rPr>
        <w:rFonts w:eastAsia="Calibri" w:hint="default"/>
      </w:rPr>
    </w:lvl>
    <w:lvl w:ilvl="2">
      <w:start w:val="1"/>
      <w:numFmt w:val="decimal"/>
      <w:lvlText w:val="%1.%2.%3"/>
      <w:lvlJc w:val="left"/>
      <w:pPr>
        <w:ind w:left="4122" w:hanging="720"/>
      </w:pPr>
      <w:rPr>
        <w:rFonts w:eastAsia="Calibri" w:hint="default"/>
      </w:rPr>
    </w:lvl>
    <w:lvl w:ilvl="3">
      <w:start w:val="1"/>
      <w:numFmt w:val="decimal"/>
      <w:lvlText w:val="%1.%2.%3.%4"/>
      <w:lvlJc w:val="left"/>
      <w:pPr>
        <w:ind w:left="5823" w:hanging="720"/>
      </w:pPr>
      <w:rPr>
        <w:rFonts w:eastAsia="Calibri" w:hint="default"/>
      </w:rPr>
    </w:lvl>
    <w:lvl w:ilvl="4">
      <w:start w:val="1"/>
      <w:numFmt w:val="decimal"/>
      <w:lvlText w:val="%1.%2.%3.%4.%5"/>
      <w:lvlJc w:val="left"/>
      <w:pPr>
        <w:ind w:left="7524" w:hanging="720"/>
      </w:pPr>
      <w:rPr>
        <w:rFonts w:eastAsia="Calibri" w:hint="default"/>
      </w:rPr>
    </w:lvl>
    <w:lvl w:ilvl="5">
      <w:start w:val="1"/>
      <w:numFmt w:val="decimal"/>
      <w:lvlText w:val="%1.%2.%3.%4.%5.%6"/>
      <w:lvlJc w:val="left"/>
      <w:pPr>
        <w:ind w:left="9585" w:hanging="1080"/>
      </w:pPr>
      <w:rPr>
        <w:rFonts w:eastAsia="Calibri" w:hint="default"/>
      </w:rPr>
    </w:lvl>
    <w:lvl w:ilvl="6">
      <w:start w:val="1"/>
      <w:numFmt w:val="decimal"/>
      <w:lvlText w:val="%1.%2.%3.%4.%5.%6.%7"/>
      <w:lvlJc w:val="left"/>
      <w:pPr>
        <w:ind w:left="11286" w:hanging="1080"/>
      </w:pPr>
      <w:rPr>
        <w:rFonts w:eastAsia="Calibri" w:hint="default"/>
      </w:rPr>
    </w:lvl>
    <w:lvl w:ilvl="7">
      <w:start w:val="1"/>
      <w:numFmt w:val="decimal"/>
      <w:lvlText w:val="%1.%2.%3.%4.%5.%6.%7.%8"/>
      <w:lvlJc w:val="left"/>
      <w:pPr>
        <w:ind w:left="13347" w:hanging="1440"/>
      </w:pPr>
      <w:rPr>
        <w:rFonts w:eastAsia="Calibri" w:hint="default"/>
      </w:rPr>
    </w:lvl>
    <w:lvl w:ilvl="8">
      <w:start w:val="1"/>
      <w:numFmt w:val="decimal"/>
      <w:lvlText w:val="%1.%2.%3.%4.%5.%6.%7.%8.%9"/>
      <w:lvlJc w:val="left"/>
      <w:pPr>
        <w:ind w:left="15048" w:hanging="1440"/>
      </w:pPr>
      <w:rPr>
        <w:rFonts w:eastAsia="Calibri" w:hint="default"/>
      </w:rPr>
    </w:lvl>
  </w:abstractNum>
  <w:abstractNum w:abstractNumId="28" w15:restartNumberingAfterBreak="0">
    <w:nsid w:val="37754257"/>
    <w:multiLevelType w:val="multilevel"/>
    <w:tmpl w:val="9E8AA6DE"/>
    <w:lvl w:ilvl="0">
      <w:start w:val="25"/>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720" w:hanging="72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080" w:hanging="108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9" w15:restartNumberingAfterBreak="0">
    <w:nsid w:val="3D5D5188"/>
    <w:multiLevelType w:val="hybridMultilevel"/>
    <w:tmpl w:val="F454EF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F4A3BCC"/>
    <w:multiLevelType w:val="hybridMultilevel"/>
    <w:tmpl w:val="5C3E1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B956F7"/>
    <w:multiLevelType w:val="multilevel"/>
    <w:tmpl w:val="105E5642"/>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2FD3103"/>
    <w:multiLevelType w:val="multilevel"/>
    <w:tmpl w:val="ED986810"/>
    <w:lvl w:ilvl="0">
      <w:start w:val="29"/>
      <w:numFmt w:val="decimal"/>
      <w:lvlText w:val="%1."/>
      <w:lvlJc w:val="left"/>
      <w:pPr>
        <w:ind w:left="400" w:hanging="400"/>
      </w:pPr>
      <w:rPr>
        <w:rFonts w:hint="default"/>
      </w:rPr>
    </w:lvl>
    <w:lvl w:ilvl="1">
      <w:start w:val="8"/>
      <w:numFmt w:val="decimal"/>
      <w:lvlText w:val="%1.%2."/>
      <w:lvlJc w:val="left"/>
      <w:pPr>
        <w:ind w:left="760" w:hanging="4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3E034D4"/>
    <w:multiLevelType w:val="hybridMultilevel"/>
    <w:tmpl w:val="CEE84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5D175B"/>
    <w:multiLevelType w:val="hybridMultilevel"/>
    <w:tmpl w:val="691A7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891319"/>
    <w:multiLevelType w:val="multilevel"/>
    <w:tmpl w:val="BC0CCC3E"/>
    <w:lvl w:ilvl="0">
      <w:start w:val="23"/>
      <w:numFmt w:val="decimal"/>
      <w:lvlText w:val="%1"/>
      <w:lvlJc w:val="left"/>
      <w:pPr>
        <w:ind w:left="360" w:hanging="360"/>
      </w:pPr>
      <w:rPr>
        <w:rFonts w:eastAsia="Calibri" w:hint="default"/>
        <w:b/>
      </w:rPr>
    </w:lvl>
    <w:lvl w:ilvl="1">
      <w:start w:val="1"/>
      <w:numFmt w:val="decimal"/>
      <w:lvlText w:val="%1.%2"/>
      <w:lvlJc w:val="left"/>
      <w:pPr>
        <w:ind w:left="720" w:hanging="360"/>
      </w:pPr>
      <w:rPr>
        <w:rFonts w:eastAsia="Calibri" w:hint="default"/>
        <w:b/>
      </w:rPr>
    </w:lvl>
    <w:lvl w:ilvl="2">
      <w:start w:val="1"/>
      <w:numFmt w:val="decimal"/>
      <w:lvlText w:val="%1.%2.%3"/>
      <w:lvlJc w:val="left"/>
      <w:pPr>
        <w:ind w:left="1440" w:hanging="720"/>
      </w:pPr>
      <w:rPr>
        <w:rFonts w:eastAsia="Calibri" w:hint="default"/>
        <w:b/>
      </w:rPr>
    </w:lvl>
    <w:lvl w:ilvl="3">
      <w:start w:val="1"/>
      <w:numFmt w:val="decimal"/>
      <w:lvlText w:val="%1.%2.%3.%4"/>
      <w:lvlJc w:val="left"/>
      <w:pPr>
        <w:ind w:left="1800" w:hanging="720"/>
      </w:pPr>
      <w:rPr>
        <w:rFonts w:eastAsia="Calibri" w:hint="default"/>
        <w:b/>
      </w:rPr>
    </w:lvl>
    <w:lvl w:ilvl="4">
      <w:start w:val="1"/>
      <w:numFmt w:val="decimal"/>
      <w:lvlText w:val="%1.%2.%3.%4.%5"/>
      <w:lvlJc w:val="left"/>
      <w:pPr>
        <w:ind w:left="2160" w:hanging="720"/>
      </w:pPr>
      <w:rPr>
        <w:rFonts w:eastAsia="Calibri" w:hint="default"/>
        <w:b/>
      </w:rPr>
    </w:lvl>
    <w:lvl w:ilvl="5">
      <w:start w:val="1"/>
      <w:numFmt w:val="decimal"/>
      <w:lvlText w:val="%1.%2.%3.%4.%5.%6"/>
      <w:lvlJc w:val="left"/>
      <w:pPr>
        <w:ind w:left="2880" w:hanging="1080"/>
      </w:pPr>
      <w:rPr>
        <w:rFonts w:eastAsia="Calibri" w:hint="default"/>
        <w:b/>
      </w:rPr>
    </w:lvl>
    <w:lvl w:ilvl="6">
      <w:start w:val="1"/>
      <w:numFmt w:val="decimal"/>
      <w:lvlText w:val="%1.%2.%3.%4.%5.%6.%7"/>
      <w:lvlJc w:val="left"/>
      <w:pPr>
        <w:ind w:left="3240" w:hanging="1080"/>
      </w:pPr>
      <w:rPr>
        <w:rFonts w:eastAsia="Calibri" w:hint="default"/>
        <w:b/>
      </w:rPr>
    </w:lvl>
    <w:lvl w:ilvl="7">
      <w:start w:val="1"/>
      <w:numFmt w:val="decimal"/>
      <w:lvlText w:val="%1.%2.%3.%4.%5.%6.%7.%8"/>
      <w:lvlJc w:val="left"/>
      <w:pPr>
        <w:ind w:left="3960" w:hanging="1440"/>
      </w:pPr>
      <w:rPr>
        <w:rFonts w:eastAsia="Calibri" w:hint="default"/>
        <w:b/>
      </w:rPr>
    </w:lvl>
    <w:lvl w:ilvl="8">
      <w:start w:val="1"/>
      <w:numFmt w:val="decimal"/>
      <w:lvlText w:val="%1.%2.%3.%4.%5.%6.%7.%8.%9"/>
      <w:lvlJc w:val="left"/>
      <w:pPr>
        <w:ind w:left="4320" w:hanging="1440"/>
      </w:pPr>
      <w:rPr>
        <w:rFonts w:eastAsia="Calibri" w:hint="default"/>
        <w:b/>
      </w:rPr>
    </w:lvl>
  </w:abstractNum>
  <w:abstractNum w:abstractNumId="36" w15:restartNumberingAfterBreak="0">
    <w:nsid w:val="499115B2"/>
    <w:multiLevelType w:val="hybridMultilevel"/>
    <w:tmpl w:val="01486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150C0E"/>
    <w:multiLevelType w:val="hybridMultilevel"/>
    <w:tmpl w:val="99C0EF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D63065D"/>
    <w:multiLevelType w:val="hybridMultilevel"/>
    <w:tmpl w:val="9E6CF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AC3354"/>
    <w:multiLevelType w:val="hybridMultilevel"/>
    <w:tmpl w:val="CD8E6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9552B5"/>
    <w:multiLevelType w:val="multilevel"/>
    <w:tmpl w:val="5CCA4666"/>
    <w:lvl w:ilvl="0">
      <w:start w:val="21"/>
      <w:numFmt w:val="decimal"/>
      <w:lvlText w:val="%1"/>
      <w:lvlJc w:val="left"/>
      <w:pPr>
        <w:ind w:left="360" w:hanging="360"/>
      </w:pPr>
      <w:rPr>
        <w:rFonts w:eastAsia="Calibri" w:hint="default"/>
        <w:b w:val="0"/>
      </w:rPr>
    </w:lvl>
    <w:lvl w:ilvl="1">
      <w:start w:val="1"/>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720" w:hanging="72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080" w:hanging="108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440" w:hanging="1440"/>
      </w:pPr>
      <w:rPr>
        <w:rFonts w:eastAsia="Calibri" w:hint="default"/>
        <w:b w:val="0"/>
      </w:rPr>
    </w:lvl>
  </w:abstractNum>
  <w:abstractNum w:abstractNumId="41" w15:restartNumberingAfterBreak="0">
    <w:nsid w:val="58FF0236"/>
    <w:multiLevelType w:val="multilevel"/>
    <w:tmpl w:val="0C2062F2"/>
    <w:lvl w:ilvl="0">
      <w:start w:val="2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2" w15:restartNumberingAfterBreak="0">
    <w:nsid w:val="59C82474"/>
    <w:multiLevelType w:val="multilevel"/>
    <w:tmpl w:val="7660A6EC"/>
    <w:lvl w:ilvl="0">
      <w:start w:val="19"/>
      <w:numFmt w:val="decimal"/>
      <w:lvlText w:val="%1"/>
      <w:lvlJc w:val="left"/>
      <w:pPr>
        <w:ind w:left="360" w:hanging="360"/>
      </w:pPr>
      <w:rPr>
        <w:rFonts w:eastAsia="Calibri" w:hint="default"/>
      </w:rPr>
    </w:lvl>
    <w:lvl w:ilvl="1">
      <w:start w:val="1"/>
      <w:numFmt w:val="decimal"/>
      <w:lvlText w:val="%1.%2"/>
      <w:lvlJc w:val="left"/>
      <w:pPr>
        <w:ind w:left="1494" w:hanging="360"/>
      </w:pPr>
      <w:rPr>
        <w:rFonts w:eastAsia="Calibri" w:hint="default"/>
      </w:rPr>
    </w:lvl>
    <w:lvl w:ilvl="2">
      <w:start w:val="1"/>
      <w:numFmt w:val="decimal"/>
      <w:lvlText w:val="%1.%2.%3"/>
      <w:lvlJc w:val="left"/>
      <w:pPr>
        <w:ind w:left="2988" w:hanging="720"/>
      </w:pPr>
      <w:rPr>
        <w:rFonts w:eastAsia="Calibri" w:hint="default"/>
      </w:rPr>
    </w:lvl>
    <w:lvl w:ilvl="3">
      <w:start w:val="1"/>
      <w:numFmt w:val="decimal"/>
      <w:lvlText w:val="%1.%2.%3.%4"/>
      <w:lvlJc w:val="left"/>
      <w:pPr>
        <w:ind w:left="4122" w:hanging="720"/>
      </w:pPr>
      <w:rPr>
        <w:rFonts w:eastAsia="Calibri" w:hint="default"/>
      </w:rPr>
    </w:lvl>
    <w:lvl w:ilvl="4">
      <w:start w:val="1"/>
      <w:numFmt w:val="decimal"/>
      <w:lvlText w:val="%1.%2.%3.%4.%5"/>
      <w:lvlJc w:val="left"/>
      <w:pPr>
        <w:ind w:left="5256" w:hanging="720"/>
      </w:pPr>
      <w:rPr>
        <w:rFonts w:eastAsia="Calibri" w:hint="default"/>
      </w:rPr>
    </w:lvl>
    <w:lvl w:ilvl="5">
      <w:start w:val="1"/>
      <w:numFmt w:val="decimal"/>
      <w:lvlText w:val="%1.%2.%3.%4.%5.%6"/>
      <w:lvlJc w:val="left"/>
      <w:pPr>
        <w:ind w:left="6750" w:hanging="1080"/>
      </w:pPr>
      <w:rPr>
        <w:rFonts w:eastAsia="Calibri" w:hint="default"/>
      </w:rPr>
    </w:lvl>
    <w:lvl w:ilvl="6">
      <w:start w:val="1"/>
      <w:numFmt w:val="decimal"/>
      <w:lvlText w:val="%1.%2.%3.%4.%5.%6.%7"/>
      <w:lvlJc w:val="left"/>
      <w:pPr>
        <w:ind w:left="7884" w:hanging="1080"/>
      </w:pPr>
      <w:rPr>
        <w:rFonts w:eastAsia="Calibri" w:hint="default"/>
      </w:rPr>
    </w:lvl>
    <w:lvl w:ilvl="7">
      <w:start w:val="1"/>
      <w:numFmt w:val="decimal"/>
      <w:lvlText w:val="%1.%2.%3.%4.%5.%6.%7.%8"/>
      <w:lvlJc w:val="left"/>
      <w:pPr>
        <w:ind w:left="9378" w:hanging="1440"/>
      </w:pPr>
      <w:rPr>
        <w:rFonts w:eastAsia="Calibri" w:hint="default"/>
      </w:rPr>
    </w:lvl>
    <w:lvl w:ilvl="8">
      <w:start w:val="1"/>
      <w:numFmt w:val="decimal"/>
      <w:lvlText w:val="%1.%2.%3.%4.%5.%6.%7.%8.%9"/>
      <w:lvlJc w:val="left"/>
      <w:pPr>
        <w:ind w:left="10512" w:hanging="1440"/>
      </w:pPr>
      <w:rPr>
        <w:rFonts w:eastAsia="Calibri" w:hint="default"/>
      </w:rPr>
    </w:lvl>
  </w:abstractNum>
  <w:abstractNum w:abstractNumId="43" w15:restartNumberingAfterBreak="0">
    <w:nsid w:val="5B953719"/>
    <w:multiLevelType w:val="hybridMultilevel"/>
    <w:tmpl w:val="118A4F84"/>
    <w:lvl w:ilvl="0" w:tplc="08090003">
      <w:start w:val="1"/>
      <w:numFmt w:val="bullet"/>
      <w:lvlText w:val="o"/>
      <w:lvlJc w:val="left"/>
      <w:pPr>
        <w:ind w:left="998" w:hanging="360"/>
      </w:pPr>
      <w:rPr>
        <w:rFonts w:ascii="Courier New" w:hAnsi="Courier New" w:cs="Courier New" w:hint="default"/>
      </w:rPr>
    </w:lvl>
    <w:lvl w:ilvl="1" w:tplc="08090003" w:tentative="1">
      <w:start w:val="1"/>
      <w:numFmt w:val="bullet"/>
      <w:lvlText w:val="o"/>
      <w:lvlJc w:val="left"/>
      <w:pPr>
        <w:ind w:left="1718" w:hanging="360"/>
      </w:pPr>
      <w:rPr>
        <w:rFonts w:ascii="Courier New" w:hAnsi="Courier New" w:cs="Courier New" w:hint="default"/>
      </w:rPr>
    </w:lvl>
    <w:lvl w:ilvl="2" w:tplc="08090005" w:tentative="1">
      <w:start w:val="1"/>
      <w:numFmt w:val="bullet"/>
      <w:lvlText w:val=""/>
      <w:lvlJc w:val="left"/>
      <w:pPr>
        <w:ind w:left="2438" w:hanging="360"/>
      </w:pPr>
      <w:rPr>
        <w:rFonts w:ascii="Wingdings" w:hAnsi="Wingdings" w:hint="default"/>
      </w:rPr>
    </w:lvl>
    <w:lvl w:ilvl="3" w:tplc="08090001" w:tentative="1">
      <w:start w:val="1"/>
      <w:numFmt w:val="bullet"/>
      <w:lvlText w:val=""/>
      <w:lvlJc w:val="left"/>
      <w:pPr>
        <w:ind w:left="3158" w:hanging="360"/>
      </w:pPr>
      <w:rPr>
        <w:rFonts w:ascii="Symbol" w:hAnsi="Symbol" w:hint="default"/>
      </w:rPr>
    </w:lvl>
    <w:lvl w:ilvl="4" w:tplc="08090003" w:tentative="1">
      <w:start w:val="1"/>
      <w:numFmt w:val="bullet"/>
      <w:lvlText w:val="o"/>
      <w:lvlJc w:val="left"/>
      <w:pPr>
        <w:ind w:left="3878" w:hanging="360"/>
      </w:pPr>
      <w:rPr>
        <w:rFonts w:ascii="Courier New" w:hAnsi="Courier New" w:cs="Courier New" w:hint="default"/>
      </w:rPr>
    </w:lvl>
    <w:lvl w:ilvl="5" w:tplc="08090005" w:tentative="1">
      <w:start w:val="1"/>
      <w:numFmt w:val="bullet"/>
      <w:lvlText w:val=""/>
      <w:lvlJc w:val="left"/>
      <w:pPr>
        <w:ind w:left="4598" w:hanging="360"/>
      </w:pPr>
      <w:rPr>
        <w:rFonts w:ascii="Wingdings" w:hAnsi="Wingdings" w:hint="default"/>
      </w:rPr>
    </w:lvl>
    <w:lvl w:ilvl="6" w:tplc="08090001" w:tentative="1">
      <w:start w:val="1"/>
      <w:numFmt w:val="bullet"/>
      <w:lvlText w:val=""/>
      <w:lvlJc w:val="left"/>
      <w:pPr>
        <w:ind w:left="5318" w:hanging="360"/>
      </w:pPr>
      <w:rPr>
        <w:rFonts w:ascii="Symbol" w:hAnsi="Symbol" w:hint="default"/>
      </w:rPr>
    </w:lvl>
    <w:lvl w:ilvl="7" w:tplc="08090003" w:tentative="1">
      <w:start w:val="1"/>
      <w:numFmt w:val="bullet"/>
      <w:lvlText w:val="o"/>
      <w:lvlJc w:val="left"/>
      <w:pPr>
        <w:ind w:left="6038" w:hanging="360"/>
      </w:pPr>
      <w:rPr>
        <w:rFonts w:ascii="Courier New" w:hAnsi="Courier New" w:cs="Courier New" w:hint="default"/>
      </w:rPr>
    </w:lvl>
    <w:lvl w:ilvl="8" w:tplc="08090005" w:tentative="1">
      <w:start w:val="1"/>
      <w:numFmt w:val="bullet"/>
      <w:lvlText w:val=""/>
      <w:lvlJc w:val="left"/>
      <w:pPr>
        <w:ind w:left="6758" w:hanging="360"/>
      </w:pPr>
      <w:rPr>
        <w:rFonts w:ascii="Wingdings" w:hAnsi="Wingdings" w:hint="default"/>
      </w:rPr>
    </w:lvl>
  </w:abstractNum>
  <w:abstractNum w:abstractNumId="44" w15:restartNumberingAfterBreak="0">
    <w:nsid w:val="5FA91E5D"/>
    <w:multiLevelType w:val="multilevel"/>
    <w:tmpl w:val="2F76460C"/>
    <w:lvl w:ilvl="0">
      <w:start w:val="19"/>
      <w:numFmt w:val="decimal"/>
      <w:lvlText w:val="%1"/>
      <w:lvlJc w:val="left"/>
      <w:pPr>
        <w:ind w:left="360" w:hanging="360"/>
      </w:pPr>
      <w:rPr>
        <w:rFonts w:eastAsia="Calibri" w:hint="default"/>
        <w:b/>
      </w:rPr>
    </w:lvl>
    <w:lvl w:ilvl="1">
      <w:start w:val="1"/>
      <w:numFmt w:val="decimal"/>
      <w:lvlText w:val="%1.%2"/>
      <w:lvlJc w:val="left"/>
      <w:pPr>
        <w:ind w:left="2061" w:hanging="360"/>
      </w:pPr>
      <w:rPr>
        <w:rFonts w:eastAsia="Calibri" w:hint="default"/>
        <w:b/>
      </w:rPr>
    </w:lvl>
    <w:lvl w:ilvl="2">
      <w:start w:val="1"/>
      <w:numFmt w:val="decimal"/>
      <w:lvlText w:val="%1.%2.%3"/>
      <w:lvlJc w:val="left"/>
      <w:pPr>
        <w:ind w:left="4122" w:hanging="720"/>
      </w:pPr>
      <w:rPr>
        <w:rFonts w:eastAsia="Calibri" w:hint="default"/>
        <w:b/>
      </w:rPr>
    </w:lvl>
    <w:lvl w:ilvl="3">
      <w:start w:val="1"/>
      <w:numFmt w:val="decimal"/>
      <w:lvlText w:val="%1.%2.%3.%4"/>
      <w:lvlJc w:val="left"/>
      <w:pPr>
        <w:ind w:left="5823" w:hanging="720"/>
      </w:pPr>
      <w:rPr>
        <w:rFonts w:eastAsia="Calibri" w:hint="default"/>
        <w:b/>
      </w:rPr>
    </w:lvl>
    <w:lvl w:ilvl="4">
      <w:start w:val="1"/>
      <w:numFmt w:val="decimal"/>
      <w:lvlText w:val="%1.%2.%3.%4.%5"/>
      <w:lvlJc w:val="left"/>
      <w:pPr>
        <w:ind w:left="7524" w:hanging="720"/>
      </w:pPr>
      <w:rPr>
        <w:rFonts w:eastAsia="Calibri" w:hint="default"/>
        <w:b/>
      </w:rPr>
    </w:lvl>
    <w:lvl w:ilvl="5">
      <w:start w:val="1"/>
      <w:numFmt w:val="decimal"/>
      <w:lvlText w:val="%1.%2.%3.%4.%5.%6"/>
      <w:lvlJc w:val="left"/>
      <w:pPr>
        <w:ind w:left="9585" w:hanging="1080"/>
      </w:pPr>
      <w:rPr>
        <w:rFonts w:eastAsia="Calibri" w:hint="default"/>
        <w:b/>
      </w:rPr>
    </w:lvl>
    <w:lvl w:ilvl="6">
      <w:start w:val="1"/>
      <w:numFmt w:val="decimal"/>
      <w:lvlText w:val="%1.%2.%3.%4.%5.%6.%7"/>
      <w:lvlJc w:val="left"/>
      <w:pPr>
        <w:ind w:left="11286" w:hanging="1080"/>
      </w:pPr>
      <w:rPr>
        <w:rFonts w:eastAsia="Calibri" w:hint="default"/>
        <w:b/>
      </w:rPr>
    </w:lvl>
    <w:lvl w:ilvl="7">
      <w:start w:val="1"/>
      <w:numFmt w:val="decimal"/>
      <w:lvlText w:val="%1.%2.%3.%4.%5.%6.%7.%8"/>
      <w:lvlJc w:val="left"/>
      <w:pPr>
        <w:ind w:left="13347" w:hanging="1440"/>
      </w:pPr>
      <w:rPr>
        <w:rFonts w:eastAsia="Calibri" w:hint="default"/>
        <w:b/>
      </w:rPr>
    </w:lvl>
    <w:lvl w:ilvl="8">
      <w:start w:val="1"/>
      <w:numFmt w:val="decimal"/>
      <w:lvlText w:val="%1.%2.%3.%4.%5.%6.%7.%8.%9"/>
      <w:lvlJc w:val="left"/>
      <w:pPr>
        <w:ind w:left="15048" w:hanging="1440"/>
      </w:pPr>
      <w:rPr>
        <w:rFonts w:eastAsia="Calibri" w:hint="default"/>
        <w:b/>
      </w:rPr>
    </w:lvl>
  </w:abstractNum>
  <w:abstractNum w:abstractNumId="45" w15:restartNumberingAfterBreak="0">
    <w:nsid w:val="60240808"/>
    <w:multiLevelType w:val="multilevel"/>
    <w:tmpl w:val="93D608CC"/>
    <w:lvl w:ilvl="0">
      <w:start w:val="2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07400F4"/>
    <w:multiLevelType w:val="multilevel"/>
    <w:tmpl w:val="5B067B5A"/>
    <w:lvl w:ilvl="0">
      <w:start w:val="2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615F3E60"/>
    <w:multiLevelType w:val="multilevel"/>
    <w:tmpl w:val="53102232"/>
    <w:lvl w:ilvl="0">
      <w:start w:val="24"/>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160" w:hanging="72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240" w:hanging="108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320" w:hanging="1440"/>
      </w:pPr>
      <w:rPr>
        <w:rFonts w:eastAsia="Calibri" w:hint="default"/>
      </w:rPr>
    </w:lvl>
  </w:abstractNum>
  <w:abstractNum w:abstractNumId="48" w15:restartNumberingAfterBreak="0">
    <w:nsid w:val="61EA214B"/>
    <w:multiLevelType w:val="hybridMultilevel"/>
    <w:tmpl w:val="26E6B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1D2BD1"/>
    <w:multiLevelType w:val="multilevel"/>
    <w:tmpl w:val="433CB0BE"/>
    <w:lvl w:ilvl="0">
      <w:start w:val="17"/>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524" w:hanging="72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286" w:hanging="108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048" w:hanging="1440"/>
      </w:pPr>
      <w:rPr>
        <w:rFonts w:hint="default"/>
      </w:rPr>
    </w:lvl>
  </w:abstractNum>
  <w:abstractNum w:abstractNumId="50" w15:restartNumberingAfterBreak="0">
    <w:nsid w:val="64C94573"/>
    <w:multiLevelType w:val="multilevel"/>
    <w:tmpl w:val="2C1238E6"/>
    <w:lvl w:ilvl="0">
      <w:start w:val="30"/>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51" w15:restartNumberingAfterBreak="0">
    <w:nsid w:val="660758D7"/>
    <w:multiLevelType w:val="hybridMultilevel"/>
    <w:tmpl w:val="A4BAF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7B60667"/>
    <w:multiLevelType w:val="multilevel"/>
    <w:tmpl w:val="AADC537E"/>
    <w:lvl w:ilvl="0">
      <w:start w:val="20"/>
      <w:numFmt w:val="decimal"/>
      <w:lvlText w:val="%1"/>
      <w:lvlJc w:val="left"/>
      <w:pPr>
        <w:ind w:left="360" w:hanging="360"/>
      </w:pPr>
      <w:rPr>
        <w:rFonts w:eastAsia="Calibri" w:hint="default"/>
        <w:b w:val="0"/>
      </w:rPr>
    </w:lvl>
    <w:lvl w:ilvl="1">
      <w:start w:val="1"/>
      <w:numFmt w:val="decimal"/>
      <w:lvlText w:val="%1.%2"/>
      <w:lvlJc w:val="left"/>
      <w:pPr>
        <w:ind w:left="2061" w:hanging="360"/>
      </w:pPr>
      <w:rPr>
        <w:rFonts w:eastAsia="Calibri" w:hint="default"/>
        <w:b w:val="0"/>
      </w:rPr>
    </w:lvl>
    <w:lvl w:ilvl="2">
      <w:start w:val="1"/>
      <w:numFmt w:val="decimal"/>
      <w:lvlText w:val="%1.%2.%3"/>
      <w:lvlJc w:val="left"/>
      <w:pPr>
        <w:ind w:left="4122" w:hanging="720"/>
      </w:pPr>
      <w:rPr>
        <w:rFonts w:eastAsia="Calibri" w:hint="default"/>
        <w:b w:val="0"/>
      </w:rPr>
    </w:lvl>
    <w:lvl w:ilvl="3">
      <w:start w:val="1"/>
      <w:numFmt w:val="decimal"/>
      <w:lvlText w:val="%1.%2.%3.%4"/>
      <w:lvlJc w:val="left"/>
      <w:pPr>
        <w:ind w:left="5823" w:hanging="720"/>
      </w:pPr>
      <w:rPr>
        <w:rFonts w:eastAsia="Calibri" w:hint="default"/>
        <w:b w:val="0"/>
      </w:rPr>
    </w:lvl>
    <w:lvl w:ilvl="4">
      <w:start w:val="1"/>
      <w:numFmt w:val="decimal"/>
      <w:lvlText w:val="%1.%2.%3.%4.%5"/>
      <w:lvlJc w:val="left"/>
      <w:pPr>
        <w:ind w:left="7524" w:hanging="720"/>
      </w:pPr>
      <w:rPr>
        <w:rFonts w:eastAsia="Calibri" w:hint="default"/>
        <w:b w:val="0"/>
      </w:rPr>
    </w:lvl>
    <w:lvl w:ilvl="5">
      <w:start w:val="1"/>
      <w:numFmt w:val="decimal"/>
      <w:lvlText w:val="%1.%2.%3.%4.%5.%6"/>
      <w:lvlJc w:val="left"/>
      <w:pPr>
        <w:ind w:left="9585" w:hanging="1080"/>
      </w:pPr>
      <w:rPr>
        <w:rFonts w:eastAsia="Calibri" w:hint="default"/>
        <w:b w:val="0"/>
      </w:rPr>
    </w:lvl>
    <w:lvl w:ilvl="6">
      <w:start w:val="1"/>
      <w:numFmt w:val="decimal"/>
      <w:lvlText w:val="%1.%2.%3.%4.%5.%6.%7"/>
      <w:lvlJc w:val="left"/>
      <w:pPr>
        <w:ind w:left="11286" w:hanging="1080"/>
      </w:pPr>
      <w:rPr>
        <w:rFonts w:eastAsia="Calibri" w:hint="default"/>
        <w:b w:val="0"/>
      </w:rPr>
    </w:lvl>
    <w:lvl w:ilvl="7">
      <w:start w:val="1"/>
      <w:numFmt w:val="decimal"/>
      <w:lvlText w:val="%1.%2.%3.%4.%5.%6.%7.%8"/>
      <w:lvlJc w:val="left"/>
      <w:pPr>
        <w:ind w:left="13347" w:hanging="1440"/>
      </w:pPr>
      <w:rPr>
        <w:rFonts w:eastAsia="Calibri" w:hint="default"/>
        <w:b w:val="0"/>
      </w:rPr>
    </w:lvl>
    <w:lvl w:ilvl="8">
      <w:start w:val="1"/>
      <w:numFmt w:val="decimal"/>
      <w:lvlText w:val="%1.%2.%3.%4.%5.%6.%7.%8.%9"/>
      <w:lvlJc w:val="left"/>
      <w:pPr>
        <w:ind w:left="15048" w:hanging="1440"/>
      </w:pPr>
      <w:rPr>
        <w:rFonts w:eastAsia="Calibri" w:hint="default"/>
        <w:b w:val="0"/>
      </w:rPr>
    </w:lvl>
  </w:abstractNum>
  <w:abstractNum w:abstractNumId="5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8F55910"/>
    <w:multiLevelType w:val="hybridMultilevel"/>
    <w:tmpl w:val="A5ECFC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A132A74"/>
    <w:multiLevelType w:val="hybridMultilevel"/>
    <w:tmpl w:val="D9D2C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24007F"/>
    <w:multiLevelType w:val="hybridMultilevel"/>
    <w:tmpl w:val="66DA203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F60794E"/>
    <w:multiLevelType w:val="hybridMultilevel"/>
    <w:tmpl w:val="70DC431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05122BD"/>
    <w:multiLevelType w:val="hybridMultilevel"/>
    <w:tmpl w:val="E87E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8A344F"/>
    <w:multiLevelType w:val="multilevel"/>
    <w:tmpl w:val="5DE6AFEE"/>
    <w:lvl w:ilvl="0">
      <w:start w:val="16"/>
      <w:numFmt w:val="decimal"/>
      <w:lvlText w:val="%1"/>
      <w:lvlJc w:val="left"/>
      <w:pPr>
        <w:ind w:left="360" w:hanging="360"/>
      </w:pPr>
      <w:rPr>
        <w:rFonts w:hint="default"/>
        <w:b/>
      </w:rPr>
    </w:lvl>
    <w:lvl w:ilvl="1">
      <w:start w:val="1"/>
      <w:numFmt w:val="decimal"/>
      <w:lvlText w:val="%1.%2"/>
      <w:lvlJc w:val="left"/>
      <w:pPr>
        <w:ind w:left="2487" w:hanging="360"/>
      </w:pPr>
      <w:rPr>
        <w:rFonts w:hint="default"/>
        <w:b w:val="0"/>
        <w:bCs/>
      </w:rPr>
    </w:lvl>
    <w:lvl w:ilvl="2">
      <w:start w:val="1"/>
      <w:numFmt w:val="decimal"/>
      <w:lvlText w:val="%1.%2.%3"/>
      <w:lvlJc w:val="left"/>
      <w:pPr>
        <w:ind w:left="4122" w:hanging="720"/>
      </w:pPr>
      <w:rPr>
        <w:rFonts w:hint="default"/>
        <w:b/>
      </w:rPr>
    </w:lvl>
    <w:lvl w:ilvl="3">
      <w:start w:val="1"/>
      <w:numFmt w:val="decimal"/>
      <w:lvlText w:val="%1.%2.%3.%4"/>
      <w:lvlJc w:val="left"/>
      <w:pPr>
        <w:ind w:left="5823" w:hanging="720"/>
      </w:pPr>
      <w:rPr>
        <w:rFonts w:hint="default"/>
        <w:b/>
      </w:rPr>
    </w:lvl>
    <w:lvl w:ilvl="4">
      <w:start w:val="1"/>
      <w:numFmt w:val="decimal"/>
      <w:lvlText w:val="%1.%2.%3.%4.%5"/>
      <w:lvlJc w:val="left"/>
      <w:pPr>
        <w:ind w:left="7524" w:hanging="720"/>
      </w:pPr>
      <w:rPr>
        <w:rFonts w:hint="default"/>
        <w:b/>
      </w:rPr>
    </w:lvl>
    <w:lvl w:ilvl="5">
      <w:start w:val="1"/>
      <w:numFmt w:val="decimal"/>
      <w:lvlText w:val="%1.%2.%3.%4.%5.%6"/>
      <w:lvlJc w:val="left"/>
      <w:pPr>
        <w:ind w:left="9585" w:hanging="1080"/>
      </w:pPr>
      <w:rPr>
        <w:rFonts w:hint="default"/>
        <w:b/>
      </w:rPr>
    </w:lvl>
    <w:lvl w:ilvl="6">
      <w:start w:val="1"/>
      <w:numFmt w:val="decimal"/>
      <w:lvlText w:val="%1.%2.%3.%4.%5.%6.%7"/>
      <w:lvlJc w:val="left"/>
      <w:pPr>
        <w:ind w:left="11286" w:hanging="1080"/>
      </w:pPr>
      <w:rPr>
        <w:rFonts w:hint="default"/>
        <w:b/>
      </w:rPr>
    </w:lvl>
    <w:lvl w:ilvl="7">
      <w:start w:val="1"/>
      <w:numFmt w:val="decimal"/>
      <w:lvlText w:val="%1.%2.%3.%4.%5.%6.%7.%8"/>
      <w:lvlJc w:val="left"/>
      <w:pPr>
        <w:ind w:left="13347" w:hanging="1440"/>
      </w:pPr>
      <w:rPr>
        <w:rFonts w:hint="default"/>
        <w:b/>
      </w:rPr>
    </w:lvl>
    <w:lvl w:ilvl="8">
      <w:start w:val="1"/>
      <w:numFmt w:val="decimal"/>
      <w:lvlText w:val="%1.%2.%3.%4.%5.%6.%7.%8.%9"/>
      <w:lvlJc w:val="left"/>
      <w:pPr>
        <w:ind w:left="15048" w:hanging="1440"/>
      </w:pPr>
      <w:rPr>
        <w:rFonts w:hint="default"/>
        <w:b/>
      </w:rPr>
    </w:lvl>
  </w:abstractNum>
  <w:abstractNum w:abstractNumId="60" w15:restartNumberingAfterBreak="0">
    <w:nsid w:val="713C5EDA"/>
    <w:multiLevelType w:val="multilevel"/>
    <w:tmpl w:val="20D25ACC"/>
    <w:lvl w:ilvl="0">
      <w:start w:val="29"/>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61" w15:restartNumberingAfterBreak="0">
    <w:nsid w:val="718F5A35"/>
    <w:multiLevelType w:val="hybridMultilevel"/>
    <w:tmpl w:val="E118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2FE4718"/>
    <w:multiLevelType w:val="multilevel"/>
    <w:tmpl w:val="741E3258"/>
    <w:lvl w:ilvl="0">
      <w:start w:val="2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4C31C83"/>
    <w:multiLevelType w:val="multilevel"/>
    <w:tmpl w:val="25F237EC"/>
    <w:lvl w:ilvl="0">
      <w:start w:val="2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5A05454"/>
    <w:multiLevelType w:val="multilevel"/>
    <w:tmpl w:val="BEECFCE8"/>
    <w:lvl w:ilvl="0">
      <w:start w:val="15"/>
      <w:numFmt w:val="decimal"/>
      <w:lvlText w:val="%1"/>
      <w:lvlJc w:val="left"/>
      <w:pPr>
        <w:ind w:left="360" w:hanging="360"/>
      </w:pPr>
      <w:rPr>
        <w:rFonts w:hint="default"/>
      </w:rPr>
    </w:lvl>
    <w:lvl w:ilvl="1">
      <w:start w:val="1"/>
      <w:numFmt w:val="decimal"/>
      <w:lvlText w:val="%1.%2"/>
      <w:lvlJc w:val="left"/>
      <w:pPr>
        <w:ind w:left="2988" w:hanging="360"/>
      </w:pPr>
      <w:rPr>
        <w:rFonts w:hint="default"/>
      </w:rPr>
    </w:lvl>
    <w:lvl w:ilvl="2">
      <w:start w:val="1"/>
      <w:numFmt w:val="decimal"/>
      <w:lvlText w:val="%1.%2.%3"/>
      <w:lvlJc w:val="left"/>
      <w:pPr>
        <w:ind w:left="5976" w:hanging="720"/>
      </w:pPr>
      <w:rPr>
        <w:rFonts w:hint="default"/>
      </w:rPr>
    </w:lvl>
    <w:lvl w:ilvl="3">
      <w:start w:val="1"/>
      <w:numFmt w:val="decimal"/>
      <w:lvlText w:val="%1.%2.%3.%4"/>
      <w:lvlJc w:val="left"/>
      <w:pPr>
        <w:ind w:left="8604" w:hanging="720"/>
      </w:pPr>
      <w:rPr>
        <w:rFonts w:hint="default"/>
      </w:rPr>
    </w:lvl>
    <w:lvl w:ilvl="4">
      <w:start w:val="1"/>
      <w:numFmt w:val="decimal"/>
      <w:lvlText w:val="%1.%2.%3.%4.%5"/>
      <w:lvlJc w:val="left"/>
      <w:pPr>
        <w:ind w:left="11232" w:hanging="720"/>
      </w:pPr>
      <w:rPr>
        <w:rFonts w:hint="default"/>
      </w:rPr>
    </w:lvl>
    <w:lvl w:ilvl="5">
      <w:start w:val="1"/>
      <w:numFmt w:val="decimal"/>
      <w:lvlText w:val="%1.%2.%3.%4.%5.%6"/>
      <w:lvlJc w:val="left"/>
      <w:pPr>
        <w:ind w:left="14220" w:hanging="1080"/>
      </w:pPr>
      <w:rPr>
        <w:rFonts w:hint="default"/>
      </w:rPr>
    </w:lvl>
    <w:lvl w:ilvl="6">
      <w:start w:val="1"/>
      <w:numFmt w:val="decimal"/>
      <w:lvlText w:val="%1.%2.%3.%4.%5.%6.%7"/>
      <w:lvlJc w:val="left"/>
      <w:pPr>
        <w:ind w:left="16848" w:hanging="1080"/>
      </w:pPr>
      <w:rPr>
        <w:rFonts w:hint="default"/>
      </w:rPr>
    </w:lvl>
    <w:lvl w:ilvl="7">
      <w:start w:val="1"/>
      <w:numFmt w:val="decimal"/>
      <w:lvlText w:val="%1.%2.%3.%4.%5.%6.%7.%8"/>
      <w:lvlJc w:val="left"/>
      <w:pPr>
        <w:ind w:left="19836" w:hanging="1440"/>
      </w:pPr>
      <w:rPr>
        <w:rFonts w:hint="default"/>
      </w:rPr>
    </w:lvl>
    <w:lvl w:ilvl="8">
      <w:start w:val="1"/>
      <w:numFmt w:val="decimal"/>
      <w:lvlText w:val="%1.%2.%3.%4.%5.%6.%7.%8.%9"/>
      <w:lvlJc w:val="left"/>
      <w:pPr>
        <w:ind w:left="22464" w:hanging="1440"/>
      </w:pPr>
      <w:rPr>
        <w:rFonts w:hint="default"/>
      </w:rPr>
    </w:lvl>
  </w:abstractNum>
  <w:abstractNum w:abstractNumId="65" w15:restartNumberingAfterBreak="0">
    <w:nsid w:val="75DC408F"/>
    <w:multiLevelType w:val="multilevel"/>
    <w:tmpl w:val="C19CEFBA"/>
    <w:lvl w:ilvl="0">
      <w:start w:val="2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77F07DF0"/>
    <w:multiLevelType w:val="hybridMultilevel"/>
    <w:tmpl w:val="50926890"/>
    <w:lvl w:ilvl="0" w:tplc="08090003">
      <w:start w:val="1"/>
      <w:numFmt w:val="bullet"/>
      <w:lvlText w:val="o"/>
      <w:lvlJc w:val="left"/>
      <w:pPr>
        <w:ind w:left="1143" w:hanging="360"/>
      </w:pPr>
      <w:rPr>
        <w:rFonts w:ascii="Courier New" w:hAnsi="Courier New" w:cs="Courier New" w:hint="default"/>
      </w:rPr>
    </w:lvl>
    <w:lvl w:ilvl="1" w:tplc="08090003" w:tentative="1">
      <w:start w:val="1"/>
      <w:numFmt w:val="bullet"/>
      <w:lvlText w:val="o"/>
      <w:lvlJc w:val="left"/>
      <w:pPr>
        <w:ind w:left="1863" w:hanging="360"/>
      </w:pPr>
      <w:rPr>
        <w:rFonts w:ascii="Courier New" w:hAnsi="Courier New" w:cs="Courier New" w:hint="default"/>
      </w:rPr>
    </w:lvl>
    <w:lvl w:ilvl="2" w:tplc="08090005" w:tentative="1">
      <w:start w:val="1"/>
      <w:numFmt w:val="bullet"/>
      <w:lvlText w:val=""/>
      <w:lvlJc w:val="left"/>
      <w:pPr>
        <w:ind w:left="2583" w:hanging="360"/>
      </w:pPr>
      <w:rPr>
        <w:rFonts w:ascii="Wingdings" w:hAnsi="Wingdings" w:hint="default"/>
      </w:rPr>
    </w:lvl>
    <w:lvl w:ilvl="3" w:tplc="08090001" w:tentative="1">
      <w:start w:val="1"/>
      <w:numFmt w:val="bullet"/>
      <w:lvlText w:val=""/>
      <w:lvlJc w:val="left"/>
      <w:pPr>
        <w:ind w:left="3303" w:hanging="360"/>
      </w:pPr>
      <w:rPr>
        <w:rFonts w:ascii="Symbol" w:hAnsi="Symbol" w:hint="default"/>
      </w:rPr>
    </w:lvl>
    <w:lvl w:ilvl="4" w:tplc="08090003" w:tentative="1">
      <w:start w:val="1"/>
      <w:numFmt w:val="bullet"/>
      <w:lvlText w:val="o"/>
      <w:lvlJc w:val="left"/>
      <w:pPr>
        <w:ind w:left="4023" w:hanging="360"/>
      </w:pPr>
      <w:rPr>
        <w:rFonts w:ascii="Courier New" w:hAnsi="Courier New" w:cs="Courier New" w:hint="default"/>
      </w:rPr>
    </w:lvl>
    <w:lvl w:ilvl="5" w:tplc="08090005" w:tentative="1">
      <w:start w:val="1"/>
      <w:numFmt w:val="bullet"/>
      <w:lvlText w:val=""/>
      <w:lvlJc w:val="left"/>
      <w:pPr>
        <w:ind w:left="4743" w:hanging="360"/>
      </w:pPr>
      <w:rPr>
        <w:rFonts w:ascii="Wingdings" w:hAnsi="Wingdings" w:hint="default"/>
      </w:rPr>
    </w:lvl>
    <w:lvl w:ilvl="6" w:tplc="08090001" w:tentative="1">
      <w:start w:val="1"/>
      <w:numFmt w:val="bullet"/>
      <w:lvlText w:val=""/>
      <w:lvlJc w:val="left"/>
      <w:pPr>
        <w:ind w:left="5463" w:hanging="360"/>
      </w:pPr>
      <w:rPr>
        <w:rFonts w:ascii="Symbol" w:hAnsi="Symbol" w:hint="default"/>
      </w:rPr>
    </w:lvl>
    <w:lvl w:ilvl="7" w:tplc="08090003" w:tentative="1">
      <w:start w:val="1"/>
      <w:numFmt w:val="bullet"/>
      <w:lvlText w:val="o"/>
      <w:lvlJc w:val="left"/>
      <w:pPr>
        <w:ind w:left="6183" w:hanging="360"/>
      </w:pPr>
      <w:rPr>
        <w:rFonts w:ascii="Courier New" w:hAnsi="Courier New" w:cs="Courier New" w:hint="default"/>
      </w:rPr>
    </w:lvl>
    <w:lvl w:ilvl="8" w:tplc="08090005" w:tentative="1">
      <w:start w:val="1"/>
      <w:numFmt w:val="bullet"/>
      <w:lvlText w:val=""/>
      <w:lvlJc w:val="left"/>
      <w:pPr>
        <w:ind w:left="6903" w:hanging="360"/>
      </w:pPr>
      <w:rPr>
        <w:rFonts w:ascii="Wingdings" w:hAnsi="Wingdings" w:hint="default"/>
      </w:rPr>
    </w:lvl>
  </w:abstractNum>
  <w:abstractNum w:abstractNumId="67" w15:restartNumberingAfterBreak="0">
    <w:nsid w:val="78AD5628"/>
    <w:multiLevelType w:val="multilevel"/>
    <w:tmpl w:val="144E3E9C"/>
    <w:lvl w:ilvl="0">
      <w:start w:val="15"/>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524" w:hanging="72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286" w:hanging="108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048" w:hanging="1440"/>
      </w:pPr>
      <w:rPr>
        <w:rFonts w:hint="default"/>
      </w:rPr>
    </w:lvl>
  </w:abstractNum>
  <w:abstractNum w:abstractNumId="68" w15:restartNumberingAfterBreak="0">
    <w:nsid w:val="792A139B"/>
    <w:multiLevelType w:val="multilevel"/>
    <w:tmpl w:val="9C2265A4"/>
    <w:lvl w:ilvl="0">
      <w:start w:val="20"/>
      <w:numFmt w:val="decimal"/>
      <w:lvlText w:val="%1"/>
      <w:lvlJc w:val="left"/>
      <w:pPr>
        <w:ind w:left="360" w:hanging="360"/>
      </w:pPr>
      <w:rPr>
        <w:rFonts w:eastAsia="Calibri" w:hint="default"/>
        <w:b w:val="0"/>
      </w:rPr>
    </w:lvl>
    <w:lvl w:ilvl="1">
      <w:start w:val="1"/>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720" w:hanging="72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080" w:hanging="108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440" w:hanging="1440"/>
      </w:pPr>
      <w:rPr>
        <w:rFonts w:eastAsia="Calibri" w:hint="default"/>
        <w:b w:val="0"/>
      </w:rPr>
    </w:lvl>
  </w:abstractNum>
  <w:abstractNum w:abstractNumId="69" w15:restartNumberingAfterBreak="0">
    <w:nsid w:val="796205E2"/>
    <w:multiLevelType w:val="multilevel"/>
    <w:tmpl w:val="3D8C74A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0" w15:restartNumberingAfterBreak="0">
    <w:nsid w:val="79A3225C"/>
    <w:multiLevelType w:val="multilevel"/>
    <w:tmpl w:val="A9B05596"/>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7B623EA8"/>
    <w:multiLevelType w:val="multilevel"/>
    <w:tmpl w:val="0D444528"/>
    <w:lvl w:ilvl="0">
      <w:start w:val="2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7C051C6F"/>
    <w:multiLevelType w:val="hybridMultilevel"/>
    <w:tmpl w:val="5EC07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DF85A35"/>
    <w:multiLevelType w:val="hybridMultilevel"/>
    <w:tmpl w:val="FDD47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978298">
    <w:abstractNumId w:val="4"/>
  </w:num>
  <w:num w:numId="2" w16cid:durableId="25982748">
    <w:abstractNumId w:val="53"/>
  </w:num>
  <w:num w:numId="3" w16cid:durableId="455761642">
    <w:abstractNumId w:val="9"/>
  </w:num>
  <w:num w:numId="4" w16cid:durableId="154566367">
    <w:abstractNumId w:val="61"/>
  </w:num>
  <w:num w:numId="5" w16cid:durableId="986402089">
    <w:abstractNumId w:val="66"/>
  </w:num>
  <w:num w:numId="6" w16cid:durableId="1672563535">
    <w:abstractNumId w:val="72"/>
  </w:num>
  <w:num w:numId="7" w16cid:durableId="738984545">
    <w:abstractNumId w:val="54"/>
  </w:num>
  <w:num w:numId="8" w16cid:durableId="587689408">
    <w:abstractNumId w:val="29"/>
  </w:num>
  <w:num w:numId="9" w16cid:durableId="1545944455">
    <w:abstractNumId w:val="20"/>
  </w:num>
  <w:num w:numId="10" w16cid:durableId="1781757688">
    <w:abstractNumId w:val="17"/>
  </w:num>
  <w:num w:numId="11" w16cid:durableId="723215995">
    <w:abstractNumId w:val="39"/>
  </w:num>
  <w:num w:numId="12" w16cid:durableId="1579436673">
    <w:abstractNumId w:val="11"/>
  </w:num>
  <w:num w:numId="13" w16cid:durableId="666519994">
    <w:abstractNumId w:val="30"/>
  </w:num>
  <w:num w:numId="14" w16cid:durableId="2043703569">
    <w:abstractNumId w:val="56"/>
  </w:num>
  <w:num w:numId="15" w16cid:durableId="111286063">
    <w:abstractNumId w:val="10"/>
  </w:num>
  <w:num w:numId="16" w16cid:durableId="46730586">
    <w:abstractNumId w:val="19"/>
  </w:num>
  <w:num w:numId="17" w16cid:durableId="418332153">
    <w:abstractNumId w:val="57"/>
  </w:num>
  <w:num w:numId="18" w16cid:durableId="978221067">
    <w:abstractNumId w:val="34"/>
  </w:num>
  <w:num w:numId="19" w16cid:durableId="1865287667">
    <w:abstractNumId w:val="6"/>
  </w:num>
  <w:num w:numId="20" w16cid:durableId="1039471057">
    <w:abstractNumId w:val="25"/>
  </w:num>
  <w:num w:numId="21" w16cid:durableId="1131900679">
    <w:abstractNumId w:val="48"/>
  </w:num>
  <w:num w:numId="22" w16cid:durableId="1013415020">
    <w:abstractNumId w:val="21"/>
  </w:num>
  <w:num w:numId="23" w16cid:durableId="1565943124">
    <w:abstractNumId w:val="73"/>
  </w:num>
  <w:num w:numId="24" w16cid:durableId="88964782">
    <w:abstractNumId w:val="69"/>
  </w:num>
  <w:num w:numId="25" w16cid:durableId="1897427427">
    <w:abstractNumId w:val="37"/>
  </w:num>
  <w:num w:numId="26" w16cid:durableId="320548213">
    <w:abstractNumId w:val="7"/>
  </w:num>
  <w:num w:numId="27" w16cid:durableId="974793974">
    <w:abstractNumId w:val="18"/>
  </w:num>
  <w:num w:numId="28" w16cid:durableId="1723749681">
    <w:abstractNumId w:val="36"/>
  </w:num>
  <w:num w:numId="29" w16cid:durableId="66542198">
    <w:abstractNumId w:val="2"/>
  </w:num>
  <w:num w:numId="30" w16cid:durableId="578247284">
    <w:abstractNumId w:val="4"/>
  </w:num>
  <w:num w:numId="31" w16cid:durableId="1760564733">
    <w:abstractNumId w:val="16"/>
  </w:num>
  <w:num w:numId="32" w16cid:durableId="323976783">
    <w:abstractNumId w:val="55"/>
  </w:num>
  <w:num w:numId="33" w16cid:durableId="113791629">
    <w:abstractNumId w:val="51"/>
  </w:num>
  <w:num w:numId="34" w16cid:durableId="2054883933">
    <w:abstractNumId w:val="38"/>
  </w:num>
  <w:num w:numId="35" w16cid:durableId="1069042188">
    <w:abstractNumId w:val="26"/>
  </w:num>
  <w:num w:numId="36" w16cid:durableId="160973034">
    <w:abstractNumId w:val="22"/>
  </w:num>
  <w:num w:numId="37" w16cid:durableId="794063888">
    <w:abstractNumId w:val="67"/>
  </w:num>
  <w:num w:numId="38" w16cid:durableId="798495547">
    <w:abstractNumId w:val="59"/>
  </w:num>
  <w:num w:numId="39" w16cid:durableId="967662877">
    <w:abstractNumId w:val="49"/>
  </w:num>
  <w:num w:numId="40" w16cid:durableId="1798334386">
    <w:abstractNumId w:val="27"/>
  </w:num>
  <w:num w:numId="41" w16cid:durableId="1858883925">
    <w:abstractNumId w:val="44"/>
  </w:num>
  <w:num w:numId="42" w16cid:durableId="356541936">
    <w:abstractNumId w:val="68"/>
  </w:num>
  <w:num w:numId="43" w16cid:durableId="508059512">
    <w:abstractNumId w:val="52"/>
  </w:num>
  <w:num w:numId="44" w16cid:durableId="1265310343">
    <w:abstractNumId w:val="63"/>
  </w:num>
  <w:num w:numId="45" w16cid:durableId="1246764703">
    <w:abstractNumId w:val="9"/>
    <w:lvlOverride w:ilvl="0">
      <w:startOverride w:val="21"/>
    </w:lvlOverride>
  </w:num>
  <w:num w:numId="46" w16cid:durableId="1559586997">
    <w:abstractNumId w:val="14"/>
  </w:num>
  <w:num w:numId="47" w16cid:durableId="1055810899">
    <w:abstractNumId w:val="31"/>
  </w:num>
  <w:num w:numId="48" w16cid:durableId="459147754">
    <w:abstractNumId w:val="35"/>
  </w:num>
  <w:num w:numId="49" w16cid:durableId="1429884810">
    <w:abstractNumId w:val="47"/>
  </w:num>
  <w:num w:numId="50" w16cid:durableId="2033190920">
    <w:abstractNumId w:val="62"/>
  </w:num>
  <w:num w:numId="51" w16cid:durableId="693459858">
    <w:abstractNumId w:val="9"/>
    <w:lvlOverride w:ilvl="0">
      <w:startOverride w:val="27"/>
    </w:lvlOverride>
  </w:num>
  <w:num w:numId="52" w16cid:durableId="1641810185">
    <w:abstractNumId w:val="41"/>
  </w:num>
  <w:num w:numId="53" w16cid:durableId="1497695145">
    <w:abstractNumId w:val="45"/>
  </w:num>
  <w:num w:numId="54" w16cid:durableId="236481669">
    <w:abstractNumId w:val="60"/>
  </w:num>
  <w:num w:numId="55" w16cid:durableId="951322470">
    <w:abstractNumId w:val="32"/>
  </w:num>
  <w:num w:numId="56" w16cid:durableId="612976828">
    <w:abstractNumId w:val="58"/>
  </w:num>
  <w:num w:numId="57" w16cid:durableId="619074461">
    <w:abstractNumId w:val="5"/>
  </w:num>
  <w:num w:numId="58" w16cid:durableId="787354770">
    <w:abstractNumId w:val="64"/>
  </w:num>
  <w:num w:numId="59" w16cid:durableId="1929384238">
    <w:abstractNumId w:val="24"/>
  </w:num>
  <w:num w:numId="60" w16cid:durableId="752164303">
    <w:abstractNumId w:val="15"/>
  </w:num>
  <w:num w:numId="61" w16cid:durableId="2095281235">
    <w:abstractNumId w:val="70"/>
  </w:num>
  <w:num w:numId="62" w16cid:durableId="707148690">
    <w:abstractNumId w:val="9"/>
    <w:lvlOverride w:ilvl="0">
      <w:startOverride w:val="19"/>
    </w:lvlOverride>
  </w:num>
  <w:num w:numId="63" w16cid:durableId="9726304">
    <w:abstractNumId w:val="42"/>
  </w:num>
  <w:num w:numId="64" w16cid:durableId="1883246546">
    <w:abstractNumId w:val="23"/>
  </w:num>
  <w:num w:numId="65" w16cid:durableId="250818275">
    <w:abstractNumId w:val="71"/>
  </w:num>
  <w:num w:numId="66" w16cid:durableId="244612771">
    <w:abstractNumId w:val="3"/>
  </w:num>
  <w:num w:numId="67" w16cid:durableId="2100564672">
    <w:abstractNumId w:val="40"/>
  </w:num>
  <w:num w:numId="68" w16cid:durableId="6372732">
    <w:abstractNumId w:val="65"/>
  </w:num>
  <w:num w:numId="69" w16cid:durableId="414866883">
    <w:abstractNumId w:val="12"/>
  </w:num>
  <w:num w:numId="70" w16cid:durableId="680594837">
    <w:abstractNumId w:val="28"/>
  </w:num>
  <w:num w:numId="71" w16cid:durableId="1999117954">
    <w:abstractNumId w:val="46"/>
  </w:num>
  <w:num w:numId="72" w16cid:durableId="844132109">
    <w:abstractNumId w:val="0"/>
  </w:num>
  <w:num w:numId="73" w16cid:durableId="566454252">
    <w:abstractNumId w:val="8"/>
  </w:num>
  <w:num w:numId="74" w16cid:durableId="27027269">
    <w:abstractNumId w:val="50"/>
  </w:num>
  <w:num w:numId="75" w16cid:durableId="1710106911">
    <w:abstractNumId w:val="1"/>
  </w:num>
  <w:num w:numId="76" w16cid:durableId="1313949184">
    <w:abstractNumId w:val="33"/>
  </w:num>
  <w:num w:numId="77" w16cid:durableId="1488324823">
    <w:abstractNumId w:val="13"/>
  </w:num>
  <w:num w:numId="78" w16cid:durableId="1950240496">
    <w:abstractNumId w:val="4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hideGrammaticalErrors/>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s-MX" w:vendorID="64" w:dllVersion="0"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fr-BE"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2"/>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286"/>
    <w:rsid w:val="00005E04"/>
    <w:rsid w:val="000109D4"/>
    <w:rsid w:val="0001299F"/>
    <w:rsid w:val="000273DE"/>
    <w:rsid w:val="00027F2B"/>
    <w:rsid w:val="0003467C"/>
    <w:rsid w:val="000367D4"/>
    <w:rsid w:val="00037B86"/>
    <w:rsid w:val="00047B14"/>
    <w:rsid w:val="00050F6B"/>
    <w:rsid w:val="00051FAE"/>
    <w:rsid w:val="00052055"/>
    <w:rsid w:val="00054D61"/>
    <w:rsid w:val="000551E2"/>
    <w:rsid w:val="000556BA"/>
    <w:rsid w:val="00057972"/>
    <w:rsid w:val="00057AEB"/>
    <w:rsid w:val="000608F5"/>
    <w:rsid w:val="000632C7"/>
    <w:rsid w:val="00066900"/>
    <w:rsid w:val="000728C6"/>
    <w:rsid w:val="00072C8C"/>
    <w:rsid w:val="000733B5"/>
    <w:rsid w:val="00076405"/>
    <w:rsid w:val="000931C0"/>
    <w:rsid w:val="00095091"/>
    <w:rsid w:val="000A3C94"/>
    <w:rsid w:val="000B1650"/>
    <w:rsid w:val="000B175B"/>
    <w:rsid w:val="000B1ED7"/>
    <w:rsid w:val="000B2729"/>
    <w:rsid w:val="000B368B"/>
    <w:rsid w:val="000B3A0F"/>
    <w:rsid w:val="000B4A7C"/>
    <w:rsid w:val="000B4B3E"/>
    <w:rsid w:val="000B4EF7"/>
    <w:rsid w:val="000B5EC9"/>
    <w:rsid w:val="000C1BAC"/>
    <w:rsid w:val="000C2D2E"/>
    <w:rsid w:val="000C6CD1"/>
    <w:rsid w:val="000D3676"/>
    <w:rsid w:val="000D3EE7"/>
    <w:rsid w:val="000D54B6"/>
    <w:rsid w:val="000D66AA"/>
    <w:rsid w:val="000E0415"/>
    <w:rsid w:val="000E4486"/>
    <w:rsid w:val="000E4B1D"/>
    <w:rsid w:val="000F21B6"/>
    <w:rsid w:val="000F3B03"/>
    <w:rsid w:val="000F680B"/>
    <w:rsid w:val="0010143F"/>
    <w:rsid w:val="00105963"/>
    <w:rsid w:val="00106B9C"/>
    <w:rsid w:val="001103AA"/>
    <w:rsid w:val="00114029"/>
    <w:rsid w:val="001247D7"/>
    <w:rsid w:val="001278D1"/>
    <w:rsid w:val="00140F4C"/>
    <w:rsid w:val="001426C1"/>
    <w:rsid w:val="0014321F"/>
    <w:rsid w:val="00145660"/>
    <w:rsid w:val="00160055"/>
    <w:rsid w:val="001620F7"/>
    <w:rsid w:val="00163FB0"/>
    <w:rsid w:val="00164C08"/>
    <w:rsid w:val="00165D40"/>
    <w:rsid w:val="0016649C"/>
    <w:rsid w:val="001664A4"/>
    <w:rsid w:val="001714BE"/>
    <w:rsid w:val="00175E06"/>
    <w:rsid w:val="00186805"/>
    <w:rsid w:val="001967CF"/>
    <w:rsid w:val="001A1504"/>
    <w:rsid w:val="001B362F"/>
    <w:rsid w:val="001B4B04"/>
    <w:rsid w:val="001B5523"/>
    <w:rsid w:val="001C6663"/>
    <w:rsid w:val="001C7895"/>
    <w:rsid w:val="001D1D19"/>
    <w:rsid w:val="001D26DF"/>
    <w:rsid w:val="001D6619"/>
    <w:rsid w:val="001E0E9A"/>
    <w:rsid w:val="001E61C0"/>
    <w:rsid w:val="001E61FA"/>
    <w:rsid w:val="001E636D"/>
    <w:rsid w:val="001E6639"/>
    <w:rsid w:val="001F23F7"/>
    <w:rsid w:val="00201AED"/>
    <w:rsid w:val="00202DA8"/>
    <w:rsid w:val="00211E0B"/>
    <w:rsid w:val="002270B9"/>
    <w:rsid w:val="00235A47"/>
    <w:rsid w:val="002404E2"/>
    <w:rsid w:val="00243059"/>
    <w:rsid w:val="00245F8D"/>
    <w:rsid w:val="00247A01"/>
    <w:rsid w:val="00250D1E"/>
    <w:rsid w:val="002534C4"/>
    <w:rsid w:val="00255F0E"/>
    <w:rsid w:val="00257F5C"/>
    <w:rsid w:val="002611EE"/>
    <w:rsid w:val="00264123"/>
    <w:rsid w:val="002705B8"/>
    <w:rsid w:val="002766BF"/>
    <w:rsid w:val="002776A2"/>
    <w:rsid w:val="00277EFD"/>
    <w:rsid w:val="00292104"/>
    <w:rsid w:val="00297AAA"/>
    <w:rsid w:val="002A1C29"/>
    <w:rsid w:val="002A3354"/>
    <w:rsid w:val="002A7F2C"/>
    <w:rsid w:val="002B0269"/>
    <w:rsid w:val="002B03DF"/>
    <w:rsid w:val="002B055D"/>
    <w:rsid w:val="002B3449"/>
    <w:rsid w:val="002B356C"/>
    <w:rsid w:val="002C2AA2"/>
    <w:rsid w:val="002D0CFF"/>
    <w:rsid w:val="002E00EF"/>
    <w:rsid w:val="002E2B49"/>
    <w:rsid w:val="002E6433"/>
    <w:rsid w:val="002F107A"/>
    <w:rsid w:val="002F129F"/>
    <w:rsid w:val="002F175C"/>
    <w:rsid w:val="002F4B7C"/>
    <w:rsid w:val="002F58C3"/>
    <w:rsid w:val="002F7FDF"/>
    <w:rsid w:val="00301EC9"/>
    <w:rsid w:val="00307016"/>
    <w:rsid w:val="00310E6C"/>
    <w:rsid w:val="003128A9"/>
    <w:rsid w:val="00314F32"/>
    <w:rsid w:val="003165DB"/>
    <w:rsid w:val="0032013D"/>
    <w:rsid w:val="003229D8"/>
    <w:rsid w:val="00326382"/>
    <w:rsid w:val="00331C1F"/>
    <w:rsid w:val="00331D33"/>
    <w:rsid w:val="00342B58"/>
    <w:rsid w:val="003431F6"/>
    <w:rsid w:val="00344317"/>
    <w:rsid w:val="003464C3"/>
    <w:rsid w:val="00347CC4"/>
    <w:rsid w:val="00352709"/>
    <w:rsid w:val="003528E2"/>
    <w:rsid w:val="00353EA9"/>
    <w:rsid w:val="00361D1D"/>
    <w:rsid w:val="0036359E"/>
    <w:rsid w:val="00371178"/>
    <w:rsid w:val="003732EE"/>
    <w:rsid w:val="003750BA"/>
    <w:rsid w:val="00375ECC"/>
    <w:rsid w:val="00390717"/>
    <w:rsid w:val="00391766"/>
    <w:rsid w:val="00391F6F"/>
    <w:rsid w:val="003955E2"/>
    <w:rsid w:val="003A0E34"/>
    <w:rsid w:val="003A11BE"/>
    <w:rsid w:val="003A1F56"/>
    <w:rsid w:val="003A6810"/>
    <w:rsid w:val="003A689E"/>
    <w:rsid w:val="003B0851"/>
    <w:rsid w:val="003B0DCF"/>
    <w:rsid w:val="003B4E25"/>
    <w:rsid w:val="003B61F5"/>
    <w:rsid w:val="003C0C4E"/>
    <w:rsid w:val="003C0EBC"/>
    <w:rsid w:val="003C1E8C"/>
    <w:rsid w:val="003C2CC4"/>
    <w:rsid w:val="003C6F56"/>
    <w:rsid w:val="003C75D3"/>
    <w:rsid w:val="003D4B23"/>
    <w:rsid w:val="003D5185"/>
    <w:rsid w:val="003E3583"/>
    <w:rsid w:val="003F0898"/>
    <w:rsid w:val="003F1DB4"/>
    <w:rsid w:val="003F2C3E"/>
    <w:rsid w:val="003F64C6"/>
    <w:rsid w:val="003F71C4"/>
    <w:rsid w:val="003F7593"/>
    <w:rsid w:val="00405E14"/>
    <w:rsid w:val="00410C89"/>
    <w:rsid w:val="00420D36"/>
    <w:rsid w:val="00422E11"/>
    <w:rsid w:val="00426B9B"/>
    <w:rsid w:val="00431B17"/>
    <w:rsid w:val="004325CB"/>
    <w:rsid w:val="00432F17"/>
    <w:rsid w:val="00433ED6"/>
    <w:rsid w:val="00435D3C"/>
    <w:rsid w:val="004364F7"/>
    <w:rsid w:val="00436E55"/>
    <w:rsid w:val="00440653"/>
    <w:rsid w:val="00443F4C"/>
    <w:rsid w:val="0044411E"/>
    <w:rsid w:val="00445E28"/>
    <w:rsid w:val="00454927"/>
    <w:rsid w:val="0045495B"/>
    <w:rsid w:val="0045533D"/>
    <w:rsid w:val="00455AEF"/>
    <w:rsid w:val="00456549"/>
    <w:rsid w:val="00456FF2"/>
    <w:rsid w:val="00461EF9"/>
    <w:rsid w:val="00474A9B"/>
    <w:rsid w:val="0047693D"/>
    <w:rsid w:val="00481F7D"/>
    <w:rsid w:val="00482393"/>
    <w:rsid w:val="00484A28"/>
    <w:rsid w:val="00484A43"/>
    <w:rsid w:val="00487660"/>
    <w:rsid w:val="00487BD3"/>
    <w:rsid w:val="00491849"/>
    <w:rsid w:val="0049218D"/>
    <w:rsid w:val="00493648"/>
    <w:rsid w:val="004A3A3E"/>
    <w:rsid w:val="004A6286"/>
    <w:rsid w:val="004B1E94"/>
    <w:rsid w:val="004B2F11"/>
    <w:rsid w:val="004B6B70"/>
    <w:rsid w:val="004B7FD4"/>
    <w:rsid w:val="004C0584"/>
    <w:rsid w:val="004C4598"/>
    <w:rsid w:val="004E45C4"/>
    <w:rsid w:val="004E4CD6"/>
    <w:rsid w:val="004F3485"/>
    <w:rsid w:val="004F3C05"/>
    <w:rsid w:val="004F4A0A"/>
    <w:rsid w:val="004F4DA0"/>
    <w:rsid w:val="004F5894"/>
    <w:rsid w:val="005033DE"/>
    <w:rsid w:val="00514EA6"/>
    <w:rsid w:val="0051557E"/>
    <w:rsid w:val="005209CF"/>
    <w:rsid w:val="005243C3"/>
    <w:rsid w:val="00534D3A"/>
    <w:rsid w:val="005369BA"/>
    <w:rsid w:val="005420F2"/>
    <w:rsid w:val="00545167"/>
    <w:rsid w:val="00550BB3"/>
    <w:rsid w:val="005517F3"/>
    <w:rsid w:val="005525A1"/>
    <w:rsid w:val="00555AD7"/>
    <w:rsid w:val="005620FE"/>
    <w:rsid w:val="00567612"/>
    <w:rsid w:val="00574728"/>
    <w:rsid w:val="005804E4"/>
    <w:rsid w:val="00581804"/>
    <w:rsid w:val="00583A37"/>
    <w:rsid w:val="00583EAF"/>
    <w:rsid w:val="0058629E"/>
    <w:rsid w:val="00586F1C"/>
    <w:rsid w:val="00587101"/>
    <w:rsid w:val="00592D1C"/>
    <w:rsid w:val="00594BAE"/>
    <w:rsid w:val="005B3C9F"/>
    <w:rsid w:val="005B3DB3"/>
    <w:rsid w:val="005B4B50"/>
    <w:rsid w:val="005B5F15"/>
    <w:rsid w:val="005B7CB1"/>
    <w:rsid w:val="005C74A9"/>
    <w:rsid w:val="005C75C5"/>
    <w:rsid w:val="005D6C13"/>
    <w:rsid w:val="005D7040"/>
    <w:rsid w:val="005E181A"/>
    <w:rsid w:val="005E6F3E"/>
    <w:rsid w:val="005F0529"/>
    <w:rsid w:val="005F2657"/>
    <w:rsid w:val="005F3C70"/>
    <w:rsid w:val="005F530E"/>
    <w:rsid w:val="005F7410"/>
    <w:rsid w:val="006001EE"/>
    <w:rsid w:val="006013C7"/>
    <w:rsid w:val="00602E36"/>
    <w:rsid w:val="006066AD"/>
    <w:rsid w:val="006078D8"/>
    <w:rsid w:val="0061177C"/>
    <w:rsid w:val="00611FC4"/>
    <w:rsid w:val="0061270D"/>
    <w:rsid w:val="00612F31"/>
    <w:rsid w:val="0061458F"/>
    <w:rsid w:val="006176FB"/>
    <w:rsid w:val="00623DA1"/>
    <w:rsid w:val="0063123F"/>
    <w:rsid w:val="006318B7"/>
    <w:rsid w:val="00631DF2"/>
    <w:rsid w:val="00634985"/>
    <w:rsid w:val="0063511C"/>
    <w:rsid w:val="00640B26"/>
    <w:rsid w:val="006500BC"/>
    <w:rsid w:val="00652D0A"/>
    <w:rsid w:val="00653562"/>
    <w:rsid w:val="00666B8C"/>
    <w:rsid w:val="00670586"/>
    <w:rsid w:val="00684DA2"/>
    <w:rsid w:val="00686832"/>
    <w:rsid w:val="00690AC5"/>
    <w:rsid w:val="00692836"/>
    <w:rsid w:val="006A7410"/>
    <w:rsid w:val="006B2C34"/>
    <w:rsid w:val="006C1FD7"/>
    <w:rsid w:val="006C3FA9"/>
    <w:rsid w:val="006D0185"/>
    <w:rsid w:val="006D088C"/>
    <w:rsid w:val="006D1844"/>
    <w:rsid w:val="006D39BE"/>
    <w:rsid w:val="006D43E4"/>
    <w:rsid w:val="006E41DD"/>
    <w:rsid w:val="006E4EE9"/>
    <w:rsid w:val="006E564B"/>
    <w:rsid w:val="006E6E4C"/>
    <w:rsid w:val="006F4096"/>
    <w:rsid w:val="006F4F1B"/>
    <w:rsid w:val="006F5751"/>
    <w:rsid w:val="006F5AF9"/>
    <w:rsid w:val="007013F6"/>
    <w:rsid w:val="007037B7"/>
    <w:rsid w:val="00703CDA"/>
    <w:rsid w:val="00706638"/>
    <w:rsid w:val="00710ABA"/>
    <w:rsid w:val="0071172C"/>
    <w:rsid w:val="00715827"/>
    <w:rsid w:val="00720FCC"/>
    <w:rsid w:val="0072109F"/>
    <w:rsid w:val="00725BA7"/>
    <w:rsid w:val="0072632A"/>
    <w:rsid w:val="007265D3"/>
    <w:rsid w:val="007315CF"/>
    <w:rsid w:val="00733A73"/>
    <w:rsid w:val="007373B2"/>
    <w:rsid w:val="00743318"/>
    <w:rsid w:val="007442B2"/>
    <w:rsid w:val="00746795"/>
    <w:rsid w:val="0075296C"/>
    <w:rsid w:val="007566AD"/>
    <w:rsid w:val="00761EBF"/>
    <w:rsid w:val="00762E11"/>
    <w:rsid w:val="00764D8A"/>
    <w:rsid w:val="00776280"/>
    <w:rsid w:val="00776EF2"/>
    <w:rsid w:val="007834A2"/>
    <w:rsid w:val="00783D42"/>
    <w:rsid w:val="00793650"/>
    <w:rsid w:val="007A3862"/>
    <w:rsid w:val="007A6564"/>
    <w:rsid w:val="007A6E30"/>
    <w:rsid w:val="007A6FAB"/>
    <w:rsid w:val="007B16FF"/>
    <w:rsid w:val="007B3B59"/>
    <w:rsid w:val="007B4EFD"/>
    <w:rsid w:val="007B69E2"/>
    <w:rsid w:val="007B6BA5"/>
    <w:rsid w:val="007C3390"/>
    <w:rsid w:val="007C4F4B"/>
    <w:rsid w:val="007C52DF"/>
    <w:rsid w:val="007C7E41"/>
    <w:rsid w:val="007D13E0"/>
    <w:rsid w:val="007E06EC"/>
    <w:rsid w:val="007E14D0"/>
    <w:rsid w:val="007E2651"/>
    <w:rsid w:val="007E2A1D"/>
    <w:rsid w:val="007E36B7"/>
    <w:rsid w:val="007E382C"/>
    <w:rsid w:val="007E3A7E"/>
    <w:rsid w:val="007E64ED"/>
    <w:rsid w:val="007E66D8"/>
    <w:rsid w:val="007F4443"/>
    <w:rsid w:val="007F6611"/>
    <w:rsid w:val="00800721"/>
    <w:rsid w:val="008015CC"/>
    <w:rsid w:val="00804312"/>
    <w:rsid w:val="0080537A"/>
    <w:rsid w:val="008074DF"/>
    <w:rsid w:val="008107E0"/>
    <w:rsid w:val="008115A1"/>
    <w:rsid w:val="00820609"/>
    <w:rsid w:val="00820D6A"/>
    <w:rsid w:val="00823EF7"/>
    <w:rsid w:val="008242D7"/>
    <w:rsid w:val="00824B24"/>
    <w:rsid w:val="008268DF"/>
    <w:rsid w:val="008359C4"/>
    <w:rsid w:val="00840BA9"/>
    <w:rsid w:val="00841BC2"/>
    <w:rsid w:val="008437A5"/>
    <w:rsid w:val="008439AD"/>
    <w:rsid w:val="00846D27"/>
    <w:rsid w:val="00846E73"/>
    <w:rsid w:val="00846F62"/>
    <w:rsid w:val="00853BFE"/>
    <w:rsid w:val="0085717A"/>
    <w:rsid w:val="008662F3"/>
    <w:rsid w:val="0086698F"/>
    <w:rsid w:val="00866EFC"/>
    <w:rsid w:val="008678AE"/>
    <w:rsid w:val="00871F15"/>
    <w:rsid w:val="00874762"/>
    <w:rsid w:val="008924FC"/>
    <w:rsid w:val="00892B70"/>
    <w:rsid w:val="00895EC9"/>
    <w:rsid w:val="0089755A"/>
    <w:rsid w:val="008979B1"/>
    <w:rsid w:val="008A38C4"/>
    <w:rsid w:val="008A46EE"/>
    <w:rsid w:val="008A6793"/>
    <w:rsid w:val="008A6B25"/>
    <w:rsid w:val="008A6C4F"/>
    <w:rsid w:val="008B2335"/>
    <w:rsid w:val="008B3CE3"/>
    <w:rsid w:val="008C2AE0"/>
    <w:rsid w:val="008C329E"/>
    <w:rsid w:val="008C5C70"/>
    <w:rsid w:val="008C6F63"/>
    <w:rsid w:val="008C723B"/>
    <w:rsid w:val="008D4AC6"/>
    <w:rsid w:val="008D688C"/>
    <w:rsid w:val="008E022B"/>
    <w:rsid w:val="008E7BBE"/>
    <w:rsid w:val="008F6259"/>
    <w:rsid w:val="008F7E70"/>
    <w:rsid w:val="00903C98"/>
    <w:rsid w:val="0090482F"/>
    <w:rsid w:val="0090524D"/>
    <w:rsid w:val="00905C13"/>
    <w:rsid w:val="00920B71"/>
    <w:rsid w:val="0092103B"/>
    <w:rsid w:val="009223CA"/>
    <w:rsid w:val="00923981"/>
    <w:rsid w:val="00930107"/>
    <w:rsid w:val="00933477"/>
    <w:rsid w:val="00940C9E"/>
    <w:rsid w:val="00940F93"/>
    <w:rsid w:val="00944BD3"/>
    <w:rsid w:val="0095130C"/>
    <w:rsid w:val="00953683"/>
    <w:rsid w:val="00954347"/>
    <w:rsid w:val="009572FE"/>
    <w:rsid w:val="0096194F"/>
    <w:rsid w:val="00977F60"/>
    <w:rsid w:val="009827CD"/>
    <w:rsid w:val="00983CD5"/>
    <w:rsid w:val="009874D0"/>
    <w:rsid w:val="009A54B6"/>
    <w:rsid w:val="009A6D4A"/>
    <w:rsid w:val="009B779F"/>
    <w:rsid w:val="009C0988"/>
    <w:rsid w:val="009C1BB2"/>
    <w:rsid w:val="009C39A4"/>
    <w:rsid w:val="009C3B21"/>
    <w:rsid w:val="009C614D"/>
    <w:rsid w:val="009D2463"/>
    <w:rsid w:val="009D25D2"/>
    <w:rsid w:val="00A0059C"/>
    <w:rsid w:val="00A01489"/>
    <w:rsid w:val="00A03618"/>
    <w:rsid w:val="00A03DD4"/>
    <w:rsid w:val="00A05FEB"/>
    <w:rsid w:val="00A0600A"/>
    <w:rsid w:val="00A0632D"/>
    <w:rsid w:val="00A10157"/>
    <w:rsid w:val="00A1205C"/>
    <w:rsid w:val="00A12920"/>
    <w:rsid w:val="00A14D5B"/>
    <w:rsid w:val="00A17BBE"/>
    <w:rsid w:val="00A27B8F"/>
    <w:rsid w:val="00A33E7E"/>
    <w:rsid w:val="00A33F05"/>
    <w:rsid w:val="00A36B1F"/>
    <w:rsid w:val="00A43092"/>
    <w:rsid w:val="00A43AB5"/>
    <w:rsid w:val="00A472B3"/>
    <w:rsid w:val="00A5384B"/>
    <w:rsid w:val="00A553EB"/>
    <w:rsid w:val="00A639D6"/>
    <w:rsid w:val="00A72F22"/>
    <w:rsid w:val="00A74171"/>
    <w:rsid w:val="00A748A6"/>
    <w:rsid w:val="00A776B4"/>
    <w:rsid w:val="00A85098"/>
    <w:rsid w:val="00A94361"/>
    <w:rsid w:val="00A9719B"/>
    <w:rsid w:val="00AA017B"/>
    <w:rsid w:val="00AA312C"/>
    <w:rsid w:val="00AB550D"/>
    <w:rsid w:val="00AC2C3D"/>
    <w:rsid w:val="00AC2E7A"/>
    <w:rsid w:val="00AC351C"/>
    <w:rsid w:val="00AC4AC4"/>
    <w:rsid w:val="00AC4C6B"/>
    <w:rsid w:val="00AC692C"/>
    <w:rsid w:val="00AD04BE"/>
    <w:rsid w:val="00AD40B7"/>
    <w:rsid w:val="00AE13EA"/>
    <w:rsid w:val="00AE2E9D"/>
    <w:rsid w:val="00AE4F10"/>
    <w:rsid w:val="00AF39BE"/>
    <w:rsid w:val="00B0288F"/>
    <w:rsid w:val="00B039B6"/>
    <w:rsid w:val="00B07C51"/>
    <w:rsid w:val="00B11C2E"/>
    <w:rsid w:val="00B15A99"/>
    <w:rsid w:val="00B16979"/>
    <w:rsid w:val="00B20FFB"/>
    <w:rsid w:val="00B23061"/>
    <w:rsid w:val="00B27787"/>
    <w:rsid w:val="00B3014E"/>
    <w:rsid w:val="00B30179"/>
    <w:rsid w:val="00B3163C"/>
    <w:rsid w:val="00B32AA2"/>
    <w:rsid w:val="00B33CB1"/>
    <w:rsid w:val="00B44D56"/>
    <w:rsid w:val="00B45400"/>
    <w:rsid w:val="00B518A8"/>
    <w:rsid w:val="00B5365F"/>
    <w:rsid w:val="00B561D9"/>
    <w:rsid w:val="00B56E9C"/>
    <w:rsid w:val="00B64B1F"/>
    <w:rsid w:val="00B65307"/>
    <w:rsid w:val="00B6553F"/>
    <w:rsid w:val="00B7049A"/>
    <w:rsid w:val="00B74363"/>
    <w:rsid w:val="00B7753F"/>
    <w:rsid w:val="00B81E12"/>
    <w:rsid w:val="00B8607E"/>
    <w:rsid w:val="00B8670A"/>
    <w:rsid w:val="00B90EFB"/>
    <w:rsid w:val="00B94609"/>
    <w:rsid w:val="00B963B6"/>
    <w:rsid w:val="00BA089D"/>
    <w:rsid w:val="00BA6416"/>
    <w:rsid w:val="00BB02F0"/>
    <w:rsid w:val="00BB1F6A"/>
    <w:rsid w:val="00BB2745"/>
    <w:rsid w:val="00BB6195"/>
    <w:rsid w:val="00BB6B22"/>
    <w:rsid w:val="00BC32B0"/>
    <w:rsid w:val="00BC51C9"/>
    <w:rsid w:val="00BC57F5"/>
    <w:rsid w:val="00BC74E9"/>
    <w:rsid w:val="00BC7744"/>
    <w:rsid w:val="00BC7F4A"/>
    <w:rsid w:val="00BD452D"/>
    <w:rsid w:val="00BE2FE3"/>
    <w:rsid w:val="00BE4399"/>
    <w:rsid w:val="00BE47B5"/>
    <w:rsid w:val="00BE64DA"/>
    <w:rsid w:val="00BE79D0"/>
    <w:rsid w:val="00BE7C1F"/>
    <w:rsid w:val="00BF68A8"/>
    <w:rsid w:val="00C01FF8"/>
    <w:rsid w:val="00C05035"/>
    <w:rsid w:val="00C06077"/>
    <w:rsid w:val="00C17B60"/>
    <w:rsid w:val="00C20888"/>
    <w:rsid w:val="00C37447"/>
    <w:rsid w:val="00C40747"/>
    <w:rsid w:val="00C416A9"/>
    <w:rsid w:val="00C463DD"/>
    <w:rsid w:val="00C46705"/>
    <w:rsid w:val="00C4724C"/>
    <w:rsid w:val="00C50110"/>
    <w:rsid w:val="00C5765B"/>
    <w:rsid w:val="00C6007A"/>
    <w:rsid w:val="00C60682"/>
    <w:rsid w:val="00C629A0"/>
    <w:rsid w:val="00C6559E"/>
    <w:rsid w:val="00C7317C"/>
    <w:rsid w:val="00C73430"/>
    <w:rsid w:val="00C74169"/>
    <w:rsid w:val="00C745C3"/>
    <w:rsid w:val="00C748A7"/>
    <w:rsid w:val="00C81386"/>
    <w:rsid w:val="00C82F72"/>
    <w:rsid w:val="00C86067"/>
    <w:rsid w:val="00C92195"/>
    <w:rsid w:val="00C93F08"/>
    <w:rsid w:val="00CA1163"/>
    <w:rsid w:val="00CA19B5"/>
    <w:rsid w:val="00CA354D"/>
    <w:rsid w:val="00CA792D"/>
    <w:rsid w:val="00CB2285"/>
    <w:rsid w:val="00CB7801"/>
    <w:rsid w:val="00CC0E28"/>
    <w:rsid w:val="00CC27A3"/>
    <w:rsid w:val="00CC2E66"/>
    <w:rsid w:val="00CD258E"/>
    <w:rsid w:val="00CD36B9"/>
    <w:rsid w:val="00CD4022"/>
    <w:rsid w:val="00CD4142"/>
    <w:rsid w:val="00CD7C64"/>
    <w:rsid w:val="00CE0E13"/>
    <w:rsid w:val="00CE4A8F"/>
    <w:rsid w:val="00CE4FCF"/>
    <w:rsid w:val="00CE63A7"/>
    <w:rsid w:val="00CE7061"/>
    <w:rsid w:val="00CF68E5"/>
    <w:rsid w:val="00D02FAC"/>
    <w:rsid w:val="00D04609"/>
    <w:rsid w:val="00D07A62"/>
    <w:rsid w:val="00D07DAE"/>
    <w:rsid w:val="00D109D5"/>
    <w:rsid w:val="00D12220"/>
    <w:rsid w:val="00D13045"/>
    <w:rsid w:val="00D1353C"/>
    <w:rsid w:val="00D16AD8"/>
    <w:rsid w:val="00D176E8"/>
    <w:rsid w:val="00D2031B"/>
    <w:rsid w:val="00D21CE9"/>
    <w:rsid w:val="00D25FE2"/>
    <w:rsid w:val="00D26496"/>
    <w:rsid w:val="00D26624"/>
    <w:rsid w:val="00D329E7"/>
    <w:rsid w:val="00D35D96"/>
    <w:rsid w:val="00D43252"/>
    <w:rsid w:val="00D43B05"/>
    <w:rsid w:val="00D447D7"/>
    <w:rsid w:val="00D469AF"/>
    <w:rsid w:val="00D5184B"/>
    <w:rsid w:val="00D77C6F"/>
    <w:rsid w:val="00D8329F"/>
    <w:rsid w:val="00D85680"/>
    <w:rsid w:val="00D90A7C"/>
    <w:rsid w:val="00D93FE0"/>
    <w:rsid w:val="00D95303"/>
    <w:rsid w:val="00D978C6"/>
    <w:rsid w:val="00D97F83"/>
    <w:rsid w:val="00DA3C1C"/>
    <w:rsid w:val="00DA483F"/>
    <w:rsid w:val="00DB58B3"/>
    <w:rsid w:val="00DC4BBF"/>
    <w:rsid w:val="00DC5597"/>
    <w:rsid w:val="00DD05BC"/>
    <w:rsid w:val="00DD1965"/>
    <w:rsid w:val="00DD48CD"/>
    <w:rsid w:val="00DD5A6D"/>
    <w:rsid w:val="00DE061F"/>
    <w:rsid w:val="00DE2920"/>
    <w:rsid w:val="00DE5CF5"/>
    <w:rsid w:val="00DE5E2D"/>
    <w:rsid w:val="00DE7DFF"/>
    <w:rsid w:val="00DF135E"/>
    <w:rsid w:val="00DF4123"/>
    <w:rsid w:val="00DF797B"/>
    <w:rsid w:val="00DF7EB4"/>
    <w:rsid w:val="00E02499"/>
    <w:rsid w:val="00E02FB2"/>
    <w:rsid w:val="00E05EED"/>
    <w:rsid w:val="00E05F1B"/>
    <w:rsid w:val="00E06409"/>
    <w:rsid w:val="00E07E21"/>
    <w:rsid w:val="00E21752"/>
    <w:rsid w:val="00E24D09"/>
    <w:rsid w:val="00E33CBA"/>
    <w:rsid w:val="00E35B35"/>
    <w:rsid w:val="00E41AC7"/>
    <w:rsid w:val="00E5666C"/>
    <w:rsid w:val="00E62B64"/>
    <w:rsid w:val="00E640E4"/>
    <w:rsid w:val="00E64274"/>
    <w:rsid w:val="00E71BC8"/>
    <w:rsid w:val="00E7260F"/>
    <w:rsid w:val="00E7690E"/>
    <w:rsid w:val="00E76FDF"/>
    <w:rsid w:val="00E803B3"/>
    <w:rsid w:val="00E8583E"/>
    <w:rsid w:val="00E91FBB"/>
    <w:rsid w:val="00E96630"/>
    <w:rsid w:val="00E96D68"/>
    <w:rsid w:val="00EA1E22"/>
    <w:rsid w:val="00EA2395"/>
    <w:rsid w:val="00EA2677"/>
    <w:rsid w:val="00EA3DE8"/>
    <w:rsid w:val="00EB39E3"/>
    <w:rsid w:val="00EC0CD1"/>
    <w:rsid w:val="00EC21C7"/>
    <w:rsid w:val="00EC4D70"/>
    <w:rsid w:val="00EC73F5"/>
    <w:rsid w:val="00ED0325"/>
    <w:rsid w:val="00ED6201"/>
    <w:rsid w:val="00ED7A2A"/>
    <w:rsid w:val="00EE4FE0"/>
    <w:rsid w:val="00EE506D"/>
    <w:rsid w:val="00EF1D7F"/>
    <w:rsid w:val="00EF20B5"/>
    <w:rsid w:val="00EF555C"/>
    <w:rsid w:val="00F02ECE"/>
    <w:rsid w:val="00F22DCA"/>
    <w:rsid w:val="00F264C4"/>
    <w:rsid w:val="00F30DBA"/>
    <w:rsid w:val="00F30FC4"/>
    <w:rsid w:val="00F313A2"/>
    <w:rsid w:val="00F46A97"/>
    <w:rsid w:val="00F47262"/>
    <w:rsid w:val="00F50223"/>
    <w:rsid w:val="00F56DD5"/>
    <w:rsid w:val="00F57C51"/>
    <w:rsid w:val="00F60C1A"/>
    <w:rsid w:val="00F61C0B"/>
    <w:rsid w:val="00F7062F"/>
    <w:rsid w:val="00F70736"/>
    <w:rsid w:val="00F82C6D"/>
    <w:rsid w:val="00F91502"/>
    <w:rsid w:val="00FA089D"/>
    <w:rsid w:val="00FA0BE8"/>
    <w:rsid w:val="00FA73CE"/>
    <w:rsid w:val="00FB494A"/>
    <w:rsid w:val="00FC604B"/>
    <w:rsid w:val="00FC68B7"/>
    <w:rsid w:val="00FD219F"/>
    <w:rsid w:val="00FE463B"/>
    <w:rsid w:val="00FF3D76"/>
    <w:rsid w:val="00FF716D"/>
    <w:rsid w:val="00FF7D0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76ECC"/>
  <w15:docId w15:val="{74B79E0B-688F-41D2-AE72-9FA7EBC0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74DF"/>
    <w:pPr>
      <w:suppressAutoHyphens/>
      <w:spacing w:line="240" w:lineRule="atLeast"/>
    </w:pPr>
    <w:rPr>
      <w:lang w:val="en-GB" w:eastAsia="en-US"/>
    </w:rPr>
  </w:style>
  <w:style w:type="paragraph" w:styleId="Heading1">
    <w:name w:val="heading 1"/>
    <w:aliases w:val="Table_G"/>
    <w:basedOn w:val="SingleTxtG"/>
    <w:next w:val="SingleTxtG"/>
    <w:link w:val="Heading1Char"/>
    <w:uiPriority w:val="9"/>
    <w:qFormat/>
    <w:rsid w:val="00C92195"/>
    <w:pPr>
      <w:spacing w:after="0" w:line="240" w:lineRule="auto"/>
      <w:ind w:right="0"/>
      <w:jc w:val="left"/>
      <w:outlineLvl w:val="0"/>
    </w:pPr>
  </w:style>
  <w:style w:type="paragraph" w:styleId="Heading2">
    <w:name w:val="heading 2"/>
    <w:basedOn w:val="Normal"/>
    <w:next w:val="Normal"/>
    <w:semiHidden/>
    <w:qFormat/>
    <w:rsid w:val="00C92195"/>
    <w:pPr>
      <w:spacing w:line="240" w:lineRule="auto"/>
      <w:outlineLvl w:val="1"/>
    </w:pPr>
  </w:style>
  <w:style w:type="paragraph" w:styleId="Heading3">
    <w:name w:val="heading 3"/>
    <w:basedOn w:val="Normal"/>
    <w:next w:val="Normal"/>
    <w:semiHidden/>
    <w:qFormat/>
    <w:rsid w:val="00C92195"/>
    <w:pPr>
      <w:spacing w:line="240" w:lineRule="auto"/>
      <w:outlineLvl w:val="2"/>
    </w:pPr>
  </w:style>
  <w:style w:type="paragraph" w:styleId="Heading4">
    <w:name w:val="heading 4"/>
    <w:basedOn w:val="Normal"/>
    <w:next w:val="Normal"/>
    <w:semiHidden/>
    <w:qFormat/>
    <w:rsid w:val="00C92195"/>
    <w:pPr>
      <w:spacing w:line="240" w:lineRule="auto"/>
      <w:outlineLvl w:val="3"/>
    </w:pPr>
  </w:style>
  <w:style w:type="paragraph" w:styleId="Heading5">
    <w:name w:val="heading 5"/>
    <w:basedOn w:val="Normal"/>
    <w:next w:val="Normal"/>
    <w:semiHidden/>
    <w:qFormat/>
    <w:rsid w:val="00C92195"/>
    <w:pPr>
      <w:spacing w:line="240" w:lineRule="auto"/>
      <w:outlineLvl w:val="4"/>
    </w:pPr>
  </w:style>
  <w:style w:type="paragraph" w:styleId="Heading6">
    <w:name w:val="heading 6"/>
    <w:basedOn w:val="Normal"/>
    <w:next w:val="Normal"/>
    <w:semiHidden/>
    <w:qFormat/>
    <w:rsid w:val="00C92195"/>
    <w:pPr>
      <w:spacing w:line="240" w:lineRule="auto"/>
      <w:outlineLvl w:val="5"/>
    </w:pPr>
  </w:style>
  <w:style w:type="paragraph" w:styleId="Heading7">
    <w:name w:val="heading 7"/>
    <w:basedOn w:val="Normal"/>
    <w:next w:val="Normal"/>
    <w:semiHidden/>
    <w:qFormat/>
    <w:rsid w:val="00C92195"/>
    <w:pPr>
      <w:spacing w:line="240" w:lineRule="auto"/>
      <w:outlineLvl w:val="6"/>
    </w:pPr>
  </w:style>
  <w:style w:type="paragraph" w:styleId="Heading8">
    <w:name w:val="heading 8"/>
    <w:basedOn w:val="Normal"/>
    <w:next w:val="Normal"/>
    <w:semiHidden/>
    <w:qFormat/>
    <w:rsid w:val="00C92195"/>
    <w:pPr>
      <w:spacing w:line="240" w:lineRule="auto"/>
      <w:outlineLvl w:val="7"/>
    </w:pPr>
  </w:style>
  <w:style w:type="paragraph" w:styleId="Heading9">
    <w:name w:val="heading 9"/>
    <w:basedOn w:val="Normal"/>
    <w:next w:val="Normal"/>
    <w:semiHidden/>
    <w:qFormat/>
    <w:rsid w:val="00C92195"/>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qFormat/>
    <w:rsid w:val="00C92195"/>
    <w:pPr>
      <w:spacing w:after="120"/>
      <w:ind w:left="1134" w:right="1134"/>
      <w:jc w:val="both"/>
    </w:pPr>
  </w:style>
  <w:style w:type="paragraph" w:customStyle="1" w:styleId="HMG">
    <w:name w:val="_ H __M_G"/>
    <w:basedOn w:val="Normal"/>
    <w:next w:val="Normal"/>
    <w:qFormat/>
    <w:rsid w:val="00C92195"/>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92195"/>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basedOn w:val="DefaultParagraphFont"/>
    <w:uiPriority w:val="99"/>
    <w:qFormat/>
    <w:rsid w:val="00C92195"/>
    <w:rPr>
      <w:rFonts w:ascii="Times New Roman" w:hAnsi="Times New Roman"/>
      <w:sz w:val="18"/>
      <w:vertAlign w:val="superscript"/>
    </w:rPr>
  </w:style>
  <w:style w:type="character" w:styleId="EndnoteReference">
    <w:name w:val="endnote reference"/>
    <w:aliases w:val="1_G"/>
    <w:basedOn w:val="FootnoteReference"/>
    <w:uiPriority w:val="99"/>
    <w:qFormat/>
    <w:rsid w:val="00C92195"/>
    <w:rPr>
      <w:rFonts w:ascii="Times New Roman" w:hAnsi="Times New Roman"/>
      <w:sz w:val="18"/>
      <w:vertAlign w:val="superscript"/>
    </w:rPr>
  </w:style>
  <w:style w:type="paragraph" w:styleId="Header">
    <w:name w:val="header"/>
    <w:aliases w:val="6_G"/>
    <w:basedOn w:val="Normal"/>
    <w:link w:val="HeaderChar"/>
    <w:uiPriority w:val="99"/>
    <w:qFormat/>
    <w:rsid w:val="00C92195"/>
    <w:pPr>
      <w:pBdr>
        <w:bottom w:val="single" w:sz="4" w:space="4" w:color="auto"/>
      </w:pBdr>
      <w:spacing w:line="240" w:lineRule="auto"/>
    </w:pPr>
    <w:rPr>
      <w:b/>
      <w:sz w:val="18"/>
    </w:rPr>
  </w:style>
  <w:style w:type="table" w:styleId="TableGrid">
    <w:name w:val="Table Grid"/>
    <w:basedOn w:val="TableNormal"/>
    <w:uiPriority w:val="39"/>
    <w:rsid w:val="00C92195"/>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92195"/>
    <w:rPr>
      <w:color w:val="auto"/>
      <w:u w:val="none"/>
    </w:rPr>
  </w:style>
  <w:style w:type="paragraph" w:customStyle="1" w:styleId="SMG">
    <w:name w:val="__S_M_G"/>
    <w:basedOn w:val="Normal"/>
    <w:next w:val="Normal"/>
    <w:qFormat/>
    <w:rsid w:val="00C92195"/>
    <w:pPr>
      <w:keepNext/>
      <w:keepLines/>
      <w:spacing w:before="240" w:after="240" w:line="420" w:lineRule="exact"/>
      <w:ind w:left="1134" w:right="1134"/>
    </w:pPr>
    <w:rPr>
      <w:b/>
      <w:sz w:val="40"/>
    </w:rPr>
  </w:style>
  <w:style w:type="paragraph" w:customStyle="1" w:styleId="SLG">
    <w:name w:val="__S_L_G"/>
    <w:basedOn w:val="Normal"/>
    <w:next w:val="Normal"/>
    <w:qFormat/>
    <w:rsid w:val="00C92195"/>
    <w:pPr>
      <w:keepNext/>
      <w:keepLines/>
      <w:spacing w:before="240" w:after="240" w:line="580" w:lineRule="exact"/>
      <w:ind w:left="1134" w:right="1134"/>
    </w:pPr>
    <w:rPr>
      <w:b/>
      <w:sz w:val="56"/>
    </w:rPr>
  </w:style>
  <w:style w:type="paragraph" w:customStyle="1" w:styleId="SSG">
    <w:name w:val="__S_S_G"/>
    <w:basedOn w:val="Normal"/>
    <w:next w:val="Normal"/>
    <w:qFormat/>
    <w:rsid w:val="00C92195"/>
    <w:pPr>
      <w:keepNext/>
      <w:keepLines/>
      <w:spacing w:before="240" w:after="240" w:line="300" w:lineRule="exact"/>
      <w:ind w:left="1134" w:right="1134"/>
    </w:pPr>
    <w:rPr>
      <w:b/>
      <w:sz w:val="28"/>
    </w:rPr>
  </w:style>
  <w:style w:type="character" w:styleId="FollowedHyperlink">
    <w:name w:val="FollowedHyperlink"/>
    <w:basedOn w:val="DefaultParagraphFont"/>
    <w:uiPriority w:val="99"/>
    <w:semiHidden/>
    <w:rsid w:val="00C92195"/>
    <w:rPr>
      <w:color w:val="auto"/>
      <w:u w:val="none"/>
    </w:rPr>
  </w:style>
  <w:style w:type="paragraph" w:styleId="FootnoteText">
    <w:name w:val="footnote text"/>
    <w:aliases w:val="5_G"/>
    <w:basedOn w:val="Normal"/>
    <w:link w:val="FootnoteTextChar"/>
    <w:uiPriority w:val="99"/>
    <w:qFormat/>
    <w:rsid w:val="00C92195"/>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uiPriority w:val="99"/>
    <w:qFormat/>
    <w:rsid w:val="00C92195"/>
  </w:style>
  <w:style w:type="paragraph" w:customStyle="1" w:styleId="XLargeG">
    <w:name w:val="__XLarge_G"/>
    <w:basedOn w:val="Normal"/>
    <w:next w:val="Normal"/>
    <w:qFormat/>
    <w:rsid w:val="00C92195"/>
    <w:pPr>
      <w:keepNext/>
      <w:keepLines/>
      <w:spacing w:before="240" w:after="240" w:line="420" w:lineRule="exact"/>
      <w:ind w:left="1134" w:right="1134"/>
    </w:pPr>
    <w:rPr>
      <w:b/>
      <w:sz w:val="40"/>
    </w:rPr>
  </w:style>
  <w:style w:type="paragraph" w:customStyle="1" w:styleId="Bullet1G">
    <w:name w:val="_Bullet 1_G"/>
    <w:basedOn w:val="Normal"/>
    <w:qFormat/>
    <w:rsid w:val="00C92195"/>
    <w:pPr>
      <w:numPr>
        <w:numId w:val="1"/>
      </w:numPr>
      <w:spacing w:after="120"/>
      <w:ind w:right="1134"/>
      <w:jc w:val="both"/>
    </w:pPr>
  </w:style>
  <w:style w:type="character" w:styleId="PageNumber">
    <w:name w:val="page number"/>
    <w:aliases w:val="7_G"/>
    <w:basedOn w:val="DefaultParagraphFont"/>
    <w:qFormat/>
    <w:rsid w:val="00C92195"/>
    <w:rPr>
      <w:rFonts w:ascii="Times New Roman" w:hAnsi="Times New Roman"/>
      <w:b/>
      <w:sz w:val="18"/>
    </w:rPr>
  </w:style>
  <w:style w:type="paragraph" w:styleId="Footer">
    <w:name w:val="footer"/>
    <w:aliases w:val="3_G"/>
    <w:basedOn w:val="Normal"/>
    <w:link w:val="FooterChar"/>
    <w:uiPriority w:val="99"/>
    <w:qFormat/>
    <w:rsid w:val="00C92195"/>
    <w:pPr>
      <w:spacing w:line="240" w:lineRule="auto"/>
    </w:pPr>
    <w:rPr>
      <w:sz w:val="16"/>
    </w:rPr>
  </w:style>
  <w:style w:type="paragraph" w:customStyle="1" w:styleId="Bullet2G">
    <w:name w:val="_Bullet 2_G"/>
    <w:basedOn w:val="Normal"/>
    <w:qFormat/>
    <w:rsid w:val="00C92195"/>
    <w:pPr>
      <w:numPr>
        <w:numId w:val="2"/>
      </w:numPr>
      <w:spacing w:after="120"/>
      <w:ind w:right="1134"/>
      <w:jc w:val="both"/>
    </w:pPr>
  </w:style>
  <w:style w:type="paragraph" w:customStyle="1" w:styleId="H1G">
    <w:name w:val="_ H_1_G"/>
    <w:basedOn w:val="Normal"/>
    <w:next w:val="Normal"/>
    <w:qFormat/>
    <w:rsid w:val="00C92195"/>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9219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9219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92195"/>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D518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84B"/>
    <w:rPr>
      <w:rFonts w:ascii="Tahoma" w:hAnsi="Tahoma" w:cs="Tahoma"/>
      <w:sz w:val="16"/>
      <w:szCs w:val="16"/>
      <w:lang w:val="en-GB" w:eastAsia="en-US"/>
    </w:rPr>
  </w:style>
  <w:style w:type="paragraph" w:customStyle="1" w:styleId="ParNoG">
    <w:name w:val="_ParNo_G"/>
    <w:basedOn w:val="SingleTxtG"/>
    <w:qFormat/>
    <w:rsid w:val="00B3163C"/>
    <w:pPr>
      <w:numPr>
        <w:numId w:val="3"/>
      </w:numPr>
      <w:kinsoku w:val="0"/>
      <w:overflowPunct w:val="0"/>
      <w:autoSpaceDE w:val="0"/>
      <w:autoSpaceDN w:val="0"/>
      <w:adjustRightInd w:val="0"/>
      <w:snapToGrid w:val="0"/>
    </w:pPr>
  </w:style>
  <w:style w:type="paragraph" w:styleId="ListParagraph">
    <w:name w:val="List Paragraph"/>
    <w:aliases w:val="paragraph,List Paragraph1,Recommendation,List Paragraph11,L,CV text,Table text,List Paragraph2,F5 List Paragraph,Dot pt,List Paragraph111,Medium Grid 1 - Accent 21,Numbered Paragraph,Main numbered paragraph,Numbered List Paragraph,Bullets"/>
    <w:basedOn w:val="Normal"/>
    <w:link w:val="ListParagraphChar"/>
    <w:uiPriority w:val="1"/>
    <w:qFormat/>
    <w:rsid w:val="008074DF"/>
    <w:pPr>
      <w:suppressAutoHyphens w:val="0"/>
      <w:spacing w:line="240" w:lineRule="auto"/>
      <w:ind w:left="720"/>
    </w:pPr>
  </w:style>
  <w:style w:type="paragraph" w:styleId="NoSpacing">
    <w:name w:val="No Spacing"/>
    <w:uiPriority w:val="1"/>
    <w:qFormat/>
    <w:rsid w:val="008074DF"/>
    <w:rPr>
      <w:rFonts w:ascii="Arial" w:eastAsia="Arial" w:hAnsi="Arial" w:cs="Arial"/>
      <w:sz w:val="22"/>
      <w:szCs w:val="22"/>
      <w:lang w:val="en-GB" w:eastAsia="en-GB"/>
    </w:rPr>
  </w:style>
  <w:style w:type="character" w:customStyle="1" w:styleId="ListParagraphChar">
    <w:name w:val="List Paragraph Char"/>
    <w:aliases w:val="paragraph Char,List Paragraph1 Char,Recommendation Char,List Paragraph11 Char,L Char,CV text Char,Table text Char,List Paragraph2 Char,F5 List Paragraph Char,Dot pt Char,List Paragraph111 Char,Medium Grid 1 - Accent 21 Char"/>
    <w:link w:val="ListParagraph"/>
    <w:uiPriority w:val="34"/>
    <w:qFormat/>
    <w:locked/>
    <w:rsid w:val="008074DF"/>
    <w:rPr>
      <w:lang w:val="en-GB" w:eastAsia="en-US"/>
    </w:rPr>
  </w:style>
  <w:style w:type="character" w:customStyle="1" w:styleId="UnresolvedMention1">
    <w:name w:val="Unresolved Mention1"/>
    <w:basedOn w:val="DefaultParagraphFont"/>
    <w:uiPriority w:val="99"/>
    <w:semiHidden/>
    <w:unhideWhenUsed/>
    <w:rsid w:val="00BD452D"/>
    <w:rPr>
      <w:color w:val="605E5C"/>
      <w:shd w:val="clear" w:color="auto" w:fill="E1DFDD"/>
    </w:rPr>
  </w:style>
  <w:style w:type="character" w:customStyle="1" w:styleId="FootnoteTextChar">
    <w:name w:val="Footnote Text Char"/>
    <w:aliases w:val="5_G Char"/>
    <w:basedOn w:val="DefaultParagraphFont"/>
    <w:link w:val="FootnoteText"/>
    <w:uiPriority w:val="99"/>
    <w:rsid w:val="00455AEF"/>
    <w:rPr>
      <w:sz w:val="18"/>
      <w:lang w:val="en-GB" w:eastAsia="en-US"/>
    </w:rPr>
  </w:style>
  <w:style w:type="character" w:customStyle="1" w:styleId="Heading1Char">
    <w:name w:val="Heading 1 Char"/>
    <w:aliases w:val="Table_G Char"/>
    <w:basedOn w:val="DefaultParagraphFont"/>
    <w:link w:val="Heading1"/>
    <w:uiPriority w:val="9"/>
    <w:rsid w:val="000551E2"/>
    <w:rPr>
      <w:lang w:val="en-GB" w:eastAsia="en-US"/>
    </w:rPr>
  </w:style>
  <w:style w:type="paragraph" w:customStyle="1" w:styleId="Default">
    <w:name w:val="Default"/>
    <w:rsid w:val="000551E2"/>
    <w:pPr>
      <w:autoSpaceDE w:val="0"/>
      <w:autoSpaceDN w:val="0"/>
      <w:adjustRightInd w:val="0"/>
    </w:pPr>
    <w:rPr>
      <w:rFonts w:eastAsia="Arial"/>
      <w:color w:val="000000"/>
      <w:sz w:val="24"/>
      <w:szCs w:val="24"/>
      <w:lang w:val="en-GB" w:eastAsia="en-GB"/>
    </w:rPr>
  </w:style>
  <w:style w:type="paragraph" w:styleId="NormalWeb">
    <w:name w:val="Normal (Web)"/>
    <w:basedOn w:val="Normal"/>
    <w:uiPriority w:val="99"/>
    <w:unhideWhenUsed/>
    <w:rsid w:val="000551E2"/>
    <w:pPr>
      <w:suppressAutoHyphens w:val="0"/>
      <w:spacing w:before="100" w:beforeAutospacing="1" w:after="100" w:afterAutospacing="1" w:line="240" w:lineRule="auto"/>
    </w:pPr>
    <w:rPr>
      <w:rFonts w:eastAsiaTheme="minorHAnsi"/>
      <w:sz w:val="24"/>
      <w:szCs w:val="24"/>
      <w:lang w:eastAsia="en-GB"/>
    </w:rPr>
  </w:style>
  <w:style w:type="character" w:customStyle="1" w:styleId="normaltextrun">
    <w:name w:val="normaltextrun"/>
    <w:basedOn w:val="DefaultParagraphFont"/>
    <w:rsid w:val="000551E2"/>
  </w:style>
  <w:style w:type="character" w:customStyle="1" w:styleId="eop">
    <w:name w:val="eop"/>
    <w:basedOn w:val="DefaultParagraphFont"/>
    <w:rsid w:val="000551E2"/>
  </w:style>
  <w:style w:type="character" w:styleId="CommentReference">
    <w:name w:val="annotation reference"/>
    <w:basedOn w:val="DefaultParagraphFont"/>
    <w:uiPriority w:val="99"/>
    <w:semiHidden/>
    <w:unhideWhenUsed/>
    <w:rsid w:val="000551E2"/>
    <w:rPr>
      <w:sz w:val="16"/>
      <w:szCs w:val="16"/>
    </w:rPr>
  </w:style>
  <w:style w:type="paragraph" w:styleId="CommentText">
    <w:name w:val="annotation text"/>
    <w:basedOn w:val="Normal"/>
    <w:link w:val="CommentTextChar"/>
    <w:uiPriority w:val="99"/>
    <w:unhideWhenUsed/>
    <w:rsid w:val="000551E2"/>
    <w:pPr>
      <w:suppressAutoHyphens w:val="0"/>
      <w:spacing w:line="240" w:lineRule="auto"/>
    </w:pPr>
    <w:rPr>
      <w:rFonts w:ascii="Arial" w:eastAsia="Arial" w:hAnsi="Arial" w:cs="Arial"/>
      <w:lang w:eastAsia="en-GB"/>
    </w:rPr>
  </w:style>
  <w:style w:type="character" w:customStyle="1" w:styleId="CommentTextChar">
    <w:name w:val="Comment Text Char"/>
    <w:basedOn w:val="DefaultParagraphFont"/>
    <w:link w:val="CommentText"/>
    <w:uiPriority w:val="99"/>
    <w:rsid w:val="000551E2"/>
    <w:rPr>
      <w:rFonts w:ascii="Arial" w:eastAsia="Arial" w:hAnsi="Arial" w:cs="Arial"/>
      <w:lang w:val="en-GB" w:eastAsia="en-GB"/>
    </w:rPr>
  </w:style>
  <w:style w:type="paragraph" w:styleId="CommentSubject">
    <w:name w:val="annotation subject"/>
    <w:basedOn w:val="CommentText"/>
    <w:next w:val="CommentText"/>
    <w:link w:val="CommentSubjectChar"/>
    <w:uiPriority w:val="99"/>
    <w:semiHidden/>
    <w:unhideWhenUsed/>
    <w:rsid w:val="000551E2"/>
    <w:rPr>
      <w:b/>
      <w:bCs/>
    </w:rPr>
  </w:style>
  <w:style w:type="character" w:customStyle="1" w:styleId="CommentSubjectChar">
    <w:name w:val="Comment Subject Char"/>
    <w:basedOn w:val="CommentTextChar"/>
    <w:link w:val="CommentSubject"/>
    <w:uiPriority w:val="99"/>
    <w:semiHidden/>
    <w:rsid w:val="000551E2"/>
    <w:rPr>
      <w:rFonts w:ascii="Arial" w:eastAsia="Arial" w:hAnsi="Arial" w:cs="Arial"/>
      <w:b/>
      <w:bCs/>
      <w:lang w:val="en-GB" w:eastAsia="en-GB"/>
    </w:rPr>
  </w:style>
  <w:style w:type="character" w:customStyle="1" w:styleId="HeaderChar">
    <w:name w:val="Header Char"/>
    <w:aliases w:val="6_G Char"/>
    <w:basedOn w:val="DefaultParagraphFont"/>
    <w:link w:val="Header"/>
    <w:uiPriority w:val="99"/>
    <w:rsid w:val="000551E2"/>
    <w:rPr>
      <w:b/>
      <w:sz w:val="18"/>
      <w:lang w:val="en-GB" w:eastAsia="en-US"/>
    </w:rPr>
  </w:style>
  <w:style w:type="character" w:customStyle="1" w:styleId="FooterChar">
    <w:name w:val="Footer Char"/>
    <w:aliases w:val="3_G Char"/>
    <w:basedOn w:val="DefaultParagraphFont"/>
    <w:link w:val="Footer"/>
    <w:uiPriority w:val="99"/>
    <w:rsid w:val="000551E2"/>
    <w:rPr>
      <w:sz w:val="16"/>
      <w:lang w:val="en-GB" w:eastAsia="en-US"/>
    </w:rPr>
  </w:style>
  <w:style w:type="character" w:customStyle="1" w:styleId="UnresolvedMention10">
    <w:name w:val="Unresolved Mention1"/>
    <w:basedOn w:val="DefaultParagraphFont"/>
    <w:uiPriority w:val="99"/>
    <w:semiHidden/>
    <w:unhideWhenUsed/>
    <w:rsid w:val="000551E2"/>
    <w:rPr>
      <w:color w:val="605E5C"/>
      <w:shd w:val="clear" w:color="auto" w:fill="E1DFDD"/>
    </w:rPr>
  </w:style>
  <w:style w:type="character" w:customStyle="1" w:styleId="EndnoteTextChar">
    <w:name w:val="Endnote Text Char"/>
    <w:aliases w:val="2_G Char"/>
    <w:basedOn w:val="DefaultParagraphFont"/>
    <w:link w:val="EndnoteText"/>
    <w:uiPriority w:val="99"/>
    <w:rsid w:val="000551E2"/>
    <w:rPr>
      <w:sz w:val="18"/>
      <w:lang w:val="en-GB" w:eastAsia="en-US"/>
    </w:rPr>
  </w:style>
  <w:style w:type="paragraph" w:styleId="Revision">
    <w:name w:val="Revision"/>
    <w:hidden/>
    <w:uiPriority w:val="99"/>
    <w:semiHidden/>
    <w:rsid w:val="000551E2"/>
    <w:rPr>
      <w:rFonts w:ascii="Arial" w:eastAsia="Arial" w:hAnsi="Arial" w:cs="Arial"/>
      <w:sz w:val="22"/>
      <w:szCs w:val="22"/>
      <w:lang w:val="en-GB" w:eastAsia="en-GB"/>
    </w:rPr>
  </w:style>
  <w:style w:type="paragraph" w:customStyle="1" w:styleId="H1">
    <w:name w:val="_ H_1"/>
    <w:basedOn w:val="Normal"/>
    <w:next w:val="SingleTxt"/>
    <w:rsid w:val="000551E2"/>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rFonts w:eastAsiaTheme="minorHAnsi"/>
      <w:b/>
      <w:spacing w:val="4"/>
      <w:w w:val="103"/>
      <w:kern w:val="14"/>
      <w:sz w:val="24"/>
    </w:rPr>
  </w:style>
  <w:style w:type="paragraph" w:customStyle="1" w:styleId="SingleTxt">
    <w:name w:val="__Single Txt"/>
    <w:basedOn w:val="Normal"/>
    <w:rsid w:val="000551E2"/>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rFonts w:eastAsiaTheme="minorHAnsi"/>
      <w:spacing w:val="4"/>
      <w:w w:val="103"/>
      <w:kern w:val="14"/>
    </w:rPr>
  </w:style>
  <w:style w:type="paragraph" w:customStyle="1" w:styleId="TitleH1">
    <w:name w:val="Title_H1"/>
    <w:basedOn w:val="Normal"/>
    <w:next w:val="Normal"/>
    <w:qFormat/>
    <w:rsid w:val="000551E2"/>
    <w:pPr>
      <w:keepNext/>
      <w:keepLines/>
      <w:spacing w:line="270" w:lineRule="exact"/>
      <w:ind w:left="1267" w:right="1267" w:hanging="1267"/>
      <w:outlineLvl w:val="0"/>
    </w:pPr>
    <w:rPr>
      <w:rFonts w:eastAsiaTheme="minorHAnsi"/>
      <w:b/>
      <w:spacing w:val="4"/>
      <w:w w:val="103"/>
      <w:kern w:val="14"/>
      <w:sz w:val="24"/>
    </w:rPr>
  </w:style>
  <w:style w:type="character" w:customStyle="1" w:styleId="UnresolvedMention2">
    <w:name w:val="Unresolved Mention2"/>
    <w:basedOn w:val="DefaultParagraphFont"/>
    <w:uiPriority w:val="99"/>
    <w:semiHidden/>
    <w:unhideWhenUsed/>
    <w:rsid w:val="000551E2"/>
    <w:rPr>
      <w:color w:val="605E5C"/>
      <w:shd w:val="clear" w:color="auto" w:fill="E1DFDD"/>
    </w:rPr>
  </w:style>
  <w:style w:type="table" w:customStyle="1" w:styleId="GridTable1Light1">
    <w:name w:val="Grid Table 1 Light1"/>
    <w:basedOn w:val="TableNormal"/>
    <w:uiPriority w:val="46"/>
    <w:rsid w:val="000551E2"/>
    <w:rPr>
      <w:rFonts w:asciiTheme="minorHAnsi" w:eastAsiaTheme="minorHAnsi" w:hAnsiTheme="minorHAnsi" w:cstheme="minorBidi"/>
      <w:sz w:val="22"/>
      <w:szCs w:val="22"/>
      <w:lang w:val="en-GB"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D90A7C"/>
    <w:rPr>
      <w:rFonts w:ascii="Calibri" w:hAnsi="Calibri" w:cs="Arial"/>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9184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491849"/>
    <w:pPr>
      <w:widowControl w:val="0"/>
      <w:suppressAutoHyphens w:val="0"/>
      <w:autoSpaceDE w:val="0"/>
      <w:autoSpaceDN w:val="0"/>
      <w:spacing w:line="240" w:lineRule="auto"/>
    </w:pPr>
    <w:rPr>
      <w:rFonts w:ascii="Segoe UI" w:eastAsia="Segoe UI" w:hAnsi="Segoe UI" w:cs="Segoe UI"/>
      <w:b/>
      <w:bCs/>
      <w:sz w:val="7"/>
      <w:szCs w:val="7"/>
      <w:lang w:val="en-US"/>
    </w:rPr>
  </w:style>
  <w:style w:type="character" w:customStyle="1" w:styleId="BodyTextChar">
    <w:name w:val="Body Text Char"/>
    <w:basedOn w:val="DefaultParagraphFont"/>
    <w:link w:val="BodyText"/>
    <w:uiPriority w:val="1"/>
    <w:rsid w:val="00491849"/>
    <w:rPr>
      <w:rFonts w:ascii="Segoe UI" w:eastAsia="Segoe UI" w:hAnsi="Segoe UI" w:cs="Segoe UI"/>
      <w:b/>
      <w:bCs/>
      <w:sz w:val="7"/>
      <w:szCs w:val="7"/>
      <w:lang w:val="en-US" w:eastAsia="en-US"/>
    </w:rPr>
  </w:style>
  <w:style w:type="paragraph" w:customStyle="1" w:styleId="TableParagraph">
    <w:name w:val="Table Paragraph"/>
    <w:basedOn w:val="Normal"/>
    <w:uiPriority w:val="1"/>
    <w:qFormat/>
    <w:rsid w:val="00491849"/>
    <w:pPr>
      <w:widowControl w:val="0"/>
      <w:suppressAutoHyphens w:val="0"/>
      <w:autoSpaceDE w:val="0"/>
      <w:autoSpaceDN w:val="0"/>
      <w:spacing w:before="5" w:line="101" w:lineRule="exact"/>
      <w:ind w:left="26"/>
    </w:pPr>
    <w:rPr>
      <w:rFonts w:ascii="Segoe UI" w:eastAsia="Segoe UI" w:hAnsi="Segoe UI" w:cs="Segoe UI"/>
      <w:sz w:val="22"/>
      <w:szCs w:val="22"/>
      <w:lang w:val="en-US"/>
    </w:rPr>
  </w:style>
  <w:style w:type="paragraph" w:styleId="TOCHeading">
    <w:name w:val="TOC Heading"/>
    <w:basedOn w:val="Heading1"/>
    <w:next w:val="Normal"/>
    <w:uiPriority w:val="39"/>
    <w:unhideWhenUsed/>
    <w:qFormat/>
    <w:rsid w:val="00BE4399"/>
    <w:pPr>
      <w:keepNext/>
      <w:keepLines/>
      <w:suppressAutoHyphens w:val="0"/>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70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docs.org/Home/Mobile?FinalSymbol=A%2F75%2F601&amp;Language=E&amp;DeviceType=Desktop&amp;LangRequested=False" TargetMode="External"/><Relationship Id="rId18" Type="http://schemas.openxmlformats.org/officeDocument/2006/relationships/hyperlink" Target="https://www.un.org/sg/sites/www.un.org.sg/files/atoms/files/The_Highest_Asperation_A_Call_To_Action_For_Human_Right_English.pdf" TargetMode="External"/><Relationship Id="rId26" Type="http://schemas.openxmlformats.org/officeDocument/2006/relationships/hyperlink" Target="https://undocs.org/Home/Mobile?FinalSymbol=A%2FRES%2F68%2F268&amp;Language=E&amp;DeviceType=Desktop&amp;LangRequested=False" TargetMode="External"/><Relationship Id="rId3" Type="http://schemas.openxmlformats.org/officeDocument/2006/relationships/customXml" Target="../customXml/item3.xml"/><Relationship Id="rId21" Type="http://schemas.openxmlformats.org/officeDocument/2006/relationships/hyperlink" Target="https://undocs.org/Home/Mobile?FinalSymbol=A%2FRES%2F48%2F141&amp;Language=E&amp;DeviceType=Desktop&amp;LangRequested=Fals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undocs.org/Home/Mobile?FinalSymbol=A%2F66%2F860&amp;Language=E&amp;DeviceType=Desktop&amp;LangRequested=False" TargetMode="External"/><Relationship Id="rId17" Type="http://schemas.openxmlformats.org/officeDocument/2006/relationships/hyperlink" Target="https://www.undocs.org/Home/Mobile?FinalSymbol=A%2FRES%2F77%2F210&amp;Language=E&amp;DeviceType=Desktop&amp;LangRequested=False" TargetMode="External"/><Relationship Id="rId25" Type="http://schemas.openxmlformats.org/officeDocument/2006/relationships/hyperlink" Target="https://undocs.org/Home/Mobile?FinalSymbol=A%2F77%2F228&amp;Language=E&amp;DeviceType=Desktop&amp;LangRequested=False"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undocs.org/Home/Mobile?FinalSymbol=a%2F77%2F279&amp;Language=E&amp;DeviceType=Desktop&amp;LangRequested=False" TargetMode="External"/><Relationship Id="rId20" Type="http://schemas.openxmlformats.org/officeDocument/2006/relationships/hyperlink" Target="https://undocs.org/Home/Mobile?FinalSymbol=A%2F77%2F228&amp;Language=E&amp;DeviceType=Desktop&amp;LangRequested=Fals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ndocs.org/Home/Mobile?FinalSymbol=A%2F77%2F228&amp;Language=E&amp;DeviceType=Desktop&amp;LangRequested=False" TargetMode="External"/><Relationship Id="rId24" Type="http://schemas.openxmlformats.org/officeDocument/2006/relationships/hyperlink" Target="https://undocs.org/Home/Mobile?FinalSymbol=A%2F77%2F228&amp;Language=E&amp;DeviceType=Desktop&amp;LangRequested=False"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undocs.org/Home/Mobile?FinalSymbol=A%2Fres%2F75%2F252&amp;Language=E&amp;DeviceType=Desktop&amp;LangRequested=False" TargetMode="External"/><Relationship Id="rId23" Type="http://schemas.openxmlformats.org/officeDocument/2006/relationships/hyperlink" Target="https://undocs.org/Home/Mobile?FinalSymbol=A%2F77%2F228&amp;Language=E&amp;DeviceType=Desktop&amp;LangRequested=False" TargetMode="External"/><Relationship Id="rId28" Type="http://schemas.openxmlformats.org/officeDocument/2006/relationships/hyperlink" Target="https://www.undocs.org/Home/Mobile?FinalSymbol=A%2FRES%2F77%2F210&amp;Language=E&amp;DeviceType=Desktop&amp;LangRequested=False" TargetMode="External"/><Relationship Id="rId10" Type="http://schemas.openxmlformats.org/officeDocument/2006/relationships/endnotes" Target="endnotes.xml"/><Relationship Id="rId19" Type="http://schemas.openxmlformats.org/officeDocument/2006/relationships/hyperlink" Target="https://www.un.org/en/common-agenda"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docs.org/Home/Mobile?FinalSymbol=A%2FRES%2F68%2F268&amp;Language=E&amp;DeviceType=Desktop&amp;LangRequested=False" TargetMode="External"/><Relationship Id="rId22" Type="http://schemas.openxmlformats.org/officeDocument/2006/relationships/hyperlink" Target="https://undocs.org/Home/Mobile?FinalSymbol=A%2FRES%2F68%2F268&amp;Language=E&amp;DeviceType=Desktop&amp;LangRequested=False" TargetMode="External"/><Relationship Id="rId27" Type="http://schemas.openxmlformats.org/officeDocument/2006/relationships/hyperlink" Target="https://www.undocs.org/Home/Mobile?FinalSymbol=A%2FRES%2F77%2F210&amp;Language=E&amp;DeviceType=Desktop&amp;LangRequested=False"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CMW\CMW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fa1020ff-48ad-4b90-98f4-7161a6f3b63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AB59289BFBAB4F9FD152C776C60BDD" ma:contentTypeVersion="10" ma:contentTypeDescription="Create a new document." ma:contentTypeScope="" ma:versionID="0470a25d883dcb41463ed3bb18e7d99e">
  <xsd:schema xmlns:xsd="http://www.w3.org/2001/XMLSchema" xmlns:xs="http://www.w3.org/2001/XMLSchema" xmlns:p="http://schemas.microsoft.com/office/2006/metadata/properties" xmlns:ns2="fa1020ff-48ad-4b90-98f4-7161a6f3b630" xmlns:ns3="985ec44e-1bab-4c0b-9df0-6ba128686fc9" targetNamespace="http://schemas.microsoft.com/office/2006/metadata/properties" ma:root="true" ma:fieldsID="9af15f07dc10de0852260294b99aa4e6" ns2:_="" ns3:_="">
    <xsd:import namespace="fa1020ff-48ad-4b90-98f4-7161a6f3b630"/>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020ff-48ad-4b90-98f4-7161a6f3b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5B75BA-EBDB-4609-BE29-2758705AB5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379015-E2DE-44C2-8D30-5589D955E4BF}"/>
</file>

<file path=customXml/itemProps3.xml><?xml version="1.0" encoding="utf-8"?>
<ds:datastoreItem xmlns:ds="http://schemas.openxmlformats.org/officeDocument/2006/customXml" ds:itemID="{AE567766-CD34-4FA0-88B8-487323E23409}">
  <ds:schemaRefs>
    <ds:schemaRef ds:uri="http://schemas.openxmlformats.org/officeDocument/2006/bibliography"/>
  </ds:schemaRefs>
</ds:datastoreItem>
</file>

<file path=customXml/itemProps4.xml><?xml version="1.0" encoding="utf-8"?>
<ds:datastoreItem xmlns:ds="http://schemas.openxmlformats.org/officeDocument/2006/customXml" ds:itemID="{B5C55950-D291-403F-A44B-37C54CA870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CMW_E.dotm</Template>
  <TotalTime>2</TotalTime>
  <Pages>5</Pages>
  <Words>2236</Words>
  <Characters>12751</Characters>
  <Application>Microsoft Office Word</Application>
  <DocSecurity>0</DocSecurity>
  <Lines>106</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14958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Britta Christine Nicolmann</dc:title>
  <dc:creator>FLECHE Isabelle</dc:creator>
  <cp:lastModifiedBy>Britta Christine Nicolmann</cp:lastModifiedBy>
  <cp:revision>2</cp:revision>
  <cp:lastPrinted>2023-10-05T03:15:00Z</cp:lastPrinted>
  <dcterms:created xsi:type="dcterms:W3CDTF">2023-10-27T11:19:00Z</dcterms:created>
  <dcterms:modified xsi:type="dcterms:W3CDTF">2023-10-27T11:19:00Z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0x010100F5AB59289BFBAB4F9FD152C776C60BDD</vt:lpwstr>
  </property>
  <property fmtid="{D5CDD505-2E9C-101B-9397-08002B2CF9AE}" pid="3" name="_ExtendedDescription">
    <vt:lpwstr>Executive summaries of the &amp;quot;Working Paper&amp;quot; for the webpage of the 35th Chairs' meeting </vt:lpwstr>
  </property>
</Properties>
</file>