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32F5" w14:textId="4F5BB8C6" w:rsidR="008B31B4" w:rsidRDefault="008B31B4" w:rsidP="008B31B4">
      <w:pPr>
        <w:jc w:val="center"/>
        <w:rPr>
          <w:rFonts w:ascii="Times New Roman" w:hAnsi="Times New Roman" w:cs="Times New Roman"/>
          <w:sz w:val="20"/>
          <w:szCs w:val="20"/>
        </w:rPr>
      </w:pPr>
      <w:r>
        <w:rPr>
          <w:rFonts w:ascii="Times New Roman" w:hAnsi="Times New Roman" w:cs="Times New Roman"/>
          <w:sz w:val="20"/>
          <w:szCs w:val="20"/>
        </w:rPr>
        <w:t>Session report</w:t>
      </w:r>
    </w:p>
    <w:p w14:paraId="642265C0" w14:textId="4AC8528A" w:rsidR="005A12F6" w:rsidRPr="00505DEF" w:rsidRDefault="009461A4" w:rsidP="009461A4">
      <w:pPr>
        <w:pStyle w:val="HChG"/>
      </w:pPr>
      <w:r>
        <w:tab/>
      </w:r>
      <w:r>
        <w:tab/>
      </w:r>
      <w:r w:rsidR="007E3C06">
        <w:t>Chapter</w:t>
      </w:r>
      <w:r w:rsidR="008B31B4">
        <w:t xml:space="preserve"> on t</w:t>
      </w:r>
      <w:r w:rsidR="00505DEF" w:rsidRPr="00505DEF">
        <w:t>he situation of persons with disabili</w:t>
      </w:r>
      <w:r w:rsidR="00505DEF">
        <w:t>ties in Ukraine and in countries where they have fled after 24 February 2022, as a result of the aggression against Ukraine</w:t>
      </w:r>
      <w:r w:rsidR="00633596">
        <w:t xml:space="preserve"> </w:t>
      </w:r>
      <w:r>
        <w:t>by the Russian Federation-to be included in 27</w:t>
      </w:r>
      <w:r w:rsidRPr="009461A4">
        <w:rPr>
          <w:vertAlign w:val="superscript"/>
        </w:rPr>
        <w:t>th</w:t>
      </w:r>
      <w:r>
        <w:t xml:space="preserve"> Session Report</w:t>
      </w:r>
    </w:p>
    <w:p w14:paraId="75CB907E" w14:textId="7B89F272" w:rsidR="00A8744A" w:rsidRPr="009F7B6D" w:rsidRDefault="00A8744A" w:rsidP="003C3A8C">
      <w:pPr>
        <w:pStyle w:val="SingleTxtG"/>
        <w:ind w:left="720"/>
      </w:pPr>
      <w:r w:rsidRPr="009F7B6D">
        <w:t>1.</w:t>
      </w:r>
      <w:r w:rsidRPr="009F7B6D">
        <w:tab/>
      </w:r>
      <w:r w:rsidR="009D2DCC" w:rsidRPr="009F7B6D">
        <w:t xml:space="preserve">Since </w:t>
      </w:r>
      <w:r w:rsidR="004A1B2D">
        <w:t>24</w:t>
      </w:r>
      <w:r w:rsidR="009D2DCC" w:rsidRPr="009F7B6D">
        <w:t xml:space="preserve"> February 2022</w:t>
      </w:r>
      <w:r w:rsidR="00153AB4" w:rsidRPr="009F7B6D">
        <w:t xml:space="preserve">, the Committee received information indicating </w:t>
      </w:r>
      <w:r w:rsidR="00505DEF">
        <w:t xml:space="preserve">alleged serious </w:t>
      </w:r>
      <w:r w:rsidR="00B40114" w:rsidRPr="009F7B6D">
        <w:t>violations of the</w:t>
      </w:r>
      <w:r w:rsidR="00153AB4" w:rsidRPr="009F7B6D">
        <w:t xml:space="preserve"> human rights of persons with disabilities </w:t>
      </w:r>
      <w:r w:rsidR="00B40114" w:rsidRPr="009F7B6D">
        <w:t>in the context of the</w:t>
      </w:r>
      <w:r w:rsidR="00B56843" w:rsidRPr="009F7B6D">
        <w:t xml:space="preserve"> </w:t>
      </w:r>
      <w:r w:rsidR="00B40114" w:rsidRPr="009F7B6D">
        <w:t>aggression against Ukraine</w:t>
      </w:r>
      <w:r w:rsidR="00B56843" w:rsidRPr="009F7B6D">
        <w:t>, by the Russian Federation</w:t>
      </w:r>
      <w:r w:rsidR="001F0489">
        <w:rPr>
          <w:rStyle w:val="FootnoteReference"/>
        </w:rPr>
        <w:footnoteReference w:id="1"/>
      </w:r>
      <w:r w:rsidR="00B40114" w:rsidRPr="009F7B6D">
        <w:t>.</w:t>
      </w:r>
    </w:p>
    <w:p w14:paraId="0CD9ADE0" w14:textId="54419B32" w:rsidR="001F0489" w:rsidRDefault="00A8744A" w:rsidP="003C3A8C">
      <w:pPr>
        <w:pStyle w:val="SingleTxtG"/>
        <w:ind w:left="720"/>
      </w:pPr>
      <w:r w:rsidRPr="009F7B6D">
        <w:t>2.</w:t>
      </w:r>
      <w:r w:rsidRPr="009F7B6D">
        <w:tab/>
      </w:r>
      <w:r w:rsidR="00505DEF">
        <w:t xml:space="preserve">According to </w:t>
      </w:r>
      <w:r w:rsidR="0006271D" w:rsidRPr="009F7B6D">
        <w:t>A</w:t>
      </w:r>
      <w:r w:rsidR="00EC0ED2" w:rsidRPr="009F7B6D">
        <w:t>rticle 36 paragraph 1 of the Convention on the Rights of Persons with</w:t>
      </w:r>
      <w:r w:rsidR="00B56843" w:rsidRPr="009F7B6D">
        <w:t xml:space="preserve"> </w:t>
      </w:r>
      <w:r w:rsidR="00EC0ED2" w:rsidRPr="009F7B6D">
        <w:t>Disabilities, the Committee on the Rights of Persons</w:t>
      </w:r>
      <w:r w:rsidR="00B56843" w:rsidRPr="009F7B6D">
        <w:t xml:space="preserve"> </w:t>
      </w:r>
      <w:r w:rsidR="00EC0ED2" w:rsidRPr="009F7B6D">
        <w:t xml:space="preserve">with Disabilities </w:t>
      </w:r>
      <w:r w:rsidR="00B56843" w:rsidRPr="009F7B6D">
        <w:t xml:space="preserve">may </w:t>
      </w:r>
      <w:r w:rsidR="00EC0ED2" w:rsidRPr="009F7B6D">
        <w:t>request</w:t>
      </w:r>
      <w:r w:rsidR="00B56843" w:rsidRPr="009F7B6D">
        <w:t xml:space="preserve"> from the States parties, at any time, further information relevant to the implementation of the Convention.</w:t>
      </w:r>
    </w:p>
    <w:p w14:paraId="11D0FE05" w14:textId="088B374B" w:rsidR="001F0489" w:rsidRDefault="001F0489" w:rsidP="003C3A8C">
      <w:pPr>
        <w:pStyle w:val="SingleTxtG"/>
        <w:ind w:left="720"/>
      </w:pPr>
      <w:r>
        <w:t>3.</w:t>
      </w:r>
      <w:r>
        <w:tab/>
        <w:t xml:space="preserve">The Committee requested written </w:t>
      </w:r>
      <w:r w:rsidR="00CF13C7">
        <w:t>inputs</w:t>
      </w:r>
      <w:r>
        <w:t xml:space="preserve"> from </w:t>
      </w:r>
      <w:r w:rsidR="00505DEF">
        <w:t>concerned countries, including those that according to the United Nations High Commissioner for Refugees have received large numbers of Ukrainian asylum seekers. The Committee requested information from th</w:t>
      </w:r>
      <w:r>
        <w:t xml:space="preserve">e following States </w:t>
      </w:r>
      <w:r w:rsidR="00CF13C7">
        <w:t>parties</w:t>
      </w:r>
      <w:r>
        <w:t>:</w:t>
      </w:r>
      <w:r w:rsidR="00CF13C7">
        <w:t xml:space="preserve"> </w:t>
      </w:r>
      <w:r w:rsidR="00CF13C7" w:rsidRPr="00CF13C7">
        <w:t xml:space="preserve">Belarus, Bulgaria, Czech Republic, Estonia, the European Union, Finland, Germany, Hungary, Italy, Latvia, Lithuania, Poland, Republic of Moldova, Romania, Russian Federation, Slovakia, Sweden, </w:t>
      </w:r>
      <w:proofErr w:type="spellStart"/>
      <w:r w:rsidR="0011445D" w:rsidRPr="0011445D">
        <w:t>Türkiye</w:t>
      </w:r>
      <w:proofErr w:type="spellEnd"/>
      <w:r w:rsidR="00CF13C7">
        <w:t xml:space="preserve"> and</w:t>
      </w:r>
      <w:r w:rsidR="00CF13C7" w:rsidRPr="00CF13C7">
        <w:t xml:space="preserve"> Ukraine</w:t>
      </w:r>
      <w:r w:rsidR="00CF13C7">
        <w:t>. The following parties provided written submissions: Belarus, Bulgaria, Finland, Hungary, Italy, Latvia, Lithuania, Republic of Moldova and Ukraine.</w:t>
      </w:r>
    </w:p>
    <w:p w14:paraId="1D731CC6" w14:textId="1BF57AF3" w:rsidR="00A8744A" w:rsidRPr="009F7B6D" w:rsidRDefault="00CF13C7" w:rsidP="003C3A8C">
      <w:pPr>
        <w:pStyle w:val="SingleTxtG"/>
        <w:ind w:left="720"/>
      </w:pPr>
      <w:r>
        <w:t>4.</w:t>
      </w:r>
      <w:r>
        <w:tab/>
        <w:t>T</w:t>
      </w:r>
      <w:r w:rsidR="00DC3094" w:rsidRPr="009F7B6D">
        <w:t xml:space="preserve">he Committee held two closed meetings with </w:t>
      </w:r>
      <w:r>
        <w:t xml:space="preserve">Ukrainian </w:t>
      </w:r>
      <w:r w:rsidR="00DC3094" w:rsidRPr="009F7B6D">
        <w:t>Organizations of Persons with Disabilities, Civil Society Organizations and United Nations entities, on 15 and 16 August 2022. On 17 August 2022</w:t>
      </w:r>
      <w:r w:rsidR="00AC27B5" w:rsidRPr="009F7B6D">
        <w:t xml:space="preserve">, the Committee held a public dialogue with </w:t>
      </w:r>
      <w:r w:rsidR="00927358" w:rsidRPr="009F7B6D">
        <w:t xml:space="preserve">the States </w:t>
      </w:r>
      <w:r w:rsidR="00AC27B5" w:rsidRPr="009F7B6D">
        <w:t xml:space="preserve">parties that </w:t>
      </w:r>
      <w:r w:rsidR="00927358" w:rsidRPr="009F7B6D">
        <w:t xml:space="preserve">expressed interest to provide </w:t>
      </w:r>
      <w:r w:rsidR="009A3CA1" w:rsidRPr="009F7B6D">
        <w:t xml:space="preserve">the most recent update on </w:t>
      </w:r>
      <w:r w:rsidR="003779D0" w:rsidRPr="009F7B6D">
        <w:t xml:space="preserve">the </w:t>
      </w:r>
      <w:r w:rsidR="009A3CA1" w:rsidRPr="009F7B6D">
        <w:t>situation of persons with disabilities affected by the armed conflict</w:t>
      </w:r>
      <w:r w:rsidR="00927358" w:rsidRPr="009F7B6D">
        <w:t xml:space="preserve">. These parties are: </w:t>
      </w:r>
      <w:r w:rsidR="00481320" w:rsidRPr="009F7B6D">
        <w:t>the European Union</w:t>
      </w:r>
      <w:r w:rsidR="00481320">
        <w:t>,</w:t>
      </w:r>
      <w:r w:rsidR="00481320" w:rsidRPr="009F7B6D">
        <w:t xml:space="preserve"> </w:t>
      </w:r>
      <w:r w:rsidR="00927358" w:rsidRPr="009F7B6D">
        <w:t xml:space="preserve">Latvia, Lithuania, Republic of Moldova, </w:t>
      </w:r>
      <w:bookmarkStart w:id="0" w:name="_Hlk112921409"/>
      <w:proofErr w:type="spellStart"/>
      <w:r w:rsidR="00927358" w:rsidRPr="009F7B6D">
        <w:t>Türkiye</w:t>
      </w:r>
      <w:proofErr w:type="spellEnd"/>
      <w:r w:rsidR="00927358" w:rsidRPr="009F7B6D">
        <w:t xml:space="preserve"> </w:t>
      </w:r>
      <w:bookmarkEnd w:id="0"/>
      <w:r w:rsidR="00927358" w:rsidRPr="009F7B6D">
        <w:t xml:space="preserve">and </w:t>
      </w:r>
      <w:r w:rsidR="00481320">
        <w:t>Ukraine</w:t>
      </w:r>
      <w:r w:rsidR="00927358" w:rsidRPr="009F7B6D">
        <w:t>.</w:t>
      </w:r>
      <w:r w:rsidR="00DC3094" w:rsidRPr="009F7B6D">
        <w:t xml:space="preserve"> </w:t>
      </w:r>
      <w:r w:rsidR="00B56843" w:rsidRPr="009F7B6D">
        <w:t xml:space="preserve"> </w:t>
      </w:r>
    </w:p>
    <w:p w14:paraId="64239A17" w14:textId="35EA3135" w:rsidR="00A8744A" w:rsidRPr="009F7B6D" w:rsidRDefault="00481320" w:rsidP="003C3A8C">
      <w:pPr>
        <w:pStyle w:val="SingleTxtG"/>
        <w:ind w:left="720"/>
      </w:pPr>
      <w:r>
        <w:lastRenderedPageBreak/>
        <w:t>5</w:t>
      </w:r>
      <w:r w:rsidR="00A8744A" w:rsidRPr="009F7B6D">
        <w:t>.</w:t>
      </w:r>
      <w:r w:rsidR="00A8744A" w:rsidRPr="009F7B6D">
        <w:tab/>
      </w:r>
      <w:r w:rsidR="0006271D" w:rsidRPr="009F7B6D">
        <w:t>According to Article 11 of the Convention</w:t>
      </w:r>
      <w:r w:rsidR="00E26CDE" w:rsidRPr="009F7B6D">
        <w:t xml:space="preserve"> on the Rights of Persons with Disabilities: “States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0006271D" w:rsidRPr="009F7B6D">
        <w:t xml:space="preserve"> </w:t>
      </w:r>
    </w:p>
    <w:p w14:paraId="44DB4D1B" w14:textId="03CD47DC" w:rsidR="00A8744A" w:rsidRDefault="00481320" w:rsidP="003C3A8C">
      <w:pPr>
        <w:pStyle w:val="SingleTxtG"/>
        <w:ind w:left="720"/>
      </w:pPr>
      <w:r>
        <w:t>6</w:t>
      </w:r>
      <w:r w:rsidR="00A8744A" w:rsidRPr="009F7B6D">
        <w:t>.</w:t>
      </w:r>
      <w:r w:rsidR="00A8744A" w:rsidRPr="009F7B6D">
        <w:tab/>
      </w:r>
      <w:r w:rsidR="007F624F" w:rsidRPr="009F7B6D">
        <w:t>Persons with disabilities are “protected persons” under t</w:t>
      </w:r>
      <w:r w:rsidR="00437056" w:rsidRPr="009F7B6D">
        <w:t>he Geneva</w:t>
      </w:r>
      <w:r w:rsidR="009F7B6D">
        <w:t xml:space="preserve"> </w:t>
      </w:r>
      <w:r w:rsidR="00437056" w:rsidRPr="009F7B6D">
        <w:t xml:space="preserve">Convention </w:t>
      </w:r>
      <w:r w:rsidR="00E240EF" w:rsidRPr="009F7B6D">
        <w:t>(IV)</w:t>
      </w:r>
      <w:r w:rsidR="00437056" w:rsidRPr="009F7B6D">
        <w:t xml:space="preserve"> relative to the </w:t>
      </w:r>
      <w:r w:rsidR="00E240EF" w:rsidRPr="009F7B6D">
        <w:t>P</w:t>
      </w:r>
      <w:r w:rsidR="00437056" w:rsidRPr="009F7B6D">
        <w:t xml:space="preserve">rotection of </w:t>
      </w:r>
      <w:r w:rsidR="00E240EF" w:rsidRPr="009F7B6D">
        <w:t>C</w:t>
      </w:r>
      <w:r w:rsidR="00437056" w:rsidRPr="009F7B6D">
        <w:t xml:space="preserve">ivilian </w:t>
      </w:r>
      <w:r w:rsidR="00E240EF" w:rsidRPr="009F7B6D">
        <w:t>P</w:t>
      </w:r>
      <w:r w:rsidR="00437056" w:rsidRPr="009F7B6D">
        <w:t xml:space="preserve">ersons in </w:t>
      </w:r>
      <w:r w:rsidR="00E240EF" w:rsidRPr="009F7B6D">
        <w:t>T</w:t>
      </w:r>
      <w:r w:rsidR="00437056" w:rsidRPr="009F7B6D">
        <w:t>ime of</w:t>
      </w:r>
      <w:r w:rsidR="00BF3F19" w:rsidRPr="009F7B6D">
        <w:t xml:space="preserve"> </w:t>
      </w:r>
      <w:r w:rsidR="00E240EF" w:rsidRPr="009F7B6D">
        <w:t>W</w:t>
      </w:r>
      <w:r w:rsidR="00437056" w:rsidRPr="009F7B6D">
        <w:t>ar</w:t>
      </w:r>
      <w:r w:rsidR="007F624F" w:rsidRPr="009F7B6D">
        <w:t xml:space="preserve">, which </w:t>
      </w:r>
      <w:r w:rsidR="00FB2A16" w:rsidRPr="009F7B6D">
        <w:t>has been ratified by all concerned States parties.</w:t>
      </w:r>
      <w:r w:rsidR="007F624F" w:rsidRPr="009F7B6D">
        <w:t xml:space="preserve"> </w:t>
      </w:r>
      <w:r w:rsidR="009F7B6D" w:rsidRPr="009F7B6D">
        <w:t>T</w:t>
      </w:r>
      <w:r w:rsidR="007F624F" w:rsidRPr="009F7B6D">
        <w:t xml:space="preserve">he </w:t>
      </w:r>
      <w:r w:rsidR="00BF3F19" w:rsidRPr="009F7B6D">
        <w:t xml:space="preserve">Fourth Geneva </w:t>
      </w:r>
      <w:r w:rsidR="007F624F" w:rsidRPr="009F7B6D">
        <w:t xml:space="preserve">Convention </w:t>
      </w:r>
      <w:r w:rsidR="00806BC7" w:rsidRPr="009F7B6D">
        <w:t>sets out obligations for concerned States parties to ensure the protection and safety of</w:t>
      </w:r>
      <w:r w:rsidR="007F624F" w:rsidRPr="009F7B6D">
        <w:t xml:space="preserve"> persons with disabilities,</w:t>
      </w:r>
      <w:r w:rsidR="00051957">
        <w:t xml:space="preserve"> </w:t>
      </w:r>
      <w:r w:rsidR="007F624F" w:rsidRPr="009F7B6D">
        <w:t>based</w:t>
      </w:r>
      <w:r w:rsidR="00051957">
        <w:t xml:space="preserve"> </w:t>
      </w:r>
      <w:r w:rsidR="007F624F" w:rsidRPr="009F7B6D">
        <w:t>on</w:t>
      </w:r>
      <w:r w:rsidR="00051957">
        <w:t xml:space="preserve"> </w:t>
      </w:r>
      <w:r w:rsidR="007F624F" w:rsidRPr="009F7B6D">
        <w:t>the</w:t>
      </w:r>
      <w:r w:rsidR="00051957">
        <w:t xml:space="preserve"> </w:t>
      </w:r>
      <w:r w:rsidR="007F624F" w:rsidRPr="009F7B6D">
        <w:t>principle</w:t>
      </w:r>
      <w:r w:rsidR="00051957">
        <w:t xml:space="preserve"> </w:t>
      </w:r>
      <w:r w:rsidR="007F624F" w:rsidRPr="009F7B6D">
        <w:t>of</w:t>
      </w:r>
      <w:r w:rsidR="00051957">
        <w:t xml:space="preserve"> </w:t>
      </w:r>
      <w:r w:rsidR="007F624F" w:rsidRPr="009F7B6D">
        <w:t>non-adverse</w:t>
      </w:r>
      <w:r w:rsidR="00051957">
        <w:t xml:space="preserve"> </w:t>
      </w:r>
      <w:r w:rsidR="007F624F" w:rsidRPr="009F7B6D">
        <w:t>distinction</w:t>
      </w:r>
      <w:r w:rsidR="00742D70">
        <w:t>,</w:t>
      </w:r>
      <w:r w:rsidR="00051957">
        <w:t xml:space="preserve"> </w:t>
      </w:r>
      <w:r w:rsidR="00742D70">
        <w:t>which</w:t>
      </w:r>
      <w:r w:rsidR="00051957">
        <w:t xml:space="preserve"> </w:t>
      </w:r>
      <w:r w:rsidR="00742D70">
        <w:t>prohibits</w:t>
      </w:r>
      <w:r w:rsidR="00051957">
        <w:t xml:space="preserve"> </w:t>
      </w:r>
      <w:r w:rsidR="00742D70">
        <w:t xml:space="preserve">discrimination in the treatment of civilians and persons </w:t>
      </w:r>
      <w:r w:rsidR="00742D70" w:rsidRPr="00742D70">
        <w:rPr>
          <w:i/>
          <w:iCs/>
        </w:rPr>
        <w:t>hors de combat</w:t>
      </w:r>
      <w:r w:rsidR="00742D70">
        <w:t>, on any grounds other than medical</w:t>
      </w:r>
      <w:r w:rsidR="007F624F" w:rsidRPr="009F7B6D">
        <w:t>.</w:t>
      </w:r>
      <w:r w:rsidR="00BF3F19" w:rsidRPr="009F7B6D">
        <w:t xml:space="preserve"> </w:t>
      </w:r>
      <w:r w:rsidR="00187DD3" w:rsidRPr="009F7B6D">
        <w:t>Under Article 27,</w:t>
      </w:r>
      <w:r w:rsidR="00BF3F19" w:rsidRPr="009F7B6D">
        <w:t xml:space="preserve"> </w:t>
      </w:r>
      <w:r w:rsidR="001D1699">
        <w:t xml:space="preserve">all parties to the conflict must treat </w:t>
      </w:r>
      <w:r w:rsidR="00BF3F19" w:rsidRPr="009F7B6D">
        <w:t xml:space="preserve">protected persons humanely and </w:t>
      </w:r>
      <w:r w:rsidR="001D1699">
        <w:t>shield</w:t>
      </w:r>
      <w:r w:rsidR="00BF3F19" w:rsidRPr="009F7B6D">
        <w:t xml:space="preserve"> them against all acts of violence or threats. Protected persons are entitled, in all circumstances and at all times, to respect for their persons, their honour, their family rights, their religious convictions and practices, and their manners</w:t>
      </w:r>
      <w:r w:rsidR="00187DD3" w:rsidRPr="009F7B6D">
        <w:t xml:space="preserve"> </w:t>
      </w:r>
      <w:r w:rsidR="00BF3F19" w:rsidRPr="009F7B6D">
        <w:t>and customs.</w:t>
      </w:r>
      <w:r w:rsidR="00187DD3" w:rsidRPr="009F7B6D">
        <w:t xml:space="preserve"> </w:t>
      </w:r>
      <w:r w:rsidR="00223CF9" w:rsidRPr="009F7B6D">
        <w:t xml:space="preserve">Under Articles 31-34, </w:t>
      </w:r>
      <w:r w:rsidR="005A12F6">
        <w:t>parties to the conflict</w:t>
      </w:r>
      <w:r w:rsidR="00187DD3" w:rsidRPr="009F7B6D">
        <w:t xml:space="preserve"> must also refrain from subjecting protected persons to coercion, </w:t>
      </w:r>
      <w:r w:rsidR="00223CF9" w:rsidRPr="009F7B6D">
        <w:t xml:space="preserve">torture, </w:t>
      </w:r>
      <w:r w:rsidR="00187DD3" w:rsidRPr="009F7B6D">
        <w:t xml:space="preserve">collective punishment, and </w:t>
      </w:r>
      <w:r w:rsidR="005A12F6">
        <w:t>they</w:t>
      </w:r>
      <w:r w:rsidR="00187DD3" w:rsidRPr="009F7B6D">
        <w:t xml:space="preserve"> may not take them hostage.</w:t>
      </w:r>
    </w:p>
    <w:p w14:paraId="754A7A71" w14:textId="512B199C" w:rsidR="00F93ACA" w:rsidRPr="00F93ACA" w:rsidRDefault="00F93ACA" w:rsidP="003C3A8C">
      <w:pPr>
        <w:pStyle w:val="SingleTxtG"/>
        <w:ind w:left="720"/>
        <w:rPr>
          <w:b/>
          <w:bCs/>
        </w:rPr>
      </w:pPr>
      <w:r w:rsidRPr="00F93ACA">
        <w:rPr>
          <w:b/>
          <w:bCs/>
        </w:rPr>
        <w:t>Positive measures</w:t>
      </w:r>
    </w:p>
    <w:p w14:paraId="2C29DC1A" w14:textId="4A3DA77A" w:rsidR="00A8744A" w:rsidRPr="005727A7" w:rsidRDefault="00A61747" w:rsidP="003C3A8C">
      <w:pPr>
        <w:pStyle w:val="SingleTxtG"/>
        <w:ind w:left="720"/>
      </w:pPr>
      <w:r>
        <w:t>7</w:t>
      </w:r>
      <w:r w:rsidR="00A8744A" w:rsidRPr="005727A7">
        <w:t>.</w:t>
      </w:r>
      <w:r w:rsidR="00A8744A" w:rsidRPr="005727A7">
        <w:tab/>
      </w:r>
      <w:r w:rsidR="00EB22CE" w:rsidRPr="005727A7">
        <w:t xml:space="preserve">The Committee welcomes </w:t>
      </w:r>
      <w:r w:rsidR="006419A7">
        <w:t>several</w:t>
      </w:r>
      <w:r w:rsidR="00EB22CE" w:rsidRPr="005727A7">
        <w:t xml:space="preserve"> measures taken by </w:t>
      </w:r>
      <w:r w:rsidR="00806BC7" w:rsidRPr="005727A7">
        <w:t xml:space="preserve">concerned </w:t>
      </w:r>
      <w:r w:rsidR="00EB22CE" w:rsidRPr="005727A7">
        <w:t>States parties to protect the rights of persons with disabilities</w:t>
      </w:r>
      <w:r w:rsidR="00806BC7" w:rsidRPr="005727A7">
        <w:t xml:space="preserve"> in the context of the </w:t>
      </w:r>
      <w:r w:rsidR="009D2DCC" w:rsidRPr="005727A7">
        <w:t>armed conflict:</w:t>
      </w:r>
    </w:p>
    <w:p w14:paraId="54713CFA" w14:textId="65140BFE" w:rsidR="00C44D90" w:rsidRPr="005727A7" w:rsidRDefault="005727A7" w:rsidP="003C3A8C">
      <w:pPr>
        <w:pStyle w:val="SingleTxtG"/>
        <w:ind w:left="720"/>
      </w:pPr>
      <w:r>
        <w:tab/>
      </w:r>
      <w:r w:rsidR="009D2DCC" w:rsidRPr="005727A7">
        <w:t>(a)</w:t>
      </w:r>
      <w:r w:rsidR="00C44D90" w:rsidRPr="005727A7">
        <w:tab/>
        <w:t xml:space="preserve">Ukraine </w:t>
      </w:r>
      <w:r w:rsidR="009577EA">
        <w:t>reported having taken measures to include</w:t>
      </w:r>
      <w:r w:rsidR="00C44D90" w:rsidRPr="005727A7">
        <w:t xml:space="preserve"> persons with disabilities, in</w:t>
      </w:r>
      <w:r w:rsidRPr="005727A7">
        <w:t xml:space="preserve"> </w:t>
      </w:r>
      <w:r w:rsidR="00C44D90" w:rsidRPr="005727A7">
        <w:t>particular children with disabilities residing in</w:t>
      </w:r>
      <w:r w:rsidR="00101A30">
        <w:t xml:space="preserve"> </w:t>
      </w:r>
      <w:r w:rsidR="00C44D90" w:rsidRPr="005727A7">
        <w:t>institutions, in evacuation plans</w:t>
      </w:r>
      <w:r w:rsidR="009D2DCC" w:rsidRPr="005727A7">
        <w:t xml:space="preserve">; </w:t>
      </w:r>
      <w:r w:rsidR="009577EA">
        <w:t xml:space="preserve">and measures to </w:t>
      </w:r>
      <w:r w:rsidR="00506898" w:rsidRPr="005727A7">
        <w:t>systematically</w:t>
      </w:r>
      <w:r w:rsidR="00765964" w:rsidRPr="005727A7">
        <w:t xml:space="preserve"> regist</w:t>
      </w:r>
      <w:r w:rsidR="00506898" w:rsidRPr="005727A7">
        <w:t>er</w:t>
      </w:r>
      <w:r w:rsidR="00765964" w:rsidRPr="005727A7">
        <w:t xml:space="preserve"> internally displaced persons with disabilities and ensure an adequate </w:t>
      </w:r>
      <w:r w:rsidR="00A41C6E" w:rsidRPr="005727A7">
        <w:t>standard of living</w:t>
      </w:r>
      <w:r w:rsidR="00506898" w:rsidRPr="005727A7">
        <w:t xml:space="preserve"> for them</w:t>
      </w:r>
      <w:r w:rsidR="00765964" w:rsidRPr="005727A7">
        <w:t>, including by</w:t>
      </w:r>
      <w:r w:rsidR="00A41C6E" w:rsidRPr="005727A7">
        <w:t xml:space="preserve"> </w:t>
      </w:r>
      <w:r w:rsidR="00765964" w:rsidRPr="005727A7">
        <w:t>safeguarding</w:t>
      </w:r>
      <w:r w:rsidR="008410F6" w:rsidRPr="005727A7">
        <w:t xml:space="preserve"> </w:t>
      </w:r>
      <w:r w:rsidR="009577EA">
        <w:t xml:space="preserve">their </w:t>
      </w:r>
      <w:r w:rsidR="008410F6" w:rsidRPr="005727A7">
        <w:t xml:space="preserve">access to </w:t>
      </w:r>
      <w:r w:rsidR="003C3051" w:rsidRPr="005727A7">
        <w:t>social protection schemes</w:t>
      </w:r>
      <w:r w:rsidR="002C396D" w:rsidRPr="005727A7">
        <w:t>, for the duration of the conflict</w:t>
      </w:r>
      <w:r w:rsidR="009D2DCC" w:rsidRPr="005727A7">
        <w:t>;</w:t>
      </w:r>
    </w:p>
    <w:p w14:paraId="7387B01D" w14:textId="2EE389C6" w:rsidR="00C44D90" w:rsidRPr="005727A7" w:rsidRDefault="005727A7" w:rsidP="003C3A8C">
      <w:pPr>
        <w:pStyle w:val="SingleTxtG"/>
        <w:ind w:left="720"/>
      </w:pPr>
      <w:r>
        <w:lastRenderedPageBreak/>
        <w:tab/>
      </w:r>
      <w:r w:rsidR="009D2DCC" w:rsidRPr="005727A7">
        <w:t>(</w:t>
      </w:r>
      <w:r w:rsidR="00CB5907">
        <w:t>b</w:t>
      </w:r>
      <w:r w:rsidR="009D2DCC" w:rsidRPr="005727A7">
        <w:t>)</w:t>
      </w:r>
      <w:r w:rsidR="00C44D90" w:rsidRPr="005727A7">
        <w:tab/>
      </w:r>
      <w:r w:rsidR="009577EA">
        <w:t xml:space="preserve">The </w:t>
      </w:r>
      <w:r w:rsidR="009577EA" w:rsidRPr="009577EA">
        <w:t>Directorate-General for European Civil Protection and Humanitarian Aid Operations</w:t>
      </w:r>
      <w:r w:rsidR="009577EA">
        <w:t>, of the</w:t>
      </w:r>
      <w:r w:rsidR="009577EA" w:rsidRPr="009577EA">
        <w:t xml:space="preserve"> </w:t>
      </w:r>
      <w:r w:rsidR="006210A5" w:rsidRPr="005727A7">
        <w:t>European Union</w:t>
      </w:r>
      <w:r w:rsidR="009577EA">
        <w:t>, briefed the Committee on the measures taken</w:t>
      </w:r>
      <w:r w:rsidR="006210A5" w:rsidRPr="005727A7">
        <w:t xml:space="preserve"> to mainstream disability in</w:t>
      </w:r>
      <w:r w:rsidR="00CE593C" w:rsidRPr="005727A7">
        <w:t xml:space="preserve"> </w:t>
      </w:r>
      <w:r w:rsidR="006210A5" w:rsidRPr="005727A7">
        <w:t>humanitarian relief strategies</w:t>
      </w:r>
      <w:r w:rsidR="00CE593C" w:rsidRPr="005727A7">
        <w:t xml:space="preserve"> and</w:t>
      </w:r>
      <w:r w:rsidR="006210A5" w:rsidRPr="005727A7">
        <w:t xml:space="preserve"> EU-funded </w:t>
      </w:r>
      <w:r w:rsidR="00CE593C" w:rsidRPr="005727A7">
        <w:t>programmes</w:t>
      </w:r>
      <w:r w:rsidR="00CB6BBE" w:rsidRPr="005727A7">
        <w:t xml:space="preserve"> in Ukraine</w:t>
      </w:r>
      <w:r w:rsidR="00CE593C" w:rsidRPr="005727A7">
        <w:t xml:space="preserve"> and in EU Member States</w:t>
      </w:r>
      <w:r w:rsidR="006210A5" w:rsidRPr="005727A7">
        <w:t>;</w:t>
      </w:r>
      <w:r w:rsidR="009577EA">
        <w:t xml:space="preserve"> </w:t>
      </w:r>
      <w:r w:rsidR="009577EA" w:rsidRPr="005727A7">
        <w:t>to facilitate the medical evacuation of critically ill or wounded Ukrainian citizens to EU Member States through the Civil Protection Mechanism, and to facilitate access to assistive devices and equipment to persons with disabilities;</w:t>
      </w:r>
    </w:p>
    <w:p w14:paraId="3B58348E" w14:textId="721F51D6" w:rsidR="009D2DCC" w:rsidRPr="005727A7" w:rsidRDefault="005727A7" w:rsidP="003C3A8C">
      <w:pPr>
        <w:pStyle w:val="SingleTxtG"/>
        <w:ind w:left="720"/>
      </w:pPr>
      <w:r>
        <w:tab/>
      </w:r>
      <w:r w:rsidR="00BF4BF2" w:rsidRPr="005727A7">
        <w:t>(</w:t>
      </w:r>
      <w:r w:rsidR="00A61747">
        <w:t>c)</w:t>
      </w:r>
      <w:r w:rsidR="00BF4BF2" w:rsidRPr="005727A7">
        <w:tab/>
      </w:r>
      <w:r w:rsidR="00CB5907">
        <w:t xml:space="preserve">The </w:t>
      </w:r>
      <w:r w:rsidR="00CB5907" w:rsidRPr="00CB5907">
        <w:t xml:space="preserve">Directorate-General </w:t>
      </w:r>
      <w:r w:rsidR="00CB5907">
        <w:t xml:space="preserve">for </w:t>
      </w:r>
      <w:r w:rsidR="00CB5907" w:rsidRPr="00CB5907">
        <w:t>Migration and Home Affairs</w:t>
      </w:r>
      <w:r w:rsidR="00CB5907">
        <w:t xml:space="preserve">, of </w:t>
      </w:r>
      <w:r w:rsidR="00BF4BF2" w:rsidRPr="005727A7">
        <w:t>the European Union</w:t>
      </w:r>
      <w:r w:rsidR="00CB5907">
        <w:t>, shared information on the measures taken</w:t>
      </w:r>
      <w:r w:rsidR="00BF4BF2" w:rsidRPr="005727A7">
        <w:t xml:space="preserve"> to mainstream disability in the Common European Asylum System, </w:t>
      </w:r>
      <w:r w:rsidR="00016D48" w:rsidRPr="005727A7">
        <w:t xml:space="preserve">particularly in the </w:t>
      </w:r>
      <w:r w:rsidR="008C66E1" w:rsidRPr="005727A7">
        <w:t xml:space="preserve">Temporary Protection Directive, the </w:t>
      </w:r>
      <w:r w:rsidR="00016D48" w:rsidRPr="005727A7">
        <w:t xml:space="preserve">Asylum Procedure Directive, the Reception Conditions Directive and the Qualification Directive; </w:t>
      </w:r>
      <w:r w:rsidR="004B3AAE" w:rsidRPr="005727A7">
        <w:t xml:space="preserve"> </w:t>
      </w:r>
    </w:p>
    <w:p w14:paraId="0BEECCB4" w14:textId="35C81721" w:rsidR="0031704D" w:rsidRDefault="005727A7" w:rsidP="003C3A8C">
      <w:pPr>
        <w:pStyle w:val="SingleTxtG"/>
        <w:ind w:left="720"/>
      </w:pPr>
      <w:r>
        <w:tab/>
      </w:r>
      <w:r w:rsidR="0031704D" w:rsidRPr="005727A7">
        <w:t>(</w:t>
      </w:r>
      <w:r w:rsidR="00CB5907">
        <w:t>d)</w:t>
      </w:r>
      <w:r w:rsidR="0031704D" w:rsidRPr="005727A7">
        <w:tab/>
      </w:r>
      <w:r w:rsidR="00CB5907">
        <w:t>Other</w:t>
      </w:r>
      <w:r w:rsidR="0031704D" w:rsidRPr="005727A7">
        <w:t xml:space="preserve"> concerned States parties </w:t>
      </w:r>
      <w:r w:rsidR="00CB5907">
        <w:t>reported on the measures taken to</w:t>
      </w:r>
      <w:r w:rsidR="0031704D" w:rsidRPr="005727A7">
        <w:t xml:space="preserve"> ensure </w:t>
      </w:r>
      <w:r w:rsidR="00755BFC" w:rsidRPr="005727A7">
        <w:t>the protection and safety of</w:t>
      </w:r>
      <w:r w:rsidR="0031704D" w:rsidRPr="005727A7">
        <w:t xml:space="preserve"> </w:t>
      </w:r>
      <w:r w:rsidR="00755BFC" w:rsidRPr="005727A7">
        <w:t xml:space="preserve">Ukrainian persons with disabilities who have sought international protection on their territories, including </w:t>
      </w:r>
      <w:r w:rsidR="004D0750" w:rsidRPr="005727A7">
        <w:t>measures to ensure</w:t>
      </w:r>
      <w:r w:rsidR="00CE6901" w:rsidRPr="005727A7">
        <w:t xml:space="preserve"> </w:t>
      </w:r>
      <w:r w:rsidR="00CB5907">
        <w:t xml:space="preserve">housing and </w:t>
      </w:r>
      <w:r w:rsidR="00CE6901" w:rsidRPr="005727A7">
        <w:t>an adequate standard of living on an equal basis with the citizens of the host country</w:t>
      </w:r>
      <w:r w:rsidR="006424F5">
        <w:rPr>
          <w:rStyle w:val="FootnoteReference"/>
        </w:rPr>
        <w:footnoteReference w:id="2"/>
      </w:r>
      <w:r w:rsidR="00CE6901" w:rsidRPr="005727A7">
        <w:t xml:space="preserve">; </w:t>
      </w:r>
      <w:r w:rsidR="004D0750" w:rsidRPr="005727A7">
        <w:t>measures to ensure</w:t>
      </w:r>
      <w:r w:rsidR="00CE6901" w:rsidRPr="005727A7">
        <w:t xml:space="preserve"> </w:t>
      </w:r>
      <w:r w:rsidR="004D0750" w:rsidRPr="005727A7">
        <w:t>accessible and culturally adequate health and rehabilitation services</w:t>
      </w:r>
      <w:r w:rsidR="00ED015E" w:rsidRPr="005727A7">
        <w:t>, including psychological services</w:t>
      </w:r>
      <w:r w:rsidR="006424F5">
        <w:rPr>
          <w:rStyle w:val="FootnoteReference"/>
        </w:rPr>
        <w:footnoteReference w:id="3"/>
      </w:r>
      <w:r w:rsidR="004D0750" w:rsidRPr="005727A7">
        <w:t>; measures to ensure provision or maintenance and repair of assistive devices and equipment</w:t>
      </w:r>
      <w:r w:rsidR="006424F5">
        <w:rPr>
          <w:rStyle w:val="FootnoteReference"/>
        </w:rPr>
        <w:footnoteReference w:id="4"/>
      </w:r>
      <w:r w:rsidR="004D0750" w:rsidRPr="005727A7">
        <w:t xml:space="preserve">; </w:t>
      </w:r>
      <w:r w:rsidR="003C3051" w:rsidRPr="005727A7">
        <w:t xml:space="preserve">measures to ensure </w:t>
      </w:r>
      <w:r w:rsidR="006A7792" w:rsidRPr="005727A7">
        <w:t xml:space="preserve">that </w:t>
      </w:r>
      <w:r w:rsidR="003C3051" w:rsidRPr="005727A7">
        <w:t xml:space="preserve">persons with disabilities </w:t>
      </w:r>
      <w:r w:rsidR="006A7792" w:rsidRPr="005727A7">
        <w:t xml:space="preserve">live </w:t>
      </w:r>
      <w:r w:rsidR="003C3051" w:rsidRPr="005727A7">
        <w:t>independent</w:t>
      </w:r>
      <w:r w:rsidR="006A7792" w:rsidRPr="005727A7">
        <w:t>ly and participate fully in all aspects of life</w:t>
      </w:r>
      <w:r w:rsidR="003C3051" w:rsidRPr="005727A7">
        <w:t xml:space="preserve"> in the host country</w:t>
      </w:r>
      <w:r w:rsidR="004E5915" w:rsidRPr="005727A7">
        <w:t>, including education and employment</w:t>
      </w:r>
      <w:r w:rsidR="006424F5">
        <w:rPr>
          <w:rStyle w:val="FootnoteReference"/>
        </w:rPr>
        <w:footnoteReference w:id="5"/>
      </w:r>
      <w:r w:rsidR="00681852" w:rsidRPr="005727A7">
        <w:t>; measures to mitigate the risk of exploitation of displaced persons with disabilities, particularly of unaccompanied children with disabilities</w:t>
      </w:r>
      <w:r w:rsidR="006424F5">
        <w:rPr>
          <w:rStyle w:val="FootnoteReference"/>
        </w:rPr>
        <w:footnoteReference w:id="6"/>
      </w:r>
      <w:r w:rsidR="00681852" w:rsidRPr="005727A7">
        <w:t xml:space="preserve">. </w:t>
      </w:r>
    </w:p>
    <w:p w14:paraId="582C16CB" w14:textId="6D2187E9" w:rsidR="009F18AB" w:rsidRPr="00F07FA8" w:rsidRDefault="009F18AB" w:rsidP="003C3A8C">
      <w:pPr>
        <w:pStyle w:val="SingleTxtG"/>
        <w:ind w:left="720"/>
        <w:rPr>
          <w:b/>
          <w:bCs/>
        </w:rPr>
      </w:pPr>
      <w:r w:rsidRPr="00F07FA8">
        <w:rPr>
          <w:b/>
          <w:bCs/>
        </w:rPr>
        <w:t>Non-cooperation with the Committee</w:t>
      </w:r>
    </w:p>
    <w:p w14:paraId="48327910" w14:textId="73E48B7B" w:rsidR="00C63CFF" w:rsidRPr="005727A7" w:rsidRDefault="00A61747" w:rsidP="003C3A8C">
      <w:pPr>
        <w:pStyle w:val="SingleTxtG"/>
        <w:ind w:left="720"/>
      </w:pPr>
      <w:r>
        <w:lastRenderedPageBreak/>
        <w:t>8.</w:t>
      </w:r>
      <w:r>
        <w:tab/>
      </w:r>
      <w:r w:rsidR="004A1B2D" w:rsidRPr="005727A7">
        <w:t>The Russian Federation did</w:t>
      </w:r>
      <w:r w:rsidR="003C72A3">
        <w:t xml:space="preserve"> not</w:t>
      </w:r>
      <w:r w:rsidR="004A1B2D" w:rsidRPr="005727A7">
        <w:t xml:space="preserve"> </w:t>
      </w:r>
      <w:r w:rsidR="003C72A3">
        <w:t xml:space="preserve">provide information on the situation of </w:t>
      </w:r>
      <w:r>
        <w:t>persons with disabilities</w:t>
      </w:r>
      <w:r w:rsidR="003C72A3">
        <w:t xml:space="preserve"> in the territories of Ukraine under its control</w:t>
      </w:r>
      <w:r w:rsidR="00843BA2">
        <w:t xml:space="preserve">, and </w:t>
      </w:r>
      <w:r w:rsidR="003C72A3">
        <w:t>contested the competence of the Committee to address this situation.</w:t>
      </w:r>
    </w:p>
    <w:p w14:paraId="0B60BF5E" w14:textId="405B25FE" w:rsidR="00F93ACA" w:rsidRPr="00F93ACA" w:rsidRDefault="00F93ACA" w:rsidP="003C3A8C">
      <w:pPr>
        <w:pStyle w:val="SingleTxtG"/>
        <w:ind w:left="720"/>
        <w:rPr>
          <w:b/>
          <w:bCs/>
        </w:rPr>
      </w:pPr>
      <w:r w:rsidRPr="00F93ACA">
        <w:rPr>
          <w:b/>
          <w:bCs/>
        </w:rPr>
        <w:t>Committee’s jurisprudence on article 11 of the Convention</w:t>
      </w:r>
    </w:p>
    <w:p w14:paraId="7B141BF7" w14:textId="045D36C0" w:rsidR="00F67D9E" w:rsidRDefault="00F93ACA" w:rsidP="003C3A8C">
      <w:pPr>
        <w:pStyle w:val="SingleTxtG"/>
        <w:ind w:left="720"/>
      </w:pPr>
      <w:r>
        <w:t>9</w:t>
      </w:r>
      <w:r w:rsidR="00843BA2">
        <w:t>.</w:t>
      </w:r>
      <w:r w:rsidR="00843BA2">
        <w:tab/>
        <w:t xml:space="preserve">In </w:t>
      </w:r>
      <w:r w:rsidR="003C3A8C">
        <w:t>keeping</w:t>
      </w:r>
      <w:r w:rsidR="00843BA2">
        <w:t xml:space="preserve"> </w:t>
      </w:r>
      <w:r w:rsidR="007355F1">
        <w:t>with</w:t>
      </w:r>
      <w:r w:rsidR="00843BA2">
        <w:t xml:space="preserve"> the jurisprudence of the Committee</w:t>
      </w:r>
      <w:r w:rsidR="007355F1">
        <w:t>, States parties are</w:t>
      </w:r>
      <w:r w:rsidR="005754FC">
        <w:t xml:space="preserve"> </w:t>
      </w:r>
      <w:r w:rsidR="007355F1">
        <w:t>required</w:t>
      </w:r>
      <w:r w:rsidR="005754FC">
        <w:t xml:space="preserve">, </w:t>
      </w:r>
      <w:r w:rsidR="005754FC" w:rsidRPr="007355F1">
        <w:rPr>
          <w:i/>
          <w:iCs/>
        </w:rPr>
        <w:t>inter alia</w:t>
      </w:r>
      <w:r w:rsidR="00A56BF0" w:rsidRPr="00A56BF0">
        <w:t>, to</w:t>
      </w:r>
      <w:r w:rsidR="00843BA2">
        <w:t>:</w:t>
      </w:r>
      <w:r w:rsidR="00BA1063">
        <w:t xml:space="preserve"> </w:t>
      </w:r>
    </w:p>
    <w:p w14:paraId="63E95B0F" w14:textId="29397DF9" w:rsidR="00F67D9E" w:rsidRDefault="00F67D9E" w:rsidP="003C3A8C">
      <w:pPr>
        <w:pStyle w:val="SingleTxtG"/>
        <w:ind w:left="720"/>
      </w:pPr>
      <w:r>
        <w:tab/>
        <w:t>(a)</w:t>
      </w:r>
      <w:r>
        <w:tab/>
      </w:r>
      <w:r w:rsidR="00A56BF0">
        <w:t>Adopt or reform national emergency response strategies,</w:t>
      </w:r>
      <w:r w:rsidR="003F2C5A">
        <w:t xml:space="preserve"> including evacuation plans,</w:t>
      </w:r>
      <w:r w:rsidR="00A56BF0">
        <w:t xml:space="preserve"> to make them inclusive of, and accessible to, </w:t>
      </w:r>
      <w:r w:rsidR="00D41493">
        <w:t xml:space="preserve">all </w:t>
      </w:r>
      <w:r w:rsidR="00A56BF0">
        <w:t>persons with disabilities in their design and implementation</w:t>
      </w:r>
      <w:r w:rsidR="000A13D3">
        <w:rPr>
          <w:rStyle w:val="FootnoteReference"/>
        </w:rPr>
        <w:footnoteReference w:id="7"/>
      </w:r>
      <w:r w:rsidR="007355F1">
        <w:t>;</w:t>
      </w:r>
      <w:r w:rsidR="00BA1063">
        <w:t xml:space="preserve"> </w:t>
      </w:r>
    </w:p>
    <w:p w14:paraId="7ABB0C8C" w14:textId="54EF1838" w:rsidR="00460870" w:rsidRDefault="00460870" w:rsidP="003C3A8C">
      <w:pPr>
        <w:pStyle w:val="SingleTxtG"/>
        <w:ind w:left="720"/>
      </w:pPr>
      <w:r>
        <w:tab/>
        <w:t>(b)</w:t>
      </w:r>
      <w:r>
        <w:tab/>
        <w:t xml:space="preserve"> Ensure that all emergency-related information is made available in formats accessible to persons with different types of impairments, including to deaf persons through sign language</w:t>
      </w:r>
      <w:r>
        <w:rPr>
          <w:rStyle w:val="FootnoteReference"/>
        </w:rPr>
        <w:footnoteReference w:id="8"/>
      </w:r>
      <w:r w:rsidR="00F30846">
        <w:t xml:space="preserve"> and to persons with </w:t>
      </w:r>
      <w:r w:rsidR="00FC33B0">
        <w:t xml:space="preserve">psychosocial and/or </w:t>
      </w:r>
      <w:r w:rsidR="00F30846">
        <w:t>intellectual disabilities through Easy Read and/or Plain Language</w:t>
      </w:r>
      <w:r>
        <w:t>;</w:t>
      </w:r>
    </w:p>
    <w:p w14:paraId="705EC4D6" w14:textId="4FDED159" w:rsidR="00843BA2" w:rsidRDefault="00F67D9E" w:rsidP="003C3A8C">
      <w:pPr>
        <w:pStyle w:val="SingleTxtG"/>
        <w:ind w:left="720"/>
      </w:pPr>
      <w:r>
        <w:tab/>
        <w:t>(</w:t>
      </w:r>
      <w:r w:rsidR="00460870">
        <w:t>c</w:t>
      </w:r>
      <w:r>
        <w:t>)</w:t>
      </w:r>
      <w:r>
        <w:tab/>
        <w:t>E</w:t>
      </w:r>
      <w:r w:rsidR="00AD0D45">
        <w:t xml:space="preserve">nsure that the principle of non-discrimination is </w:t>
      </w:r>
      <w:r>
        <w:t xml:space="preserve">respected </w:t>
      </w:r>
      <w:r w:rsidR="00AD0D45" w:rsidRPr="009F7B6D">
        <w:t>“</w:t>
      </w:r>
      <w:r w:rsidRPr="00F67D9E">
        <w:t>in all situations of risk and humanitarian emergency, particularly regarding equal access to basic necessities, such as water, sanitation,</w:t>
      </w:r>
      <w:r w:rsidR="00FC33B0">
        <w:t xml:space="preserve"> healthcare,</w:t>
      </w:r>
      <w:r w:rsidRPr="00F67D9E">
        <w:t xml:space="preserve"> food and shelter</w:t>
      </w:r>
      <w:r w:rsidR="00AD0D45" w:rsidRPr="009F7B6D">
        <w:t>”</w:t>
      </w:r>
      <w:r>
        <w:rPr>
          <w:rStyle w:val="FootnoteReference"/>
        </w:rPr>
        <w:footnoteReference w:id="9"/>
      </w:r>
      <w:r>
        <w:t>;</w:t>
      </w:r>
    </w:p>
    <w:p w14:paraId="0FB71CA3" w14:textId="4CD854FB" w:rsidR="003F2C5A" w:rsidRDefault="003F2C5A" w:rsidP="003C3A8C">
      <w:pPr>
        <w:pStyle w:val="SingleTxtG"/>
        <w:ind w:left="720"/>
      </w:pPr>
      <w:r>
        <w:tab/>
        <w:t>(</w:t>
      </w:r>
      <w:r w:rsidR="00460870">
        <w:t>d)</w:t>
      </w:r>
      <w:r>
        <w:tab/>
        <w:t xml:space="preserve">Ensure participation of organizations of persons with disabilities in emergency response strategies, with due consideration to their input and recommendations, including in setting priorities </w:t>
      </w:r>
      <w:r w:rsidR="00B22557">
        <w:t xml:space="preserve">for </w:t>
      </w:r>
      <w:r>
        <w:t>evacuation and aid distribution</w:t>
      </w:r>
      <w:r w:rsidR="00480224">
        <w:rPr>
          <w:rStyle w:val="FootnoteReference"/>
        </w:rPr>
        <w:footnoteReference w:id="10"/>
      </w:r>
      <w:r>
        <w:t>;</w:t>
      </w:r>
    </w:p>
    <w:p w14:paraId="6868527C" w14:textId="62BF729F" w:rsidR="007355F1" w:rsidRDefault="007355F1" w:rsidP="003C3A8C">
      <w:pPr>
        <w:pStyle w:val="SingleTxtG"/>
        <w:ind w:left="720"/>
      </w:pPr>
      <w:r>
        <w:tab/>
      </w:r>
      <w:r w:rsidR="001B5126">
        <w:t>(</w:t>
      </w:r>
      <w:r w:rsidR="00B22557">
        <w:t>e</w:t>
      </w:r>
      <w:r w:rsidR="001B5126">
        <w:t>)</w:t>
      </w:r>
      <w:r>
        <w:tab/>
      </w:r>
      <w:r w:rsidR="008C2C75">
        <w:t>Mainstream disability in the migration and refugee policies and in all humanitarian aid channels</w:t>
      </w:r>
      <w:r w:rsidR="00460870">
        <w:t xml:space="preserve"> and provide disability-awareness training </w:t>
      </w:r>
      <w:r w:rsidR="00460870">
        <w:lastRenderedPageBreak/>
        <w:t xml:space="preserve">for all civil defence staff, rescue and emergency personnel, and for </w:t>
      </w:r>
      <w:r w:rsidR="004C6046">
        <w:t>all potential actors involved in humanitarian emergencies</w:t>
      </w:r>
      <w:r w:rsidR="008C2C75">
        <w:rPr>
          <w:rStyle w:val="FootnoteReference"/>
        </w:rPr>
        <w:footnoteReference w:id="11"/>
      </w:r>
      <w:r w:rsidR="008C2C75">
        <w:t>;</w:t>
      </w:r>
    </w:p>
    <w:p w14:paraId="1AC5A5C3" w14:textId="40B44C18" w:rsidR="008C2C75" w:rsidRDefault="008C2C75" w:rsidP="003C3A8C">
      <w:pPr>
        <w:pStyle w:val="SingleTxtG"/>
        <w:ind w:left="720"/>
      </w:pPr>
      <w:r>
        <w:tab/>
        <w:t>(</w:t>
      </w:r>
      <w:r w:rsidR="00B22557">
        <w:t>f</w:t>
      </w:r>
      <w:r>
        <w:t>)</w:t>
      </w:r>
      <w:r>
        <w:tab/>
        <w:t xml:space="preserve">Ensure </w:t>
      </w:r>
      <w:r w:rsidR="000D45AC">
        <w:t xml:space="preserve">and prioritize </w:t>
      </w:r>
      <w:r>
        <w:t xml:space="preserve">the safety </w:t>
      </w:r>
      <w:r w:rsidR="000D45AC">
        <w:t>of all children with disabilities in conflict-affected areas, in particular of those</w:t>
      </w:r>
      <w:r w:rsidR="00610374">
        <w:t xml:space="preserve"> still</w:t>
      </w:r>
      <w:r w:rsidR="000D45AC">
        <w:t xml:space="preserve"> living in </w:t>
      </w:r>
      <w:r w:rsidR="00DE51C4">
        <w:t>residential</w:t>
      </w:r>
      <w:r w:rsidR="005C7064">
        <w:t xml:space="preserve"> care</w:t>
      </w:r>
      <w:r w:rsidR="00DE51C4">
        <w:t xml:space="preserve"> </w:t>
      </w:r>
      <w:r w:rsidR="000D45AC">
        <w:t>institutions</w:t>
      </w:r>
      <w:r w:rsidR="000D45AC">
        <w:rPr>
          <w:rStyle w:val="FootnoteReference"/>
        </w:rPr>
        <w:footnoteReference w:id="12"/>
      </w:r>
      <w:r w:rsidR="000D45AC">
        <w:t>;</w:t>
      </w:r>
    </w:p>
    <w:p w14:paraId="35665FAD" w14:textId="162026EA" w:rsidR="003C3A8C" w:rsidRDefault="00DF7030" w:rsidP="003C3A8C">
      <w:pPr>
        <w:pStyle w:val="SingleTxtG"/>
        <w:ind w:left="720"/>
      </w:pPr>
      <w:r>
        <w:tab/>
        <w:t>(</w:t>
      </w:r>
      <w:r w:rsidR="00B22557">
        <w:t>g</w:t>
      </w:r>
      <w:r>
        <w:t>)</w:t>
      </w:r>
      <w:r>
        <w:tab/>
        <w:t>Systematically register internally displaced persons with disabilities</w:t>
      </w:r>
      <w:r w:rsidR="00E45AE3">
        <w:rPr>
          <w:rStyle w:val="FootnoteReference"/>
        </w:rPr>
        <w:footnoteReference w:id="13"/>
      </w:r>
      <w:r>
        <w:t xml:space="preserve"> and monitor their situation, with the purpose of ensuring an adequate standard of living</w:t>
      </w:r>
      <w:r w:rsidR="00E45AE3">
        <w:rPr>
          <w:rStyle w:val="FootnoteReference"/>
        </w:rPr>
        <w:footnoteReference w:id="14"/>
      </w:r>
      <w:r w:rsidR="003C3A8C">
        <w:t>.</w:t>
      </w:r>
    </w:p>
    <w:p w14:paraId="6A81AE6E" w14:textId="5C9D95D7" w:rsidR="00F93ACA" w:rsidRDefault="00F93ACA" w:rsidP="003C3A8C">
      <w:pPr>
        <w:pStyle w:val="SingleTxtG"/>
        <w:ind w:left="720"/>
        <w:rPr>
          <w:b/>
          <w:bCs/>
        </w:rPr>
      </w:pPr>
      <w:r w:rsidRPr="00F93ACA">
        <w:rPr>
          <w:b/>
          <w:bCs/>
        </w:rPr>
        <w:t>Concerns and recommendations</w:t>
      </w:r>
    </w:p>
    <w:p w14:paraId="08E119D8" w14:textId="0C6E48A7" w:rsidR="00F93ACA" w:rsidRPr="00F93ACA" w:rsidRDefault="00F93ACA" w:rsidP="00F93ACA">
      <w:pPr>
        <w:pStyle w:val="SingleTxtG"/>
        <w:ind w:left="720"/>
      </w:pPr>
      <w:r>
        <w:t>10</w:t>
      </w:r>
      <w:r w:rsidRPr="00F93ACA">
        <w:t>.</w:t>
      </w:r>
      <w:r w:rsidRPr="00F93ACA">
        <w:tab/>
        <w:t>Following consultation with States parties and other stakeholders, including Organizations of Persons with Disabilities, Civil Society Organizations and United Nations entities, the Committee is listing concerns and issuing preliminary recommendations that relate to persons with disabilities:</w:t>
      </w:r>
    </w:p>
    <w:p w14:paraId="3EA91603" w14:textId="5CEF5116" w:rsidR="00F93ACA" w:rsidRPr="00F93ACA" w:rsidRDefault="00F93ACA" w:rsidP="00F93ACA">
      <w:pPr>
        <w:pStyle w:val="SingleTxtG"/>
        <w:ind w:left="720"/>
      </w:pPr>
      <w:r w:rsidRPr="00F93ACA">
        <w:tab/>
        <w:t>(a)</w:t>
      </w:r>
      <w:r w:rsidRPr="00F93ACA">
        <w:tab/>
      </w:r>
      <w:r w:rsidR="00FC33B0">
        <w:t xml:space="preserve">living </w:t>
      </w:r>
      <w:r w:rsidRPr="00F93ACA">
        <w:t>in the territory and under the jurisdiction of Ukraine</w:t>
      </w:r>
      <w:r w:rsidR="00FC33B0">
        <w:t>;</w:t>
      </w:r>
      <w:r w:rsidRPr="00F93ACA">
        <w:t xml:space="preserve"> </w:t>
      </w:r>
    </w:p>
    <w:p w14:paraId="77BE40CF" w14:textId="72283A04" w:rsidR="00F93ACA" w:rsidRPr="00F93ACA" w:rsidRDefault="00F93ACA" w:rsidP="00F93ACA">
      <w:pPr>
        <w:pStyle w:val="SingleTxtG"/>
        <w:ind w:left="720"/>
      </w:pPr>
      <w:r w:rsidRPr="00F93ACA">
        <w:tab/>
        <w:t>(b)</w:t>
      </w:r>
      <w:r w:rsidRPr="00F93ACA">
        <w:tab/>
      </w:r>
      <w:r w:rsidR="00FC33B0">
        <w:t xml:space="preserve">living </w:t>
      </w:r>
      <w:r w:rsidRPr="00F93ACA">
        <w:t xml:space="preserve">in the territory of Ukraine </w:t>
      </w:r>
      <w:r w:rsidR="00ED5E08">
        <w:t>occupied</w:t>
      </w:r>
      <w:r w:rsidRPr="00F93ACA">
        <w:t xml:space="preserve"> </w:t>
      </w:r>
      <w:r w:rsidR="00ED5E08">
        <w:t>by</w:t>
      </w:r>
      <w:r w:rsidRPr="00F93ACA">
        <w:t xml:space="preserve"> the Russian Federation</w:t>
      </w:r>
      <w:r w:rsidR="00FC33B0">
        <w:t>;</w:t>
      </w:r>
    </w:p>
    <w:p w14:paraId="248A4035" w14:textId="4D3940F3" w:rsidR="00F93ACA" w:rsidRDefault="00F93ACA" w:rsidP="00F93ACA">
      <w:pPr>
        <w:pStyle w:val="SingleTxtG"/>
        <w:ind w:left="720"/>
      </w:pPr>
      <w:r w:rsidRPr="00F93ACA">
        <w:tab/>
        <w:t>(c)</w:t>
      </w:r>
      <w:r w:rsidRPr="00F93ACA">
        <w:tab/>
      </w:r>
      <w:r w:rsidR="00FC33B0" w:rsidRPr="00FC33B0">
        <w:t>forcibly transferred to the Russian Federation</w:t>
      </w:r>
      <w:r w:rsidR="00C31710">
        <w:t>;</w:t>
      </w:r>
      <w:r w:rsidR="00FC33B0" w:rsidRPr="00FC33B0" w:rsidDel="00FC33B0">
        <w:t xml:space="preserve"> </w:t>
      </w:r>
    </w:p>
    <w:p w14:paraId="209CF278" w14:textId="7651DF47" w:rsidR="00DE51C4" w:rsidRDefault="00FC33B0" w:rsidP="00DE51C4">
      <w:pPr>
        <w:pStyle w:val="SingleTxtG"/>
        <w:ind w:left="720"/>
      </w:pPr>
      <w:r>
        <w:tab/>
      </w:r>
      <w:r w:rsidR="00DE51C4" w:rsidRPr="00FC33B0">
        <w:rPr>
          <w:color w:val="000000" w:themeColor="text1"/>
        </w:rPr>
        <w:t>(d)</w:t>
      </w:r>
      <w:r w:rsidRPr="00FC33B0">
        <w:rPr>
          <w:color w:val="000000" w:themeColor="text1"/>
        </w:rPr>
        <w:tab/>
        <w:t xml:space="preserve">in </w:t>
      </w:r>
      <w:r w:rsidRPr="00FC33B0">
        <w:t>countries where they have fled to seek international protection.</w:t>
      </w:r>
    </w:p>
    <w:p w14:paraId="79CE4CA9" w14:textId="28C652F0" w:rsidR="00A84CF8" w:rsidRDefault="00A84CF8" w:rsidP="00F93ACA">
      <w:pPr>
        <w:pStyle w:val="SingleTxtG"/>
        <w:ind w:left="720"/>
      </w:pPr>
      <w:r>
        <w:t xml:space="preserve">These recommendations are addressed to </w:t>
      </w:r>
      <w:r w:rsidR="00382465" w:rsidRPr="00382465">
        <w:rPr>
          <w:i/>
          <w:iCs/>
        </w:rPr>
        <w:t>all concerned parties</w:t>
      </w:r>
      <w:r w:rsidR="00382465">
        <w:t xml:space="preserve">, namely, </w:t>
      </w:r>
      <w:r>
        <w:t>Ukraine</w:t>
      </w:r>
      <w:r w:rsidR="00FC33B0">
        <w:t>;</w:t>
      </w:r>
      <w:r>
        <w:t xml:space="preserve"> the Russian Federation</w:t>
      </w:r>
      <w:r w:rsidR="00A82BF7">
        <w:t>,</w:t>
      </w:r>
      <w:r>
        <w:t xml:space="preserve"> with regard to </w:t>
      </w:r>
      <w:r w:rsidR="00C31710">
        <w:t xml:space="preserve">persons with disabilities living in Ukrainian territories under its </w:t>
      </w:r>
      <w:r w:rsidR="0088546D">
        <w:t>occupation</w:t>
      </w:r>
      <w:r w:rsidR="00FC33B0">
        <w:t>;</w:t>
      </w:r>
      <w:r w:rsidR="00341E09">
        <w:t xml:space="preserve"> </w:t>
      </w:r>
      <w:r>
        <w:t xml:space="preserve">and the </w:t>
      </w:r>
      <w:r w:rsidR="00382465">
        <w:t>above-mentioned</w:t>
      </w:r>
      <w:r>
        <w:t xml:space="preserve"> States parties where persons with disabilities have fled seeking international protection. </w:t>
      </w:r>
      <w:r w:rsidR="00382465">
        <w:t xml:space="preserve">Some recommendations refer only to Ukraine or to the Russian Federation </w:t>
      </w:r>
      <w:r w:rsidR="00382465">
        <w:lastRenderedPageBreak/>
        <w:t xml:space="preserve">regarding </w:t>
      </w:r>
      <w:r w:rsidR="00341E09">
        <w:t xml:space="preserve">persons with disabilities living in </w:t>
      </w:r>
      <w:r w:rsidR="00382465">
        <w:t xml:space="preserve">Ukrainian territories under its </w:t>
      </w:r>
      <w:r w:rsidR="002C20CF">
        <w:t>occupation</w:t>
      </w:r>
      <w:r w:rsidR="00341E09">
        <w:t>.</w:t>
      </w:r>
    </w:p>
    <w:p w14:paraId="404BF8BB" w14:textId="489B1629" w:rsidR="003016D0" w:rsidRPr="004972B2" w:rsidRDefault="003016D0" w:rsidP="00F93ACA">
      <w:pPr>
        <w:pStyle w:val="SingleTxtG"/>
        <w:ind w:left="720"/>
      </w:pPr>
      <w:r w:rsidRPr="004972B2">
        <w:t>11.</w:t>
      </w:r>
      <w:r w:rsidRPr="004972B2">
        <w:tab/>
        <w:t xml:space="preserve">The Committee is deeply concerned about the disproportionate risk of death or injury to which persons with disabilities are exposed, as a result of </w:t>
      </w:r>
      <w:r w:rsidR="007E3C06" w:rsidRPr="004972B2">
        <w:t xml:space="preserve">indiscriminate attacks against civilian population, due to </w:t>
      </w:r>
      <w:r w:rsidR="00D04788" w:rsidRPr="004972B2">
        <w:t>non</w:t>
      </w:r>
      <w:r w:rsidR="007E3C06" w:rsidRPr="004972B2">
        <w:t>-</w:t>
      </w:r>
      <w:r w:rsidR="00D04788" w:rsidRPr="004972B2">
        <w:t xml:space="preserve">inclusive and inaccessible </w:t>
      </w:r>
      <w:r w:rsidR="001C0BCC" w:rsidRPr="004972B2">
        <w:t>emergency preparedness and response protocols</w:t>
      </w:r>
      <w:r w:rsidR="00D04788" w:rsidRPr="004972B2">
        <w:t>.</w:t>
      </w:r>
    </w:p>
    <w:p w14:paraId="5A81B5C5" w14:textId="102E83BE" w:rsidR="001C0BCC" w:rsidRPr="004972B2" w:rsidRDefault="001C0BCC" w:rsidP="00F93ACA">
      <w:pPr>
        <w:pStyle w:val="SingleTxtG"/>
        <w:ind w:left="720"/>
        <w:rPr>
          <w:b/>
          <w:bCs/>
        </w:rPr>
      </w:pPr>
      <w:r w:rsidRPr="004972B2">
        <w:rPr>
          <w:b/>
          <w:bCs/>
        </w:rPr>
        <w:t>12.</w:t>
      </w:r>
      <w:r w:rsidRPr="004972B2">
        <w:rPr>
          <w:b/>
          <w:bCs/>
        </w:rPr>
        <w:tab/>
        <w:t xml:space="preserve">The Committee </w:t>
      </w:r>
      <w:r w:rsidR="00D04788" w:rsidRPr="004972B2">
        <w:rPr>
          <w:b/>
          <w:bCs/>
        </w:rPr>
        <w:t>urges concerned States parties to reform emergency response plans and protocols, in c</w:t>
      </w:r>
      <w:r w:rsidR="00C80174" w:rsidRPr="004972B2">
        <w:rPr>
          <w:b/>
          <w:bCs/>
        </w:rPr>
        <w:t>onsultation with organizations of persons with disabilities,</w:t>
      </w:r>
      <w:r w:rsidR="00D04788" w:rsidRPr="004972B2">
        <w:rPr>
          <w:b/>
          <w:bCs/>
        </w:rPr>
        <w:t xml:space="preserve"> to make them inclusive of, and accessible to, persons with disabilities in their design and implementation.</w:t>
      </w:r>
    </w:p>
    <w:p w14:paraId="4C173037" w14:textId="0CBF3D4A" w:rsidR="00675271" w:rsidRPr="00680748" w:rsidRDefault="00843BA2" w:rsidP="003C3A8C">
      <w:pPr>
        <w:pStyle w:val="SingleTxtG"/>
        <w:ind w:left="720"/>
      </w:pPr>
      <w:r>
        <w:t>1</w:t>
      </w:r>
      <w:r w:rsidR="00F05FBB">
        <w:t>3</w:t>
      </w:r>
      <w:r w:rsidR="00A8744A" w:rsidRPr="00680748">
        <w:t>.</w:t>
      </w:r>
      <w:r w:rsidR="00A8744A" w:rsidRPr="00680748">
        <w:tab/>
      </w:r>
      <w:r w:rsidR="0068022F" w:rsidRPr="00680748">
        <w:t xml:space="preserve">The Committee notes with concern the lack of </w:t>
      </w:r>
      <w:r w:rsidR="0049106E">
        <w:t xml:space="preserve">involvement and </w:t>
      </w:r>
      <w:r w:rsidR="0068022F" w:rsidRPr="00680748">
        <w:t>meaningful participation of persons with disabilities in emergency preparedness and response</w:t>
      </w:r>
      <w:r w:rsidR="00562363" w:rsidRPr="00680748">
        <w:t>, including in setting priorities for evacuation strategies and aid distribution</w:t>
      </w:r>
      <w:r w:rsidR="0068022F" w:rsidRPr="00680748">
        <w:t xml:space="preserve">. </w:t>
      </w:r>
    </w:p>
    <w:p w14:paraId="439F9DF3" w14:textId="31385318" w:rsidR="00A8744A" w:rsidRPr="00680748" w:rsidRDefault="005754FC" w:rsidP="003C3A8C">
      <w:pPr>
        <w:pStyle w:val="SingleTxtG"/>
        <w:ind w:left="720"/>
        <w:rPr>
          <w:b/>
          <w:bCs/>
        </w:rPr>
      </w:pPr>
      <w:r>
        <w:rPr>
          <w:b/>
          <w:bCs/>
        </w:rPr>
        <w:t>1</w:t>
      </w:r>
      <w:r w:rsidR="00F05FBB">
        <w:rPr>
          <w:b/>
          <w:bCs/>
        </w:rPr>
        <w:t>4</w:t>
      </w:r>
      <w:r w:rsidR="00A8744A" w:rsidRPr="00680748">
        <w:rPr>
          <w:b/>
          <w:bCs/>
        </w:rPr>
        <w:t>.</w:t>
      </w:r>
      <w:r w:rsidR="00A8744A" w:rsidRPr="00680748">
        <w:rPr>
          <w:b/>
          <w:bCs/>
        </w:rPr>
        <w:tab/>
        <w:t xml:space="preserve">The Committee </w:t>
      </w:r>
      <w:r w:rsidR="00680748" w:rsidRPr="00680748">
        <w:rPr>
          <w:b/>
          <w:bCs/>
        </w:rPr>
        <w:t xml:space="preserve">recommends that </w:t>
      </w:r>
      <w:r w:rsidR="00382465">
        <w:rPr>
          <w:b/>
          <w:bCs/>
        </w:rPr>
        <w:t>all</w:t>
      </w:r>
      <w:r w:rsidR="002664B6">
        <w:rPr>
          <w:b/>
          <w:bCs/>
        </w:rPr>
        <w:t xml:space="preserve"> </w:t>
      </w:r>
      <w:r w:rsidR="00F93ACA">
        <w:rPr>
          <w:b/>
          <w:bCs/>
        </w:rPr>
        <w:t xml:space="preserve">concerned </w:t>
      </w:r>
      <w:r w:rsidR="00680748" w:rsidRPr="00680748">
        <w:rPr>
          <w:b/>
          <w:bCs/>
        </w:rPr>
        <w:t xml:space="preserve">States parties and humanitarian actors ensure active participation of and coordination and meaningful consultation with persons with disabilities and their representative organizations, including </w:t>
      </w:r>
      <w:r w:rsidR="0039193A">
        <w:rPr>
          <w:b/>
          <w:bCs/>
        </w:rPr>
        <w:t>organizations of women and children with disabilities</w:t>
      </w:r>
      <w:r w:rsidR="00A8744A" w:rsidRPr="00680748">
        <w:rPr>
          <w:b/>
          <w:bCs/>
        </w:rPr>
        <w:t xml:space="preserve">. </w:t>
      </w:r>
    </w:p>
    <w:p w14:paraId="2C2F8668" w14:textId="65ECCFDC" w:rsidR="00E03935" w:rsidRPr="00675271" w:rsidRDefault="00276848" w:rsidP="003C3A8C">
      <w:pPr>
        <w:pStyle w:val="SingleTxtG"/>
        <w:ind w:left="720"/>
      </w:pPr>
      <w:r>
        <w:t>15</w:t>
      </w:r>
      <w:r w:rsidR="00680748" w:rsidRPr="00680748">
        <w:t>.</w:t>
      </w:r>
      <w:r w:rsidR="00680748" w:rsidRPr="00680748">
        <w:tab/>
        <w:t xml:space="preserve">The Committee </w:t>
      </w:r>
      <w:r w:rsidR="00E03935">
        <w:t>is concerned about the lack of accessibility of information</w:t>
      </w:r>
      <w:r w:rsidR="00D01872">
        <w:t xml:space="preserve"> and alert mechanisms</w:t>
      </w:r>
      <w:r w:rsidR="00E03935">
        <w:t xml:space="preserve"> in evacuation procedures, particularly for:</w:t>
      </w:r>
    </w:p>
    <w:p w14:paraId="36440BF0" w14:textId="321234B3" w:rsidR="00E03935" w:rsidRDefault="00E03935" w:rsidP="003C3A8C">
      <w:pPr>
        <w:pStyle w:val="SingleTxtG"/>
        <w:ind w:left="720"/>
      </w:pPr>
      <w:r w:rsidRPr="005727A7">
        <w:tab/>
        <w:t>(a)</w:t>
      </w:r>
      <w:r w:rsidRPr="005727A7">
        <w:tab/>
      </w:r>
      <w:r>
        <w:t>persons with psychosocial</w:t>
      </w:r>
      <w:r w:rsidR="007821AA">
        <w:t xml:space="preserve"> </w:t>
      </w:r>
      <w:r w:rsidR="00C31710">
        <w:t>and/</w:t>
      </w:r>
      <w:r w:rsidR="0049106E">
        <w:t xml:space="preserve">or </w:t>
      </w:r>
      <w:r w:rsidR="007821AA">
        <w:t>intellectual</w:t>
      </w:r>
      <w:r>
        <w:t xml:space="preserve"> disabilities </w:t>
      </w:r>
      <w:r w:rsidR="00101A30">
        <w:t xml:space="preserve">residing </w:t>
      </w:r>
      <w:r>
        <w:t>in</w:t>
      </w:r>
      <w:r w:rsidR="00101A30">
        <w:t xml:space="preserve"> </w:t>
      </w:r>
      <w:r>
        <w:t>institutions</w:t>
      </w:r>
      <w:r w:rsidRPr="005727A7">
        <w:t xml:space="preserve">; </w:t>
      </w:r>
    </w:p>
    <w:p w14:paraId="7F120AD9" w14:textId="05DD03A8" w:rsidR="00226547" w:rsidRDefault="00226547" w:rsidP="003C3A8C">
      <w:pPr>
        <w:pStyle w:val="SingleTxtG"/>
        <w:ind w:left="720"/>
      </w:pPr>
      <w:r>
        <w:tab/>
        <w:t>(b)</w:t>
      </w:r>
      <w:r>
        <w:tab/>
        <w:t xml:space="preserve">persons with </w:t>
      </w:r>
      <w:r w:rsidR="002712AD">
        <w:t>hearing and visual</w:t>
      </w:r>
      <w:r>
        <w:t xml:space="preserve"> impairments;</w:t>
      </w:r>
    </w:p>
    <w:p w14:paraId="6B8ACCF4" w14:textId="098668EF" w:rsidR="00E03935" w:rsidRDefault="00E03935" w:rsidP="003C3A8C">
      <w:pPr>
        <w:pStyle w:val="SingleTxtG"/>
        <w:ind w:left="720"/>
      </w:pPr>
      <w:r>
        <w:tab/>
      </w:r>
      <w:r w:rsidRPr="005727A7">
        <w:t>(</w:t>
      </w:r>
      <w:r w:rsidR="00226547">
        <w:t>c</w:t>
      </w:r>
      <w:r w:rsidRPr="005727A7">
        <w:t>)</w:t>
      </w:r>
      <w:r w:rsidRPr="005727A7">
        <w:tab/>
      </w:r>
      <w:r w:rsidR="00226547">
        <w:t xml:space="preserve">persons with limited mobility, including those who can only </w:t>
      </w:r>
      <w:r w:rsidR="00BD3919">
        <w:t>travel</w:t>
      </w:r>
      <w:r w:rsidR="00226547">
        <w:t xml:space="preserve"> </w:t>
      </w:r>
      <w:r w:rsidR="00BD3919">
        <w:t>laying down;</w:t>
      </w:r>
    </w:p>
    <w:p w14:paraId="44E465F7" w14:textId="1B46A865" w:rsidR="00680748" w:rsidRPr="00680748" w:rsidRDefault="00E03935" w:rsidP="003C3A8C">
      <w:pPr>
        <w:pStyle w:val="SingleTxtG"/>
        <w:ind w:left="720"/>
      </w:pPr>
      <w:r>
        <w:tab/>
      </w:r>
      <w:r w:rsidRPr="005727A7">
        <w:t>(</w:t>
      </w:r>
      <w:r w:rsidR="00226547">
        <w:t>d</w:t>
      </w:r>
      <w:r w:rsidRPr="005727A7">
        <w:t>)</w:t>
      </w:r>
      <w:r w:rsidRPr="005727A7">
        <w:tab/>
      </w:r>
      <w:r w:rsidR="00226547">
        <w:t>men with disabilities and male caregivers for close relatives with disabilities who wish to leave Ukraine and seek international protection in another country.</w:t>
      </w:r>
    </w:p>
    <w:p w14:paraId="0928843C" w14:textId="4A5A6EC8" w:rsidR="00680748" w:rsidRPr="00680748" w:rsidRDefault="00276848" w:rsidP="003C3A8C">
      <w:pPr>
        <w:pStyle w:val="SingleTxtG"/>
        <w:ind w:left="720"/>
        <w:rPr>
          <w:b/>
          <w:bCs/>
        </w:rPr>
      </w:pPr>
      <w:r>
        <w:rPr>
          <w:b/>
          <w:bCs/>
        </w:rPr>
        <w:lastRenderedPageBreak/>
        <w:t>16</w:t>
      </w:r>
      <w:r w:rsidR="00680748" w:rsidRPr="00680748">
        <w:rPr>
          <w:b/>
          <w:bCs/>
        </w:rPr>
        <w:t>.</w:t>
      </w:r>
      <w:r w:rsidR="00680748" w:rsidRPr="00680748">
        <w:rPr>
          <w:b/>
          <w:bCs/>
        </w:rPr>
        <w:tab/>
        <w:t xml:space="preserve">The Committee </w:t>
      </w:r>
      <w:r w:rsidR="00BD3919" w:rsidRPr="002712AD">
        <w:rPr>
          <w:b/>
          <w:bCs/>
        </w:rPr>
        <w:t xml:space="preserve">urges </w:t>
      </w:r>
      <w:r w:rsidR="00382465">
        <w:rPr>
          <w:b/>
          <w:bCs/>
        </w:rPr>
        <w:t>all</w:t>
      </w:r>
      <w:r w:rsidR="00A84CF8">
        <w:rPr>
          <w:b/>
          <w:bCs/>
        </w:rPr>
        <w:t xml:space="preserve"> concerned </w:t>
      </w:r>
      <w:r w:rsidR="00BD3919" w:rsidRPr="002712AD">
        <w:rPr>
          <w:b/>
          <w:bCs/>
        </w:rPr>
        <w:t xml:space="preserve">States parties to ensure that all emergency-related information </w:t>
      </w:r>
      <w:r w:rsidR="0039193A">
        <w:rPr>
          <w:b/>
          <w:bCs/>
        </w:rPr>
        <w:t>is</w:t>
      </w:r>
      <w:r w:rsidR="00BD3919" w:rsidRPr="002712AD">
        <w:rPr>
          <w:b/>
          <w:bCs/>
        </w:rPr>
        <w:t xml:space="preserve"> made available in formats accessible to </w:t>
      </w:r>
      <w:r w:rsidR="00044860" w:rsidRPr="00044860">
        <w:rPr>
          <w:b/>
          <w:bCs/>
        </w:rPr>
        <w:t>all persons with disabilities regardless of type of impairment, in accordance with the Committee’s general comment No. 2 (2014)</w:t>
      </w:r>
      <w:r w:rsidR="002712AD" w:rsidRPr="002712AD">
        <w:rPr>
          <w:b/>
          <w:bCs/>
        </w:rPr>
        <w:t>.</w:t>
      </w:r>
    </w:p>
    <w:p w14:paraId="0EC6CEA1" w14:textId="77777777" w:rsidR="00696DAB" w:rsidRDefault="0039193A" w:rsidP="003C3A8C">
      <w:pPr>
        <w:pStyle w:val="SingleTxtG"/>
        <w:ind w:left="720"/>
      </w:pPr>
      <w:r>
        <w:t>1</w:t>
      </w:r>
      <w:r w:rsidR="005754FC">
        <w:t>7</w:t>
      </w:r>
      <w:r w:rsidRPr="00680748">
        <w:t>.</w:t>
      </w:r>
      <w:r w:rsidRPr="00680748">
        <w:tab/>
      </w:r>
      <w:r>
        <w:t xml:space="preserve">The Committee </w:t>
      </w:r>
      <w:r w:rsidR="002727C6">
        <w:t>regrets that Ukraine has not sufficiently implemented the Committee’s previous recommendations</w:t>
      </w:r>
      <w:r w:rsidR="00205986">
        <w:rPr>
          <w:rStyle w:val="FootnoteReference"/>
        </w:rPr>
        <w:footnoteReference w:id="15"/>
      </w:r>
      <w:r w:rsidR="002727C6">
        <w:t xml:space="preserve">, and </w:t>
      </w:r>
      <w:r w:rsidR="00065315">
        <w:t>is deeply concerned</w:t>
      </w:r>
      <w:r w:rsidR="000240D1">
        <w:t xml:space="preserve"> about</w:t>
      </w:r>
      <w:r w:rsidR="00696DAB">
        <w:t>:</w:t>
      </w:r>
    </w:p>
    <w:p w14:paraId="34DEB8E8" w14:textId="4D9B5404" w:rsidR="00696DAB" w:rsidRDefault="00696DAB" w:rsidP="003C3A8C">
      <w:pPr>
        <w:pStyle w:val="SingleTxtG"/>
        <w:ind w:left="720"/>
      </w:pPr>
      <w:r>
        <w:tab/>
        <w:t>(a)</w:t>
      </w:r>
      <w:r>
        <w:tab/>
        <w:t>T</w:t>
      </w:r>
      <w:r w:rsidR="000240D1">
        <w:t xml:space="preserve">he </w:t>
      </w:r>
      <w:r w:rsidR="00065315">
        <w:t>widespread</w:t>
      </w:r>
      <w:r w:rsidR="000240D1">
        <w:t xml:space="preserve"> institutionalization of persons with disabilities, in particular those living with intellectual and</w:t>
      </w:r>
      <w:r w:rsidR="00C31710">
        <w:t>/or</w:t>
      </w:r>
      <w:r w:rsidR="000240D1">
        <w:t xml:space="preserve"> psychosocial disabilities, in </w:t>
      </w:r>
      <w:r w:rsidR="00D41493">
        <w:t xml:space="preserve">residential </w:t>
      </w:r>
      <w:r w:rsidR="005C7064">
        <w:t xml:space="preserve">care </w:t>
      </w:r>
      <w:r w:rsidR="00D41493">
        <w:t xml:space="preserve">institutions </w:t>
      </w:r>
      <w:r w:rsidR="000240D1">
        <w:t>in Ukraine</w:t>
      </w:r>
      <w:r>
        <w:t>;</w:t>
      </w:r>
    </w:p>
    <w:p w14:paraId="29D22C08" w14:textId="30CF4FF9" w:rsidR="00696DAB" w:rsidRDefault="00696DAB" w:rsidP="003C3A8C">
      <w:pPr>
        <w:pStyle w:val="SingleTxtG"/>
        <w:ind w:left="720"/>
      </w:pPr>
      <w:r>
        <w:tab/>
        <w:t>(b)</w:t>
      </w:r>
      <w:r>
        <w:tab/>
      </w:r>
      <w:r w:rsidR="00FE752A">
        <w:t>The S</w:t>
      </w:r>
      <w:r w:rsidR="00896A35">
        <w:t xml:space="preserve">tate regulations that </w:t>
      </w:r>
      <w:r w:rsidR="00522038">
        <w:t xml:space="preserve">prevent children with disabilities being provided with alternative care within the community in a family setting when being evacuated from residential </w:t>
      </w:r>
      <w:r w:rsidR="005C7064">
        <w:t xml:space="preserve">care </w:t>
      </w:r>
      <w:r w:rsidR="00522038">
        <w:t>institutions located in areas of armed hostilities</w:t>
      </w:r>
      <w:r w:rsidR="00FE752A">
        <w:t>, resulting in t</w:t>
      </w:r>
      <w:r>
        <w:t>he re-institutionalization of children with disabilities</w:t>
      </w:r>
      <w:r w:rsidR="00E61002">
        <w:t xml:space="preserve"> </w:t>
      </w:r>
      <w:r>
        <w:t>in institutional settings in Ukraine and in refugee hosting countries;</w:t>
      </w:r>
    </w:p>
    <w:p w14:paraId="6693E123" w14:textId="5F0F52C1" w:rsidR="0039193A" w:rsidRPr="004A50FA" w:rsidRDefault="00696DAB" w:rsidP="003C3A8C">
      <w:pPr>
        <w:pStyle w:val="SingleTxtG"/>
        <w:ind w:left="720"/>
        <w:rPr>
          <w:color w:val="FF0000"/>
        </w:rPr>
      </w:pPr>
      <w:r>
        <w:tab/>
      </w:r>
      <w:r w:rsidRPr="000A1D6C">
        <w:t>(c)</w:t>
      </w:r>
      <w:r w:rsidRPr="000A1D6C">
        <w:tab/>
        <w:t>T</w:t>
      </w:r>
      <w:r w:rsidR="002727C6" w:rsidRPr="000A1D6C">
        <w:t xml:space="preserve">he evacuation </w:t>
      </w:r>
      <w:r w:rsidR="00BB5B72" w:rsidRPr="000A1D6C">
        <w:t>of the institutions located in conflict areas</w:t>
      </w:r>
      <w:r w:rsidRPr="000A1D6C">
        <w:t>, which</w:t>
      </w:r>
      <w:r w:rsidR="00BB5B72" w:rsidRPr="000A1D6C">
        <w:t xml:space="preserve"> </w:t>
      </w:r>
      <w:r w:rsidR="00690D57" w:rsidRPr="000A1D6C">
        <w:t>is</w:t>
      </w:r>
      <w:r w:rsidR="002727C6" w:rsidRPr="000A1D6C">
        <w:t xml:space="preserve"> not </w:t>
      </w:r>
      <w:r w:rsidR="00205986" w:rsidRPr="000A1D6C">
        <w:t>efficiently prioritized</w:t>
      </w:r>
      <w:r w:rsidR="00F46630" w:rsidRPr="000A1D6C">
        <w:t xml:space="preserve"> by both parties to the conflict</w:t>
      </w:r>
      <w:r w:rsidR="00AF179C" w:rsidRPr="000A1D6C">
        <w:t>.</w:t>
      </w:r>
    </w:p>
    <w:p w14:paraId="1560FD4C" w14:textId="40AC216B" w:rsidR="008676A2" w:rsidRDefault="0039193A" w:rsidP="003C3A8C">
      <w:pPr>
        <w:pStyle w:val="SingleTxtG"/>
        <w:ind w:left="720"/>
        <w:rPr>
          <w:b/>
          <w:bCs/>
        </w:rPr>
      </w:pPr>
      <w:r>
        <w:rPr>
          <w:b/>
          <w:bCs/>
        </w:rPr>
        <w:t>1</w:t>
      </w:r>
      <w:r w:rsidR="005754FC">
        <w:rPr>
          <w:b/>
          <w:bCs/>
        </w:rPr>
        <w:t>8</w:t>
      </w:r>
      <w:r w:rsidRPr="00680748">
        <w:rPr>
          <w:b/>
          <w:bCs/>
        </w:rPr>
        <w:t>.</w:t>
      </w:r>
      <w:r w:rsidRPr="00680748">
        <w:rPr>
          <w:b/>
          <w:bCs/>
        </w:rPr>
        <w:tab/>
      </w:r>
      <w:r w:rsidR="00A84CF8">
        <w:rPr>
          <w:b/>
          <w:bCs/>
        </w:rPr>
        <w:t>Th</w:t>
      </w:r>
      <w:r w:rsidR="007859B1" w:rsidRPr="007859B1">
        <w:rPr>
          <w:b/>
          <w:bCs/>
        </w:rPr>
        <w:t xml:space="preserve">e Committee </w:t>
      </w:r>
      <w:r w:rsidR="007859B1">
        <w:rPr>
          <w:b/>
          <w:bCs/>
        </w:rPr>
        <w:t>calls upon</w:t>
      </w:r>
      <w:r w:rsidR="007859B1" w:rsidRPr="007859B1">
        <w:rPr>
          <w:b/>
          <w:bCs/>
        </w:rPr>
        <w:t xml:space="preserve"> </w:t>
      </w:r>
      <w:r w:rsidR="00382465">
        <w:rPr>
          <w:b/>
          <w:bCs/>
        </w:rPr>
        <w:t xml:space="preserve">Ukraine, and the Russian Federation regarding Ukrainian territories under its </w:t>
      </w:r>
      <w:r w:rsidR="004E23AF">
        <w:rPr>
          <w:b/>
          <w:bCs/>
        </w:rPr>
        <w:t>occupation</w:t>
      </w:r>
      <w:r w:rsidR="007859B1">
        <w:rPr>
          <w:b/>
          <w:bCs/>
        </w:rPr>
        <w:t xml:space="preserve"> to:</w:t>
      </w:r>
    </w:p>
    <w:p w14:paraId="10811418" w14:textId="4A4F506E" w:rsidR="007859B1" w:rsidRDefault="007859B1" w:rsidP="003C3A8C">
      <w:pPr>
        <w:pStyle w:val="SingleTxtG"/>
        <w:ind w:left="720"/>
        <w:rPr>
          <w:b/>
          <w:bCs/>
        </w:rPr>
      </w:pPr>
      <w:r>
        <w:rPr>
          <w:b/>
          <w:bCs/>
        </w:rPr>
        <w:tab/>
        <w:t>(a)</w:t>
      </w:r>
      <w:r>
        <w:rPr>
          <w:b/>
          <w:bCs/>
        </w:rPr>
        <w:tab/>
      </w:r>
      <w:r w:rsidR="00466AEE">
        <w:rPr>
          <w:b/>
          <w:bCs/>
        </w:rPr>
        <w:t>Expedite</w:t>
      </w:r>
      <w:r w:rsidRPr="007859B1">
        <w:rPr>
          <w:b/>
          <w:bCs/>
        </w:rPr>
        <w:t xml:space="preserve"> </w:t>
      </w:r>
      <w:r w:rsidR="00466AEE">
        <w:rPr>
          <w:b/>
          <w:bCs/>
        </w:rPr>
        <w:t>de</w:t>
      </w:r>
      <w:r w:rsidRPr="007859B1">
        <w:rPr>
          <w:b/>
          <w:bCs/>
        </w:rPr>
        <w:t xml:space="preserve">institutionalization of </w:t>
      </w:r>
      <w:r w:rsidR="00466AEE">
        <w:rPr>
          <w:b/>
          <w:bCs/>
        </w:rPr>
        <w:t xml:space="preserve">all </w:t>
      </w:r>
      <w:r w:rsidRPr="007859B1">
        <w:rPr>
          <w:b/>
          <w:bCs/>
        </w:rPr>
        <w:t>persons with disabilities</w:t>
      </w:r>
      <w:r w:rsidR="00466AEE">
        <w:rPr>
          <w:b/>
          <w:bCs/>
        </w:rPr>
        <w:t xml:space="preserve"> who </w:t>
      </w:r>
      <w:r w:rsidR="00466AEE" w:rsidRPr="007F4A80">
        <w:rPr>
          <w:b/>
          <w:bCs/>
        </w:rPr>
        <w:t xml:space="preserve">remain in </w:t>
      </w:r>
      <w:r w:rsidR="00D41493" w:rsidRPr="007F4A80">
        <w:rPr>
          <w:b/>
          <w:bCs/>
        </w:rPr>
        <w:t xml:space="preserve">residential </w:t>
      </w:r>
      <w:r w:rsidR="005C7064">
        <w:rPr>
          <w:b/>
          <w:bCs/>
        </w:rPr>
        <w:t xml:space="preserve">care </w:t>
      </w:r>
      <w:r w:rsidR="00D41493" w:rsidRPr="007F4A80">
        <w:rPr>
          <w:b/>
          <w:bCs/>
        </w:rPr>
        <w:t xml:space="preserve">institutions for persons with disabilities </w:t>
      </w:r>
      <w:r w:rsidR="00466AEE" w:rsidRPr="007F4A80">
        <w:rPr>
          <w:b/>
          <w:bCs/>
        </w:rPr>
        <w:t xml:space="preserve">in </w:t>
      </w:r>
      <w:r w:rsidR="00F93ACA" w:rsidRPr="007F4A80">
        <w:rPr>
          <w:b/>
          <w:bCs/>
        </w:rPr>
        <w:t>the</w:t>
      </w:r>
      <w:r w:rsidR="00F93ACA">
        <w:rPr>
          <w:b/>
          <w:bCs/>
        </w:rPr>
        <w:t xml:space="preserve"> territory of </w:t>
      </w:r>
      <w:r w:rsidR="00466AEE">
        <w:rPr>
          <w:b/>
          <w:bCs/>
        </w:rPr>
        <w:t xml:space="preserve">Ukraine, and ensure independent monitoring of </w:t>
      </w:r>
      <w:r w:rsidR="00CF5EAB">
        <w:rPr>
          <w:b/>
          <w:bCs/>
        </w:rPr>
        <w:t>th</w:t>
      </w:r>
      <w:r w:rsidR="00E61002">
        <w:rPr>
          <w:b/>
          <w:bCs/>
        </w:rPr>
        <w:t>is</w:t>
      </w:r>
      <w:r w:rsidR="00CF5EAB">
        <w:rPr>
          <w:b/>
          <w:bCs/>
        </w:rPr>
        <w:t xml:space="preserve"> </w:t>
      </w:r>
      <w:r w:rsidR="00466AEE">
        <w:rPr>
          <w:b/>
          <w:bCs/>
        </w:rPr>
        <w:t>process, with the close involvement of organizations of persons with disabilities;</w:t>
      </w:r>
    </w:p>
    <w:p w14:paraId="4791960B" w14:textId="338CC236" w:rsidR="00690D57" w:rsidRDefault="00690D57" w:rsidP="003C3A8C">
      <w:pPr>
        <w:pStyle w:val="SingleTxtG"/>
        <w:ind w:left="720"/>
        <w:rPr>
          <w:b/>
          <w:bCs/>
        </w:rPr>
      </w:pPr>
      <w:r>
        <w:rPr>
          <w:b/>
          <w:bCs/>
        </w:rPr>
        <w:tab/>
        <w:t>(b)</w:t>
      </w:r>
      <w:r>
        <w:rPr>
          <w:b/>
          <w:bCs/>
        </w:rPr>
        <w:tab/>
        <w:t>With the aim to e</w:t>
      </w:r>
      <w:r w:rsidRPr="00690D57">
        <w:rPr>
          <w:b/>
          <w:bCs/>
        </w:rPr>
        <w:t>nsure the enjoyment by children with disabilities</w:t>
      </w:r>
      <w:r w:rsidR="00E61002">
        <w:rPr>
          <w:b/>
          <w:bCs/>
        </w:rPr>
        <w:t xml:space="preserve"> </w:t>
      </w:r>
      <w:r w:rsidRPr="00690D57">
        <w:rPr>
          <w:b/>
          <w:bCs/>
        </w:rPr>
        <w:t>of their rights to family life</w:t>
      </w:r>
      <w:r>
        <w:rPr>
          <w:b/>
          <w:bCs/>
        </w:rPr>
        <w:t xml:space="preserve">, </w:t>
      </w:r>
      <w:r w:rsidR="00101A30">
        <w:rPr>
          <w:b/>
          <w:bCs/>
        </w:rPr>
        <w:t xml:space="preserve">repeal </w:t>
      </w:r>
      <w:r w:rsidR="004A50FA">
        <w:rPr>
          <w:b/>
          <w:bCs/>
        </w:rPr>
        <w:t xml:space="preserve">State </w:t>
      </w:r>
      <w:r w:rsidR="00101A30">
        <w:rPr>
          <w:b/>
          <w:bCs/>
        </w:rPr>
        <w:t xml:space="preserve">regulations that </w:t>
      </w:r>
      <w:r w:rsidR="00522038">
        <w:rPr>
          <w:b/>
          <w:bCs/>
        </w:rPr>
        <w:t xml:space="preserve">prevent children with disabilities </w:t>
      </w:r>
      <w:r w:rsidR="002402A9">
        <w:rPr>
          <w:b/>
          <w:bCs/>
        </w:rPr>
        <w:t xml:space="preserve">from </w:t>
      </w:r>
      <w:r w:rsidR="00522038">
        <w:rPr>
          <w:b/>
          <w:bCs/>
        </w:rPr>
        <w:t xml:space="preserve">being provided with community-based support when evacuated from residential </w:t>
      </w:r>
      <w:r w:rsidR="005C7064">
        <w:rPr>
          <w:b/>
          <w:bCs/>
        </w:rPr>
        <w:t xml:space="preserve">care </w:t>
      </w:r>
      <w:r w:rsidR="00522038">
        <w:rPr>
          <w:b/>
          <w:bCs/>
        </w:rPr>
        <w:t>institutions</w:t>
      </w:r>
      <w:r w:rsidR="00101A30">
        <w:rPr>
          <w:b/>
          <w:bCs/>
        </w:rPr>
        <w:t xml:space="preserve">; </w:t>
      </w:r>
      <w:r>
        <w:rPr>
          <w:b/>
          <w:bCs/>
        </w:rPr>
        <w:t xml:space="preserve">provide </w:t>
      </w:r>
      <w:r w:rsidR="00522038">
        <w:rPr>
          <w:b/>
          <w:bCs/>
        </w:rPr>
        <w:t>them with alternative care within the community in a family setting</w:t>
      </w:r>
      <w:r w:rsidR="00E85DA7">
        <w:rPr>
          <w:b/>
          <w:bCs/>
        </w:rPr>
        <w:t xml:space="preserve">; </w:t>
      </w:r>
      <w:r w:rsidR="002402A9">
        <w:rPr>
          <w:b/>
          <w:bCs/>
        </w:rPr>
        <w:t xml:space="preserve">introduce </w:t>
      </w:r>
      <w:r w:rsidR="002402A9" w:rsidRPr="002402A9">
        <w:rPr>
          <w:b/>
          <w:bCs/>
        </w:rPr>
        <w:lastRenderedPageBreak/>
        <w:t>support measures for women caregivers of children and family members with disabilities to decrease their unpaid care work and provide opportunities for their professional and personal self-realization</w:t>
      </w:r>
      <w:r w:rsidR="002402A9">
        <w:rPr>
          <w:b/>
          <w:bCs/>
        </w:rPr>
        <w:t>;</w:t>
      </w:r>
      <w:r w:rsidR="002402A9" w:rsidRPr="002402A9">
        <w:rPr>
          <w:b/>
          <w:bCs/>
        </w:rPr>
        <w:t xml:space="preserve"> </w:t>
      </w:r>
      <w:r w:rsidR="00E85DA7">
        <w:rPr>
          <w:b/>
          <w:bCs/>
        </w:rPr>
        <w:t>and invest in a wide range of services, including in-home services, personal assistance, early intervention and rehabilitation in Ukraine and in refugee hosting countries;</w:t>
      </w:r>
    </w:p>
    <w:p w14:paraId="7382E621" w14:textId="7B628ABF" w:rsidR="00466AEE" w:rsidRDefault="00466AEE" w:rsidP="003C3A8C">
      <w:pPr>
        <w:pStyle w:val="SingleTxtG"/>
        <w:ind w:left="720"/>
        <w:rPr>
          <w:b/>
          <w:bCs/>
        </w:rPr>
      </w:pPr>
      <w:r>
        <w:rPr>
          <w:b/>
          <w:bCs/>
        </w:rPr>
        <w:tab/>
      </w:r>
      <w:r w:rsidRPr="00C80174">
        <w:rPr>
          <w:b/>
          <w:bCs/>
        </w:rPr>
        <w:t>(</w:t>
      </w:r>
      <w:r w:rsidR="007F08BB">
        <w:rPr>
          <w:b/>
          <w:bCs/>
        </w:rPr>
        <w:t>c</w:t>
      </w:r>
      <w:r w:rsidRPr="00C80174">
        <w:rPr>
          <w:b/>
          <w:bCs/>
        </w:rPr>
        <w:t>)</w:t>
      </w:r>
      <w:r w:rsidRPr="00C80174">
        <w:rPr>
          <w:b/>
          <w:bCs/>
        </w:rPr>
        <w:tab/>
      </w:r>
      <w:r w:rsidR="00827BB1" w:rsidRPr="00C80174">
        <w:rPr>
          <w:b/>
          <w:bCs/>
        </w:rPr>
        <w:t xml:space="preserve">Ensure all persons with disabilities living in </w:t>
      </w:r>
      <w:r w:rsidR="00D41493" w:rsidRPr="00C80174">
        <w:rPr>
          <w:b/>
          <w:bCs/>
        </w:rPr>
        <w:t xml:space="preserve">residential </w:t>
      </w:r>
      <w:r w:rsidR="005C7064">
        <w:rPr>
          <w:b/>
          <w:bCs/>
        </w:rPr>
        <w:t xml:space="preserve">care </w:t>
      </w:r>
      <w:r w:rsidR="00D41493" w:rsidRPr="00C80174">
        <w:rPr>
          <w:b/>
          <w:bCs/>
        </w:rPr>
        <w:t xml:space="preserve">institutions for persons with disabilities </w:t>
      </w:r>
      <w:r w:rsidR="00827BB1" w:rsidRPr="00C80174">
        <w:rPr>
          <w:b/>
          <w:bCs/>
        </w:rPr>
        <w:t>are accounted for, and p</w:t>
      </w:r>
      <w:r w:rsidRPr="00C80174">
        <w:rPr>
          <w:b/>
          <w:bCs/>
        </w:rPr>
        <w:t>rioritize th</w:t>
      </w:r>
      <w:r w:rsidR="00827BB1" w:rsidRPr="00C80174">
        <w:rPr>
          <w:b/>
          <w:bCs/>
        </w:rPr>
        <w:t>eir evacuation from institutions</w:t>
      </w:r>
      <w:r w:rsidR="007F4A80" w:rsidRPr="00C80174">
        <w:rPr>
          <w:b/>
          <w:bCs/>
        </w:rPr>
        <w:t xml:space="preserve"> located</w:t>
      </w:r>
      <w:r w:rsidR="00827BB1" w:rsidRPr="00C80174">
        <w:rPr>
          <w:b/>
          <w:bCs/>
        </w:rPr>
        <w:t xml:space="preserve"> in places of </w:t>
      </w:r>
      <w:r w:rsidR="008F0AC2">
        <w:rPr>
          <w:b/>
          <w:bCs/>
        </w:rPr>
        <w:t>armed hostilities</w:t>
      </w:r>
      <w:r w:rsidR="00CE162B" w:rsidRPr="00C80174">
        <w:rPr>
          <w:b/>
          <w:bCs/>
        </w:rPr>
        <w:t>;</w:t>
      </w:r>
    </w:p>
    <w:p w14:paraId="3221FD17" w14:textId="151DE74C" w:rsidR="002402A9" w:rsidRPr="00C80174" w:rsidRDefault="009F18AB" w:rsidP="003C3A8C">
      <w:pPr>
        <w:pStyle w:val="SingleTxtG"/>
        <w:ind w:left="720"/>
        <w:rPr>
          <w:b/>
          <w:bCs/>
        </w:rPr>
      </w:pPr>
      <w:r>
        <w:rPr>
          <w:b/>
          <w:bCs/>
        </w:rPr>
        <w:tab/>
        <w:t>(d)</w:t>
      </w:r>
      <w:r>
        <w:rPr>
          <w:b/>
          <w:bCs/>
        </w:rPr>
        <w:tab/>
      </w:r>
      <w:r w:rsidR="002402A9">
        <w:rPr>
          <w:b/>
          <w:bCs/>
        </w:rPr>
        <w:t xml:space="preserve">Open State dialogue with </w:t>
      </w:r>
      <w:r w:rsidR="002402A9" w:rsidRPr="002402A9">
        <w:rPr>
          <w:b/>
          <w:bCs/>
        </w:rPr>
        <w:t>other governments for an integrated assistance for people with disabilities who can be relocated outside Ukraine. This dialogue should also address the risks of human trafficking and methods to combat it</w:t>
      </w:r>
      <w:r w:rsidR="00892F17">
        <w:rPr>
          <w:b/>
          <w:bCs/>
        </w:rPr>
        <w:t>;</w:t>
      </w:r>
    </w:p>
    <w:p w14:paraId="4363F48B" w14:textId="335FF6E6" w:rsidR="00CE162B" w:rsidRDefault="00CE162B" w:rsidP="003C3A8C">
      <w:pPr>
        <w:pStyle w:val="SingleTxtG"/>
        <w:ind w:left="720"/>
        <w:rPr>
          <w:b/>
          <w:bCs/>
        </w:rPr>
      </w:pPr>
      <w:r>
        <w:rPr>
          <w:b/>
          <w:bCs/>
        </w:rPr>
        <w:tab/>
        <w:t>(</w:t>
      </w:r>
      <w:r w:rsidR="002402A9">
        <w:rPr>
          <w:b/>
          <w:bCs/>
        </w:rPr>
        <w:t>e</w:t>
      </w:r>
      <w:r w:rsidR="007F08BB">
        <w:rPr>
          <w:b/>
          <w:bCs/>
        </w:rPr>
        <w:t>)</w:t>
      </w:r>
      <w:r>
        <w:rPr>
          <w:b/>
          <w:bCs/>
        </w:rPr>
        <w:tab/>
        <w:t xml:space="preserve">Recalling its obligations under </w:t>
      </w:r>
      <w:r w:rsidR="005F7F3D">
        <w:rPr>
          <w:b/>
          <w:bCs/>
        </w:rPr>
        <w:t>international humanitarian law</w:t>
      </w:r>
      <w:r>
        <w:rPr>
          <w:b/>
          <w:bCs/>
        </w:rPr>
        <w:t xml:space="preserve">, refrain from taking up military positions in residential areas or near civilian objects, and </w:t>
      </w:r>
      <w:r w:rsidR="002910EC">
        <w:rPr>
          <w:b/>
          <w:bCs/>
        </w:rPr>
        <w:t>from involving persons with disabilities in military operations.</w:t>
      </w:r>
    </w:p>
    <w:p w14:paraId="05D033EC" w14:textId="313B4162" w:rsidR="00F05FBB" w:rsidRPr="004972B2" w:rsidRDefault="00F05FBB" w:rsidP="003C3A8C">
      <w:pPr>
        <w:pStyle w:val="SingleTxtG"/>
        <w:ind w:left="720"/>
      </w:pPr>
      <w:r w:rsidRPr="004972B2">
        <w:t>19.</w:t>
      </w:r>
      <w:r w:rsidRPr="004972B2">
        <w:tab/>
        <w:t xml:space="preserve">The Committee notes with concern that </w:t>
      </w:r>
      <w:r w:rsidR="008F0AC2" w:rsidRPr="004972B2">
        <w:t xml:space="preserve">Ukraine has not prioritized the evacuation of </w:t>
      </w:r>
      <w:r w:rsidRPr="004972B2">
        <w:t xml:space="preserve">persons with disabilities </w:t>
      </w:r>
      <w:r w:rsidR="008F0AC2" w:rsidRPr="004972B2">
        <w:t>from areas of armed hostilities</w:t>
      </w:r>
      <w:r w:rsidR="00065318" w:rsidRPr="004972B2">
        <w:t xml:space="preserve"> to safe areas in the country or abroad.</w:t>
      </w:r>
    </w:p>
    <w:p w14:paraId="53D91B04" w14:textId="5ADABC03" w:rsidR="00065318" w:rsidRPr="004972B2" w:rsidRDefault="00065318" w:rsidP="003C3A8C">
      <w:pPr>
        <w:pStyle w:val="SingleTxtG"/>
        <w:ind w:left="720"/>
        <w:rPr>
          <w:b/>
          <w:bCs/>
        </w:rPr>
      </w:pPr>
      <w:r w:rsidRPr="004972B2">
        <w:rPr>
          <w:b/>
          <w:bCs/>
        </w:rPr>
        <w:t>20.</w:t>
      </w:r>
      <w:r w:rsidRPr="004972B2">
        <w:rPr>
          <w:b/>
          <w:bCs/>
        </w:rPr>
        <w:tab/>
        <w:t>The Committee recommends that the State party reform evacuation protocols, to ensure adequate support for persons with disabilities is available and accessible to all persons with disabilities</w:t>
      </w:r>
      <w:r w:rsidR="00276848" w:rsidRPr="004972B2">
        <w:rPr>
          <w:b/>
          <w:bCs/>
        </w:rPr>
        <w:t>, on an equal basis with others</w:t>
      </w:r>
      <w:r w:rsidRPr="004972B2">
        <w:rPr>
          <w:b/>
          <w:bCs/>
        </w:rPr>
        <w:t xml:space="preserve">. </w:t>
      </w:r>
      <w:r w:rsidR="009E6817" w:rsidRPr="004972B2">
        <w:rPr>
          <w:b/>
          <w:bCs/>
        </w:rPr>
        <w:t xml:space="preserve">Evacuation protocols should </w:t>
      </w:r>
      <w:r w:rsidR="00276848" w:rsidRPr="004972B2">
        <w:rPr>
          <w:b/>
          <w:bCs/>
        </w:rPr>
        <w:t>include</w:t>
      </w:r>
      <w:r w:rsidR="009E6817" w:rsidRPr="004972B2">
        <w:rPr>
          <w:b/>
          <w:bCs/>
        </w:rPr>
        <w:t xml:space="preserve"> prioritization of persons with disabilities during emergenc</w:t>
      </w:r>
      <w:r w:rsidR="00276848" w:rsidRPr="004972B2">
        <w:rPr>
          <w:b/>
          <w:bCs/>
        </w:rPr>
        <w:t>y evacuations; and</w:t>
      </w:r>
      <w:r w:rsidR="009E6817" w:rsidRPr="004972B2">
        <w:rPr>
          <w:b/>
          <w:bCs/>
        </w:rPr>
        <w:t xml:space="preserve"> safeguards regarding assistive devices and equipment, to ensure that persons with disabilities are able to take their assistive devices with them during evacuation or, if not possible, to have them replaced.</w:t>
      </w:r>
    </w:p>
    <w:p w14:paraId="2A1F11D9" w14:textId="42E7EED5" w:rsidR="00C80174" w:rsidRPr="00680748" w:rsidRDefault="00276848" w:rsidP="00C80174">
      <w:pPr>
        <w:pStyle w:val="SingleTxtG"/>
        <w:ind w:left="720"/>
      </w:pPr>
      <w:r>
        <w:t>21</w:t>
      </w:r>
      <w:r w:rsidR="00C80174" w:rsidRPr="00680748">
        <w:t>.</w:t>
      </w:r>
      <w:r w:rsidR="00C80174" w:rsidRPr="00680748">
        <w:tab/>
      </w:r>
      <w:r w:rsidR="00C80174">
        <w:t xml:space="preserve">The Committee notes with concern the persistent lack of community-based services and social housing for persons with disabilities living in Ukraine, particularly for persons with intellectual and/or psychosocial disabilities, and </w:t>
      </w:r>
      <w:r w:rsidR="00C80174">
        <w:lastRenderedPageBreak/>
        <w:t>autistic persons, which has been exacerbated as a result of the aggression against Ukraine by the Russian Federation.</w:t>
      </w:r>
      <w:r w:rsidR="00C80174" w:rsidRPr="00680748">
        <w:t xml:space="preserve"> </w:t>
      </w:r>
      <w:r w:rsidR="00C80174">
        <w:t>This negatively impacts their right to live independently and be included in the community.</w:t>
      </w:r>
    </w:p>
    <w:p w14:paraId="445FCBED" w14:textId="4261CA54" w:rsidR="00C80174" w:rsidRDefault="00276848" w:rsidP="003C3A8C">
      <w:pPr>
        <w:pStyle w:val="SingleTxtG"/>
        <w:ind w:left="720"/>
        <w:rPr>
          <w:b/>
          <w:bCs/>
        </w:rPr>
      </w:pPr>
      <w:r>
        <w:rPr>
          <w:b/>
          <w:bCs/>
        </w:rPr>
        <w:t>22</w:t>
      </w:r>
      <w:r w:rsidR="00C80174" w:rsidRPr="00680748">
        <w:rPr>
          <w:b/>
          <w:bCs/>
        </w:rPr>
        <w:t>.</w:t>
      </w:r>
      <w:r w:rsidR="00C80174" w:rsidRPr="00680748">
        <w:rPr>
          <w:b/>
          <w:bCs/>
        </w:rPr>
        <w:tab/>
        <w:t xml:space="preserve">The Committee </w:t>
      </w:r>
      <w:r w:rsidR="00C80174">
        <w:rPr>
          <w:b/>
          <w:bCs/>
        </w:rPr>
        <w:t xml:space="preserve">urges concerned State parties to ensure that all persons with disabilities have access to protection and </w:t>
      </w:r>
      <w:r w:rsidR="00047479">
        <w:rPr>
          <w:b/>
          <w:bCs/>
        </w:rPr>
        <w:t xml:space="preserve">gender-responsive </w:t>
      </w:r>
      <w:r w:rsidR="00C80174">
        <w:rPr>
          <w:b/>
          <w:bCs/>
        </w:rPr>
        <w:t>community-based support services, including in-home, residential, and other support services</w:t>
      </w:r>
      <w:r w:rsidR="00C80174" w:rsidRPr="00680748">
        <w:rPr>
          <w:b/>
          <w:bCs/>
        </w:rPr>
        <w:t>.</w:t>
      </w:r>
    </w:p>
    <w:p w14:paraId="0BDAFF72" w14:textId="0AE1DBAA" w:rsidR="0085469D" w:rsidRPr="004972B2" w:rsidRDefault="00276848" w:rsidP="003C3A8C">
      <w:pPr>
        <w:pStyle w:val="SingleTxtG"/>
        <w:ind w:left="720"/>
      </w:pPr>
      <w:r w:rsidRPr="004972B2">
        <w:t>23</w:t>
      </w:r>
      <w:r w:rsidR="0085469D" w:rsidRPr="004972B2">
        <w:t>.</w:t>
      </w:r>
      <w:r w:rsidR="0085469D" w:rsidRPr="004972B2">
        <w:tab/>
        <w:t xml:space="preserve">The Committee is concerned about the lack of accessible community services, including </w:t>
      </w:r>
      <w:r w:rsidR="00C54EDD" w:rsidRPr="004972B2">
        <w:t>programme assistance, adequate shelter, communication and means of transportation</w:t>
      </w:r>
      <w:r w:rsidR="0085469D" w:rsidRPr="004972B2">
        <w:t xml:space="preserve">, which disproportionally affects internally displaced persons with disabilities, and further exposes them to </w:t>
      </w:r>
      <w:r w:rsidR="00C54EDD" w:rsidRPr="004972B2">
        <w:t>poverty, social exclusion and institutionalization</w:t>
      </w:r>
      <w:r w:rsidR="0085469D" w:rsidRPr="004972B2">
        <w:t xml:space="preserve">. </w:t>
      </w:r>
    </w:p>
    <w:p w14:paraId="264938C2" w14:textId="152268A0" w:rsidR="00C54EDD" w:rsidRPr="004972B2" w:rsidRDefault="00276848" w:rsidP="003C3A8C">
      <w:pPr>
        <w:pStyle w:val="SingleTxtG"/>
        <w:ind w:left="720"/>
        <w:rPr>
          <w:b/>
          <w:bCs/>
        </w:rPr>
      </w:pPr>
      <w:r w:rsidRPr="004972B2">
        <w:rPr>
          <w:b/>
          <w:bCs/>
        </w:rPr>
        <w:t>24</w:t>
      </w:r>
      <w:r w:rsidR="00C54EDD" w:rsidRPr="004972B2">
        <w:rPr>
          <w:b/>
          <w:bCs/>
        </w:rPr>
        <w:t>.</w:t>
      </w:r>
      <w:r w:rsidR="00C54EDD" w:rsidRPr="004972B2">
        <w:rPr>
          <w:b/>
          <w:bCs/>
        </w:rPr>
        <w:tab/>
      </w:r>
      <w:r w:rsidR="00FE2952">
        <w:rPr>
          <w:b/>
          <w:bCs/>
        </w:rPr>
        <w:t xml:space="preserve">Recalling the </w:t>
      </w:r>
      <w:r w:rsidR="00FE2952" w:rsidRPr="004A50FA">
        <w:rPr>
          <w:b/>
          <w:bCs/>
        </w:rPr>
        <w:t>Guiding Principles on Internal Displacement</w:t>
      </w:r>
      <w:r w:rsidR="00FE2952">
        <w:rPr>
          <w:rStyle w:val="FootnoteReference"/>
          <w:b/>
          <w:bCs/>
        </w:rPr>
        <w:footnoteReference w:id="16"/>
      </w:r>
      <w:r w:rsidR="00FE2952">
        <w:rPr>
          <w:b/>
          <w:bCs/>
        </w:rPr>
        <w:t xml:space="preserve">, </w:t>
      </w:r>
      <w:r w:rsidR="004A50FA" w:rsidRPr="004972B2">
        <w:rPr>
          <w:b/>
          <w:bCs/>
        </w:rPr>
        <w:t>the</w:t>
      </w:r>
      <w:r w:rsidR="00C54EDD" w:rsidRPr="004972B2">
        <w:rPr>
          <w:b/>
          <w:bCs/>
        </w:rPr>
        <w:t xml:space="preserve"> Committee </w:t>
      </w:r>
      <w:r w:rsidR="00D96400" w:rsidRPr="004972B2">
        <w:rPr>
          <w:b/>
          <w:bCs/>
        </w:rPr>
        <w:t>calls on</w:t>
      </w:r>
      <w:r w:rsidR="00C54EDD" w:rsidRPr="004972B2">
        <w:rPr>
          <w:b/>
          <w:bCs/>
        </w:rPr>
        <w:t xml:space="preserve"> </w:t>
      </w:r>
      <w:r w:rsidR="00D96400" w:rsidRPr="004972B2">
        <w:rPr>
          <w:b/>
          <w:bCs/>
        </w:rPr>
        <w:t>the concerned States parties to ensure that internally displaced persons with disabilities are provided with accessible community</w:t>
      </w:r>
      <w:r w:rsidR="00F05FBB" w:rsidRPr="004972B2">
        <w:rPr>
          <w:b/>
          <w:bCs/>
        </w:rPr>
        <w:t xml:space="preserve"> </w:t>
      </w:r>
      <w:r w:rsidR="00D96400" w:rsidRPr="004972B2">
        <w:rPr>
          <w:b/>
          <w:bCs/>
        </w:rPr>
        <w:t xml:space="preserve">services, including accessible shelter. </w:t>
      </w:r>
    </w:p>
    <w:p w14:paraId="7E4692AE" w14:textId="0063978E" w:rsidR="0074128F" w:rsidRDefault="00276848" w:rsidP="003C3A8C">
      <w:pPr>
        <w:pStyle w:val="SingleTxtG"/>
        <w:ind w:left="720"/>
      </w:pPr>
      <w:r>
        <w:t>25</w:t>
      </w:r>
      <w:r w:rsidR="00BF0640" w:rsidRPr="007F1FD2">
        <w:t>.</w:t>
      </w:r>
      <w:r w:rsidR="00BF0640" w:rsidRPr="007F1FD2">
        <w:tab/>
        <w:t>The Committee is gravely concerned about</w:t>
      </w:r>
      <w:r w:rsidR="0074128F">
        <w:t>:</w:t>
      </w:r>
    </w:p>
    <w:p w14:paraId="075CB932" w14:textId="067E8E85" w:rsidR="0074128F" w:rsidRDefault="0074128F" w:rsidP="003C3A8C">
      <w:pPr>
        <w:pStyle w:val="SingleTxtG"/>
        <w:ind w:left="720"/>
      </w:pPr>
      <w:r>
        <w:tab/>
        <w:t>(a)</w:t>
      </w:r>
      <w:r>
        <w:tab/>
        <w:t>R</w:t>
      </w:r>
      <w:r w:rsidR="00BF0640" w:rsidRPr="007F1FD2">
        <w:t xml:space="preserve">eports of </w:t>
      </w:r>
      <w:r w:rsidR="00A25C87">
        <w:t xml:space="preserve">persons with disabilities living in </w:t>
      </w:r>
      <w:r w:rsidR="00D41493">
        <w:t>residential</w:t>
      </w:r>
      <w:r w:rsidR="00257FF3">
        <w:t xml:space="preserve"> care</w:t>
      </w:r>
      <w:r w:rsidR="00D41493">
        <w:t xml:space="preserve"> institutions for persons with disabilities</w:t>
      </w:r>
      <w:r w:rsidR="007F4A80">
        <w:t xml:space="preserve"> </w:t>
      </w:r>
      <w:r w:rsidR="00BF0640" w:rsidRPr="007F1FD2">
        <w:t xml:space="preserve">in territories under the control of the Russian Federation being denied </w:t>
      </w:r>
      <w:r w:rsidR="00C045FD" w:rsidRPr="007F1FD2">
        <w:t xml:space="preserve">evacuation and </w:t>
      </w:r>
      <w:r w:rsidR="00BF0640" w:rsidRPr="007F1FD2">
        <w:t>access to basic services</w:t>
      </w:r>
      <w:r w:rsidR="00C045FD" w:rsidRPr="007F1FD2">
        <w:t>, which</w:t>
      </w:r>
      <w:r w:rsidR="00902F0B">
        <w:t xml:space="preserve">, according to initial reports, </w:t>
      </w:r>
      <w:r w:rsidR="00BF0640" w:rsidRPr="007F1FD2">
        <w:t>result</w:t>
      </w:r>
      <w:r w:rsidR="00C045FD" w:rsidRPr="007F1FD2">
        <w:t>ed</w:t>
      </w:r>
      <w:r w:rsidR="00BF0640" w:rsidRPr="007F1FD2">
        <w:t xml:space="preserve"> in the death of at least 12 persons with disabilities</w:t>
      </w:r>
      <w:r w:rsidR="00BF0640" w:rsidRPr="007F1FD2">
        <w:rPr>
          <w:rStyle w:val="FootnoteReference"/>
        </w:rPr>
        <w:footnoteReference w:id="17"/>
      </w:r>
      <w:r w:rsidR="00A25C87">
        <w:t>;</w:t>
      </w:r>
    </w:p>
    <w:p w14:paraId="03229388" w14:textId="36FEC100" w:rsidR="00BF0640" w:rsidRDefault="0074128F" w:rsidP="003C3A8C">
      <w:pPr>
        <w:pStyle w:val="SingleTxtG"/>
        <w:ind w:left="720"/>
      </w:pPr>
      <w:r>
        <w:tab/>
        <w:t>(b)</w:t>
      </w:r>
      <w:r>
        <w:tab/>
        <w:t>Reports</w:t>
      </w:r>
      <w:r w:rsidR="00C045FD" w:rsidRPr="007F1FD2">
        <w:t xml:space="preserve"> of persons with disabilities being kept in inhumane conditions</w:t>
      </w:r>
      <w:r w:rsidR="00A25C87">
        <w:t xml:space="preserve">, </w:t>
      </w:r>
      <w:r w:rsidR="007F1FD2" w:rsidRPr="007F1FD2">
        <w:t>by the Russian Federation,</w:t>
      </w:r>
      <w:r w:rsidR="00C045FD" w:rsidRPr="007F1FD2">
        <w:t xml:space="preserve"> during </w:t>
      </w:r>
      <w:r w:rsidR="008F0AC2">
        <w:t>armed hostilities</w:t>
      </w:r>
      <w:r w:rsidR="00C045FD" w:rsidRPr="007F1FD2">
        <w:rPr>
          <w:rStyle w:val="FootnoteReference"/>
        </w:rPr>
        <w:footnoteReference w:id="18"/>
      </w:r>
      <w:r w:rsidR="00A25C87">
        <w:t>;</w:t>
      </w:r>
    </w:p>
    <w:p w14:paraId="776B42E9" w14:textId="7FB3F8C5" w:rsidR="0074128F" w:rsidRPr="007F1FD2" w:rsidRDefault="0074128F" w:rsidP="003C3A8C">
      <w:pPr>
        <w:pStyle w:val="SingleTxtG"/>
        <w:ind w:left="720"/>
      </w:pPr>
      <w:r>
        <w:lastRenderedPageBreak/>
        <w:tab/>
      </w:r>
      <w:r w:rsidR="00313404">
        <w:t>(c)</w:t>
      </w:r>
      <w:r>
        <w:tab/>
        <w:t xml:space="preserve">Reports of </w:t>
      </w:r>
      <w:r w:rsidR="00F85EB3">
        <w:t xml:space="preserve">persons with disabilities being held </w:t>
      </w:r>
      <w:r w:rsidR="00F85EB3" w:rsidRPr="00F85EB3">
        <w:rPr>
          <w:i/>
          <w:iCs/>
        </w:rPr>
        <w:t>incommunicado</w:t>
      </w:r>
      <w:r w:rsidR="00F85EB3">
        <w:t xml:space="preserve"> or forcibly transferred to the Russian Federation or to </w:t>
      </w:r>
      <w:r w:rsidR="00560380">
        <w:t xml:space="preserve">Ukrainian </w:t>
      </w:r>
      <w:r w:rsidR="00F85EB3">
        <w:t>territories under the control of the Russian Federation</w:t>
      </w:r>
      <w:r w:rsidR="00560380">
        <w:t>.</w:t>
      </w:r>
    </w:p>
    <w:p w14:paraId="5D6624BF" w14:textId="0256551C" w:rsidR="007F1FD2" w:rsidRDefault="00276848" w:rsidP="003C3A8C">
      <w:pPr>
        <w:pStyle w:val="SingleTxtG"/>
        <w:ind w:left="720"/>
        <w:rPr>
          <w:b/>
          <w:bCs/>
        </w:rPr>
      </w:pPr>
      <w:r>
        <w:rPr>
          <w:b/>
          <w:bCs/>
        </w:rPr>
        <w:t>26</w:t>
      </w:r>
      <w:r w:rsidR="007F1FD2">
        <w:rPr>
          <w:b/>
          <w:bCs/>
        </w:rPr>
        <w:t>.</w:t>
      </w:r>
      <w:r w:rsidR="007F1FD2">
        <w:rPr>
          <w:b/>
          <w:bCs/>
        </w:rPr>
        <w:tab/>
        <w:t>Reminding the State party of its obligations under international humanitarian law, the Committee urges the Russian Federation to:</w:t>
      </w:r>
    </w:p>
    <w:p w14:paraId="21022E0A" w14:textId="6D34AC58" w:rsidR="00560380" w:rsidRDefault="00560380" w:rsidP="003C3A8C">
      <w:pPr>
        <w:pStyle w:val="SingleTxtG"/>
        <w:ind w:left="720"/>
        <w:rPr>
          <w:b/>
          <w:bCs/>
        </w:rPr>
      </w:pPr>
      <w:r>
        <w:rPr>
          <w:b/>
          <w:bCs/>
        </w:rPr>
        <w:tab/>
        <w:t>(</w:t>
      </w:r>
      <w:r w:rsidR="00A25C87">
        <w:rPr>
          <w:b/>
          <w:bCs/>
        </w:rPr>
        <w:t>a</w:t>
      </w:r>
      <w:r>
        <w:rPr>
          <w:b/>
          <w:bCs/>
        </w:rPr>
        <w:t>)</w:t>
      </w:r>
      <w:r>
        <w:rPr>
          <w:b/>
          <w:bCs/>
        </w:rPr>
        <w:tab/>
        <w:t xml:space="preserve">Ensure that all persons with disabilities living in territories under its </w:t>
      </w:r>
      <w:r w:rsidR="00386263">
        <w:rPr>
          <w:b/>
          <w:bCs/>
        </w:rPr>
        <w:t xml:space="preserve">occupation </w:t>
      </w:r>
      <w:r>
        <w:rPr>
          <w:b/>
          <w:bCs/>
        </w:rPr>
        <w:t xml:space="preserve">have access to </w:t>
      </w:r>
      <w:r w:rsidR="00341F08">
        <w:rPr>
          <w:b/>
          <w:bCs/>
        </w:rPr>
        <w:t xml:space="preserve">safe </w:t>
      </w:r>
      <w:r>
        <w:rPr>
          <w:b/>
          <w:bCs/>
        </w:rPr>
        <w:t>voluntary evacuation to the area of their choice; are protected from violence, abuse and ill-treatment; and have full access to basic services including water and sanitation, social support, education, healthcare, transport and information;</w:t>
      </w:r>
    </w:p>
    <w:p w14:paraId="22F4F75E" w14:textId="4D40F473" w:rsidR="00560380" w:rsidRPr="00A25C87" w:rsidRDefault="00560380" w:rsidP="003C3A8C">
      <w:pPr>
        <w:pStyle w:val="SingleTxtG"/>
        <w:ind w:left="720"/>
      </w:pPr>
      <w:r>
        <w:rPr>
          <w:b/>
          <w:bCs/>
        </w:rPr>
        <w:tab/>
      </w:r>
      <w:r w:rsidR="007F1FD2">
        <w:rPr>
          <w:b/>
          <w:bCs/>
        </w:rPr>
        <w:t>(</w:t>
      </w:r>
      <w:r w:rsidR="00A25C87">
        <w:rPr>
          <w:b/>
          <w:bCs/>
        </w:rPr>
        <w:t>b</w:t>
      </w:r>
      <w:r w:rsidR="007F1FD2">
        <w:rPr>
          <w:b/>
          <w:bCs/>
        </w:rPr>
        <w:t>)</w:t>
      </w:r>
      <w:r w:rsidR="007F1FD2">
        <w:rPr>
          <w:b/>
          <w:bCs/>
        </w:rPr>
        <w:tab/>
      </w:r>
      <w:r w:rsidR="0074128F" w:rsidRPr="00560380">
        <w:rPr>
          <w:b/>
          <w:bCs/>
        </w:rPr>
        <w:t xml:space="preserve">Provide representatives and staff of international human rights and humanitarian institutions, including United Nations specialized agencies, with timely, unrestricted and safe access to persons </w:t>
      </w:r>
      <w:r w:rsidRPr="00560380">
        <w:rPr>
          <w:b/>
          <w:bCs/>
        </w:rPr>
        <w:t>with disabilities who</w:t>
      </w:r>
      <w:r w:rsidR="0074128F" w:rsidRPr="00560380">
        <w:rPr>
          <w:b/>
          <w:bCs/>
        </w:rPr>
        <w:t xml:space="preserve"> are held in the territory of the Russian Federation or areas </w:t>
      </w:r>
      <w:r w:rsidR="00013C81">
        <w:rPr>
          <w:b/>
          <w:bCs/>
        </w:rPr>
        <w:t xml:space="preserve">occupied </w:t>
      </w:r>
      <w:r w:rsidR="0074128F" w:rsidRPr="00560380">
        <w:rPr>
          <w:b/>
          <w:bCs/>
        </w:rPr>
        <w:t>by the Russian Federation,</w:t>
      </w:r>
      <w:r w:rsidRPr="00560380">
        <w:rPr>
          <w:b/>
          <w:bCs/>
        </w:rPr>
        <w:t xml:space="preserve"> </w:t>
      </w:r>
      <w:r w:rsidR="0074128F" w:rsidRPr="00560380">
        <w:rPr>
          <w:b/>
          <w:bCs/>
        </w:rPr>
        <w:t xml:space="preserve">and share with relevant </w:t>
      </w:r>
      <w:r w:rsidR="008D27DB">
        <w:rPr>
          <w:b/>
          <w:bCs/>
        </w:rPr>
        <w:t>stakeholders</w:t>
      </w:r>
      <w:r w:rsidR="0074128F" w:rsidRPr="00560380">
        <w:rPr>
          <w:b/>
          <w:bCs/>
        </w:rPr>
        <w:t xml:space="preserve"> a comprehensive list of such transferred persons and their whereabouts</w:t>
      </w:r>
      <w:r>
        <w:rPr>
          <w:b/>
          <w:bCs/>
        </w:rPr>
        <w:t>.</w:t>
      </w:r>
      <w:r>
        <w:rPr>
          <w:b/>
          <w:bCs/>
        </w:rPr>
        <w:tab/>
      </w:r>
    </w:p>
    <w:p w14:paraId="6433D6B2" w14:textId="5E8BCAC0" w:rsidR="00E60B15" w:rsidRDefault="00276848" w:rsidP="003C3A8C">
      <w:pPr>
        <w:pStyle w:val="SingleTxtG"/>
        <w:ind w:left="720"/>
      </w:pPr>
      <w:r>
        <w:t>27</w:t>
      </w:r>
      <w:r w:rsidR="00E60B15" w:rsidRPr="00DA04F2">
        <w:t>.</w:t>
      </w:r>
      <w:r w:rsidR="00E60B15" w:rsidRPr="00DA04F2">
        <w:tab/>
      </w:r>
      <w:r w:rsidR="005A5577">
        <w:t xml:space="preserve">The Committee is concerned that the armed conflict has </w:t>
      </w:r>
      <w:r w:rsidR="00A20078">
        <w:t>further exposed</w:t>
      </w:r>
      <w:r w:rsidR="005A5577">
        <w:t xml:space="preserve"> women and children with disabilities </w:t>
      </w:r>
      <w:r w:rsidR="005A5577" w:rsidRPr="005A5577">
        <w:t xml:space="preserve">to </w:t>
      </w:r>
      <w:r w:rsidR="00486FD8" w:rsidRPr="005A5577">
        <w:t>neglect</w:t>
      </w:r>
      <w:r w:rsidR="00AA7CB0">
        <w:t>,</w:t>
      </w:r>
      <w:r w:rsidR="00486FD8">
        <w:t xml:space="preserve"> </w:t>
      </w:r>
      <w:r w:rsidR="007D5F4C">
        <w:t xml:space="preserve">domestic </w:t>
      </w:r>
      <w:r w:rsidR="005A5577" w:rsidRPr="005A5577">
        <w:t>violence</w:t>
      </w:r>
      <w:r w:rsidR="00AA7CB0">
        <w:t>,</w:t>
      </w:r>
      <w:r w:rsidR="00486FD8">
        <w:t xml:space="preserve"> conflict-related sexual violence</w:t>
      </w:r>
      <w:r w:rsidR="00AA7CB0">
        <w:t>,</w:t>
      </w:r>
      <w:r w:rsidR="00486FD8">
        <w:t xml:space="preserve"> </w:t>
      </w:r>
      <w:r w:rsidR="00EF61B4">
        <w:t>trafficking</w:t>
      </w:r>
      <w:r w:rsidR="00AA7CB0">
        <w:t>,</w:t>
      </w:r>
      <w:r w:rsidR="00EF61B4">
        <w:t xml:space="preserve"> </w:t>
      </w:r>
      <w:r w:rsidR="005A5577">
        <w:t>and</w:t>
      </w:r>
      <w:r w:rsidR="005A5577" w:rsidRPr="005A5577">
        <w:t xml:space="preserve"> sexual exploitation</w:t>
      </w:r>
      <w:r w:rsidR="007D5F4C">
        <w:t xml:space="preserve">, while </w:t>
      </w:r>
      <w:r w:rsidR="007D5F4C" w:rsidRPr="007D5F4C">
        <w:t>also weakening law enforcement and fracturing support and safety mechanisms</w:t>
      </w:r>
      <w:r w:rsidR="007D5F4C">
        <w:rPr>
          <w:rStyle w:val="FootnoteReference"/>
        </w:rPr>
        <w:footnoteReference w:id="19"/>
      </w:r>
      <w:r w:rsidR="007D5F4C" w:rsidRPr="007D5F4C">
        <w:t>.</w:t>
      </w:r>
      <w:r w:rsidR="004B6AE5">
        <w:t xml:space="preserve"> Furthermore, the Committee notes with concern that, although women and children with disabilities now have increased protection needs, they face </w:t>
      </w:r>
      <w:r w:rsidR="00A25C87">
        <w:t xml:space="preserve">additional </w:t>
      </w:r>
      <w:r w:rsidR="004B6AE5">
        <w:t>challenges in accessing humanitarian support</w:t>
      </w:r>
      <w:r w:rsidR="004B6AE5">
        <w:rPr>
          <w:rStyle w:val="FootnoteReference"/>
        </w:rPr>
        <w:footnoteReference w:id="20"/>
      </w:r>
      <w:r w:rsidR="004B6AE5">
        <w:t>.</w:t>
      </w:r>
    </w:p>
    <w:p w14:paraId="6A8FA2F1" w14:textId="42244C10" w:rsidR="00EF61B4" w:rsidRPr="00C20761" w:rsidRDefault="00276848" w:rsidP="003C3A8C">
      <w:pPr>
        <w:pStyle w:val="SingleTxtG"/>
        <w:ind w:left="720"/>
        <w:rPr>
          <w:b/>
          <w:bCs/>
        </w:rPr>
      </w:pPr>
      <w:r>
        <w:rPr>
          <w:b/>
          <w:bCs/>
        </w:rPr>
        <w:t>28</w:t>
      </w:r>
      <w:r w:rsidR="00EF61B4" w:rsidRPr="00C20761">
        <w:rPr>
          <w:b/>
          <w:bCs/>
        </w:rPr>
        <w:t>.</w:t>
      </w:r>
      <w:r w:rsidR="00EF61B4" w:rsidRPr="00C20761">
        <w:rPr>
          <w:b/>
          <w:bCs/>
        </w:rPr>
        <w:tab/>
        <w:t xml:space="preserve">The Committee urges all concerned States parties to: </w:t>
      </w:r>
    </w:p>
    <w:p w14:paraId="6BEB2763" w14:textId="49465504" w:rsidR="00AB1941" w:rsidRPr="00C20761" w:rsidRDefault="00EF61B4" w:rsidP="003C3A8C">
      <w:pPr>
        <w:pStyle w:val="SingleTxtG"/>
        <w:ind w:left="720"/>
        <w:rPr>
          <w:b/>
          <w:bCs/>
        </w:rPr>
      </w:pPr>
      <w:r w:rsidRPr="00C20761">
        <w:rPr>
          <w:b/>
          <w:bCs/>
        </w:rPr>
        <w:tab/>
        <w:t>(a)</w:t>
      </w:r>
      <w:r w:rsidRPr="00C20761">
        <w:rPr>
          <w:b/>
          <w:bCs/>
        </w:rPr>
        <w:tab/>
      </w:r>
      <w:r w:rsidR="007B6714" w:rsidRPr="00C20761">
        <w:rPr>
          <w:b/>
          <w:bCs/>
        </w:rPr>
        <w:t>D</w:t>
      </w:r>
      <w:r w:rsidRPr="00C20761">
        <w:rPr>
          <w:b/>
          <w:bCs/>
        </w:rPr>
        <w:t>evelop comprehensive strategies to identify and mitigate risks of exploitation, violence and abuse against persons with disabilities</w:t>
      </w:r>
      <w:r w:rsidR="00486FD8" w:rsidRPr="00C20761">
        <w:rPr>
          <w:b/>
          <w:bCs/>
        </w:rPr>
        <w:t xml:space="preserve">, in particular against forcibly displaced women and children with disabilities; </w:t>
      </w:r>
      <w:r w:rsidR="00AB1941" w:rsidRPr="00C20761">
        <w:rPr>
          <w:b/>
          <w:bCs/>
        </w:rPr>
        <w:t xml:space="preserve"> </w:t>
      </w:r>
    </w:p>
    <w:p w14:paraId="00B2D501" w14:textId="30D53EE2" w:rsidR="00486FD8" w:rsidRPr="00C20761" w:rsidRDefault="00486FD8" w:rsidP="003C3A8C">
      <w:pPr>
        <w:pStyle w:val="SingleTxtG"/>
        <w:ind w:left="720"/>
        <w:rPr>
          <w:b/>
          <w:bCs/>
        </w:rPr>
      </w:pPr>
      <w:r w:rsidRPr="00C20761">
        <w:rPr>
          <w:b/>
          <w:bCs/>
        </w:rPr>
        <w:lastRenderedPageBreak/>
        <w:tab/>
        <w:t>(b)</w:t>
      </w:r>
      <w:r w:rsidRPr="00C20761">
        <w:rPr>
          <w:b/>
          <w:bCs/>
        </w:rPr>
        <w:tab/>
      </w:r>
      <w:r w:rsidR="007B6714" w:rsidRPr="00C20761">
        <w:rPr>
          <w:b/>
          <w:bCs/>
        </w:rPr>
        <w:t xml:space="preserve">Ensure adequate protection for women and children with disabilities and facilitate </w:t>
      </w:r>
      <w:r w:rsidR="00C20761">
        <w:rPr>
          <w:b/>
          <w:bCs/>
        </w:rPr>
        <w:t xml:space="preserve">timely </w:t>
      </w:r>
      <w:r w:rsidR="007B6714" w:rsidRPr="00C20761">
        <w:rPr>
          <w:b/>
          <w:bCs/>
        </w:rPr>
        <w:t xml:space="preserve">access to mainstream and specialized services, including age- and gender-appropriate </w:t>
      </w:r>
      <w:r w:rsidR="005066FF" w:rsidRPr="00C20761">
        <w:rPr>
          <w:b/>
          <w:bCs/>
        </w:rPr>
        <w:t>medical, legal, psychological, social and educational services.</w:t>
      </w:r>
    </w:p>
    <w:p w14:paraId="749FF1C7" w14:textId="183FA98B" w:rsidR="005066FF" w:rsidRDefault="00276848" w:rsidP="003C3A8C">
      <w:pPr>
        <w:pStyle w:val="SingleTxtG"/>
        <w:ind w:left="720"/>
      </w:pPr>
      <w:r>
        <w:t>29</w:t>
      </w:r>
      <w:r w:rsidR="005066FF">
        <w:t>.</w:t>
      </w:r>
      <w:r w:rsidR="005066FF">
        <w:tab/>
      </w:r>
      <w:r w:rsidR="00C20761">
        <w:t>The Committee notes with concern that</w:t>
      </w:r>
      <w:r w:rsidR="00C135C9">
        <w:t>,</w:t>
      </w:r>
      <w:r w:rsidR="00C20761">
        <w:t xml:space="preserve"> while </w:t>
      </w:r>
      <w:r w:rsidR="00146CCB">
        <w:t xml:space="preserve">the number of people affected by </w:t>
      </w:r>
      <w:r w:rsidR="00C20761">
        <w:t xml:space="preserve">conflict-related trauma and injuries </w:t>
      </w:r>
      <w:r w:rsidR="00146CCB">
        <w:t>is</w:t>
      </w:r>
      <w:r w:rsidR="00C20761">
        <w:t xml:space="preserve"> increasing</w:t>
      </w:r>
      <w:r w:rsidR="00870C93">
        <w:t xml:space="preserve"> as a result of the </w:t>
      </w:r>
      <w:r w:rsidR="008F0AC2">
        <w:t>armed</w:t>
      </w:r>
      <w:r w:rsidR="00870C93">
        <w:t xml:space="preserve"> hostilities, </w:t>
      </w:r>
      <w:r w:rsidR="00D4496D">
        <w:t>the health system in Ukraine is severely disrupted</w:t>
      </w:r>
      <w:r w:rsidR="00AB233C">
        <w:t xml:space="preserve"> following continued attacks on hospitals and other medical facilities</w:t>
      </w:r>
      <w:r w:rsidR="00AB233C">
        <w:rPr>
          <w:rStyle w:val="FootnoteReference"/>
        </w:rPr>
        <w:footnoteReference w:id="21"/>
      </w:r>
      <w:r w:rsidR="00AB233C">
        <w:t>,</w:t>
      </w:r>
      <w:r w:rsidR="00D4496D">
        <w:t xml:space="preserve"> and </w:t>
      </w:r>
      <w:r w:rsidR="00870C93">
        <w:t xml:space="preserve">there </w:t>
      </w:r>
      <w:r w:rsidR="00D4496D">
        <w:t>is limited or no access to</w:t>
      </w:r>
      <w:r w:rsidR="00C20761">
        <w:t xml:space="preserve"> health and rehabilitation services, </w:t>
      </w:r>
      <w:r w:rsidR="00645223">
        <w:t>including mental health and psychological support</w:t>
      </w:r>
      <w:r w:rsidR="00C20761">
        <w:t xml:space="preserve">.  </w:t>
      </w:r>
    </w:p>
    <w:p w14:paraId="0A1FC168" w14:textId="244D875E" w:rsidR="00BC02DA" w:rsidRDefault="00276848" w:rsidP="003C3A8C">
      <w:pPr>
        <w:pStyle w:val="SingleTxtG"/>
        <w:ind w:left="720"/>
        <w:rPr>
          <w:b/>
          <w:bCs/>
        </w:rPr>
      </w:pPr>
      <w:r>
        <w:rPr>
          <w:b/>
          <w:bCs/>
        </w:rPr>
        <w:t>30</w:t>
      </w:r>
      <w:r w:rsidR="00BC02DA" w:rsidRPr="00AD2978">
        <w:rPr>
          <w:b/>
          <w:bCs/>
        </w:rPr>
        <w:t>.</w:t>
      </w:r>
      <w:r w:rsidR="00BC02DA" w:rsidRPr="00AD2978">
        <w:rPr>
          <w:b/>
          <w:bCs/>
        </w:rPr>
        <w:tab/>
      </w:r>
      <w:r w:rsidR="00C5651A" w:rsidRPr="00AD2978">
        <w:rPr>
          <w:b/>
          <w:bCs/>
        </w:rPr>
        <w:t>Recalling the UN General Assembly resolution on basic principles for the protection of civilian populations in armed conflicts</w:t>
      </w:r>
      <w:r w:rsidR="00645223" w:rsidRPr="00AD2978">
        <w:rPr>
          <w:rStyle w:val="FootnoteReference"/>
          <w:b/>
          <w:bCs/>
        </w:rPr>
        <w:footnoteReference w:id="22"/>
      </w:r>
      <w:r w:rsidR="00C5651A" w:rsidRPr="00AD2978">
        <w:rPr>
          <w:b/>
          <w:bCs/>
        </w:rPr>
        <w:t>, and State</w:t>
      </w:r>
      <w:r w:rsidR="00A84CF8">
        <w:rPr>
          <w:b/>
          <w:bCs/>
        </w:rPr>
        <w:t>s</w:t>
      </w:r>
      <w:r w:rsidR="00C5651A" w:rsidRPr="00AD2978">
        <w:rPr>
          <w:b/>
          <w:bCs/>
        </w:rPr>
        <w:t xml:space="preserve"> party’s obligations under international humanitarian law, the Committee urges the Russian Federation to immediately cease attacks against civilians and civilian infrastructure</w:t>
      </w:r>
      <w:r w:rsidR="00A13E8E" w:rsidRPr="00AD2978">
        <w:rPr>
          <w:b/>
          <w:bCs/>
        </w:rPr>
        <w:t xml:space="preserve"> including hospitals, clinics, rehabilitation centres, maternities, ambulances and healthcare workers.</w:t>
      </w:r>
      <w:r w:rsidR="00AA60D6" w:rsidRPr="00AD2978">
        <w:rPr>
          <w:b/>
          <w:bCs/>
        </w:rPr>
        <w:t xml:space="preserve"> Furthermore, the Committee recommends </w:t>
      </w:r>
      <w:r w:rsidR="00AB233C">
        <w:rPr>
          <w:b/>
          <w:bCs/>
        </w:rPr>
        <w:t>that</w:t>
      </w:r>
      <w:r w:rsidR="00AA60D6" w:rsidRPr="00AD2978">
        <w:rPr>
          <w:b/>
          <w:bCs/>
        </w:rPr>
        <w:t xml:space="preserve"> all concerned States parties ensure that health and rehabilitation services are available in an accessible and culturally adequate fashion to forcibly displaced persons with disabilities; and that access to health and rehabilitation services is granted</w:t>
      </w:r>
      <w:r w:rsidR="00AD2978" w:rsidRPr="00AD2978">
        <w:rPr>
          <w:b/>
          <w:bCs/>
        </w:rPr>
        <w:t xml:space="preserve"> to them</w:t>
      </w:r>
      <w:r w:rsidR="00AA60D6" w:rsidRPr="00AD2978">
        <w:rPr>
          <w:b/>
          <w:bCs/>
        </w:rPr>
        <w:t xml:space="preserve"> on an equal basis with the general population</w:t>
      </w:r>
      <w:r w:rsidR="00AD2978" w:rsidRPr="00AD2978">
        <w:rPr>
          <w:b/>
          <w:bCs/>
        </w:rPr>
        <w:t>.</w:t>
      </w:r>
    </w:p>
    <w:p w14:paraId="13BD907F" w14:textId="5466BA47" w:rsidR="00AD2978" w:rsidRPr="00D34279" w:rsidRDefault="00276848" w:rsidP="003C3A8C">
      <w:pPr>
        <w:pStyle w:val="SingleTxtG"/>
        <w:ind w:left="720"/>
      </w:pPr>
      <w:r>
        <w:t>31</w:t>
      </w:r>
      <w:r w:rsidR="00AD2978" w:rsidRPr="00D34279">
        <w:t>.</w:t>
      </w:r>
      <w:r w:rsidR="00F41C27" w:rsidRPr="00D34279">
        <w:tab/>
        <w:t xml:space="preserve">The Committee </w:t>
      </w:r>
      <w:r w:rsidR="00A472B5" w:rsidRPr="00D34279">
        <w:t xml:space="preserve">notes with concern that, even though disaggregated data on persons with disabilities are essential in the design of inclusive policies on humanitarian </w:t>
      </w:r>
      <w:r w:rsidR="00AB233C">
        <w:t>response</w:t>
      </w:r>
      <w:r w:rsidR="00A472B5" w:rsidRPr="00D34279">
        <w:t>, neither States parties, no</w:t>
      </w:r>
      <w:r w:rsidR="00AB233C">
        <w:t>r</w:t>
      </w:r>
      <w:r w:rsidR="00A472B5" w:rsidRPr="00D34279">
        <w:t xml:space="preserve"> humanitarian actors are systematically </w:t>
      </w:r>
      <w:r w:rsidR="003B117D" w:rsidRPr="00D34279">
        <w:t>identify</w:t>
      </w:r>
      <w:r w:rsidR="00AB233C">
        <w:t>ing</w:t>
      </w:r>
      <w:r w:rsidR="003B117D" w:rsidRPr="00D34279">
        <w:t xml:space="preserve"> and report</w:t>
      </w:r>
      <w:r w:rsidR="00AB233C">
        <w:t>ing</w:t>
      </w:r>
      <w:r w:rsidR="003B117D" w:rsidRPr="00D34279">
        <w:t xml:space="preserve"> against disability-specific indicators</w:t>
      </w:r>
      <w:r w:rsidR="00F41C27" w:rsidRPr="00D34279">
        <w:t xml:space="preserve">. </w:t>
      </w:r>
      <w:r w:rsidR="00AB233C">
        <w:t>The lack of data is particularly acute</w:t>
      </w:r>
      <w:r w:rsidR="003B117D" w:rsidRPr="00D34279">
        <w:t xml:space="preserve"> in territories of Ukraine that are under the </w:t>
      </w:r>
      <w:r w:rsidR="004F3046">
        <w:t>occupation</w:t>
      </w:r>
      <w:r w:rsidR="003B117D" w:rsidRPr="00D34279">
        <w:t xml:space="preserve"> of the Russian Federation.</w:t>
      </w:r>
    </w:p>
    <w:p w14:paraId="007FC275" w14:textId="516F15D9" w:rsidR="003B117D" w:rsidRDefault="00276848" w:rsidP="003C3A8C">
      <w:pPr>
        <w:pStyle w:val="SingleTxtG"/>
        <w:ind w:left="720"/>
        <w:rPr>
          <w:b/>
          <w:bCs/>
        </w:rPr>
      </w:pPr>
      <w:r>
        <w:rPr>
          <w:b/>
          <w:bCs/>
        </w:rPr>
        <w:t>32</w:t>
      </w:r>
      <w:r w:rsidR="003B117D">
        <w:rPr>
          <w:b/>
          <w:bCs/>
        </w:rPr>
        <w:t>.</w:t>
      </w:r>
      <w:r w:rsidR="003B117D">
        <w:rPr>
          <w:b/>
          <w:bCs/>
        </w:rPr>
        <w:tab/>
        <w:t>The Committee recommends that all concerned States parties:</w:t>
      </w:r>
    </w:p>
    <w:p w14:paraId="68EB8923" w14:textId="15D1D5FB" w:rsidR="003B117D" w:rsidRDefault="003B117D" w:rsidP="003C3A8C">
      <w:pPr>
        <w:pStyle w:val="SingleTxtG"/>
        <w:ind w:left="720"/>
        <w:rPr>
          <w:b/>
          <w:bCs/>
        </w:rPr>
      </w:pPr>
      <w:r>
        <w:rPr>
          <w:b/>
          <w:bCs/>
        </w:rPr>
        <w:lastRenderedPageBreak/>
        <w:tab/>
        <w:t>(a)</w:t>
      </w:r>
      <w:r>
        <w:rPr>
          <w:b/>
          <w:bCs/>
        </w:rPr>
        <w:tab/>
      </w:r>
      <w:r w:rsidR="00AB233C">
        <w:rPr>
          <w:b/>
          <w:bCs/>
        </w:rPr>
        <w:t>Ensure that all persons with disabilities are accounted for; c</w:t>
      </w:r>
      <w:r w:rsidRPr="003B117D">
        <w:rPr>
          <w:b/>
          <w:bCs/>
        </w:rPr>
        <w:t>ollect</w:t>
      </w:r>
      <w:r>
        <w:rPr>
          <w:b/>
          <w:bCs/>
        </w:rPr>
        <w:t xml:space="preserve"> </w:t>
      </w:r>
      <w:r w:rsidRPr="003B117D">
        <w:rPr>
          <w:b/>
          <w:bCs/>
        </w:rPr>
        <w:t>and</w:t>
      </w:r>
      <w:r>
        <w:rPr>
          <w:b/>
          <w:bCs/>
        </w:rPr>
        <w:t xml:space="preserve"> </w:t>
      </w:r>
      <w:r w:rsidRPr="003B117D">
        <w:rPr>
          <w:b/>
          <w:bCs/>
        </w:rPr>
        <w:t>share</w:t>
      </w:r>
      <w:r>
        <w:rPr>
          <w:b/>
          <w:bCs/>
        </w:rPr>
        <w:t xml:space="preserve"> </w:t>
      </w:r>
      <w:r w:rsidRPr="003B117D">
        <w:rPr>
          <w:b/>
          <w:bCs/>
        </w:rPr>
        <w:t>sex-,</w:t>
      </w:r>
      <w:r>
        <w:rPr>
          <w:b/>
          <w:bCs/>
        </w:rPr>
        <w:t xml:space="preserve"> </w:t>
      </w:r>
      <w:r w:rsidRPr="003B117D">
        <w:rPr>
          <w:b/>
          <w:bCs/>
        </w:rPr>
        <w:t>age-</w:t>
      </w:r>
      <w:r>
        <w:rPr>
          <w:b/>
          <w:bCs/>
        </w:rPr>
        <w:t xml:space="preserve"> </w:t>
      </w:r>
      <w:r w:rsidRPr="003B117D">
        <w:rPr>
          <w:b/>
          <w:bCs/>
        </w:rPr>
        <w:t>and disability-disaggregated data</w:t>
      </w:r>
      <w:r w:rsidR="00BE3D97">
        <w:rPr>
          <w:b/>
          <w:bCs/>
        </w:rPr>
        <w:t>;</w:t>
      </w:r>
      <w:r w:rsidRPr="003B117D">
        <w:rPr>
          <w:b/>
          <w:bCs/>
        </w:rPr>
        <w:t xml:space="preserve"> and prioritize</w:t>
      </w:r>
      <w:r>
        <w:rPr>
          <w:b/>
          <w:bCs/>
        </w:rPr>
        <w:t xml:space="preserve"> </w:t>
      </w:r>
      <w:r w:rsidRPr="003B117D">
        <w:rPr>
          <w:b/>
          <w:bCs/>
        </w:rPr>
        <w:t>transparency and the sharing of non-identifiable</w:t>
      </w:r>
      <w:r>
        <w:rPr>
          <w:b/>
          <w:bCs/>
        </w:rPr>
        <w:t xml:space="preserve"> </w:t>
      </w:r>
      <w:r w:rsidRPr="003B117D">
        <w:rPr>
          <w:b/>
          <w:bCs/>
        </w:rPr>
        <w:t>data collected</w:t>
      </w:r>
      <w:r>
        <w:rPr>
          <w:b/>
          <w:bCs/>
        </w:rPr>
        <w:t xml:space="preserve"> with the relevant stakeholders;</w:t>
      </w:r>
    </w:p>
    <w:p w14:paraId="5A6AE2BB" w14:textId="2E0ABBA0" w:rsidR="00FA0167" w:rsidRDefault="00FA0167" w:rsidP="003C3A8C">
      <w:pPr>
        <w:pStyle w:val="SingleTxtG"/>
        <w:ind w:left="720"/>
        <w:rPr>
          <w:b/>
          <w:bCs/>
        </w:rPr>
      </w:pPr>
      <w:r>
        <w:rPr>
          <w:b/>
          <w:bCs/>
        </w:rPr>
        <w:tab/>
        <w:t>(b)</w:t>
      </w:r>
      <w:r>
        <w:rPr>
          <w:b/>
          <w:bCs/>
        </w:rPr>
        <w:tab/>
      </w:r>
      <w:r w:rsidRPr="00FA0167">
        <w:rPr>
          <w:b/>
          <w:bCs/>
        </w:rPr>
        <w:t xml:space="preserve">Ensure that different sectors integrate </w:t>
      </w:r>
      <w:r w:rsidRPr="003B117D">
        <w:rPr>
          <w:b/>
          <w:bCs/>
        </w:rPr>
        <w:t>sex-,</w:t>
      </w:r>
      <w:r>
        <w:rPr>
          <w:b/>
          <w:bCs/>
        </w:rPr>
        <w:t xml:space="preserve"> </w:t>
      </w:r>
      <w:r w:rsidRPr="003B117D">
        <w:rPr>
          <w:b/>
          <w:bCs/>
        </w:rPr>
        <w:t>age-</w:t>
      </w:r>
      <w:r>
        <w:rPr>
          <w:b/>
          <w:bCs/>
        </w:rPr>
        <w:t xml:space="preserve"> </w:t>
      </w:r>
      <w:r w:rsidRPr="003B117D">
        <w:rPr>
          <w:b/>
          <w:bCs/>
        </w:rPr>
        <w:t>and disability-disaggregated</w:t>
      </w:r>
      <w:r>
        <w:rPr>
          <w:b/>
          <w:bCs/>
        </w:rPr>
        <w:t xml:space="preserve"> </w:t>
      </w:r>
      <w:r w:rsidRPr="003B117D">
        <w:rPr>
          <w:b/>
          <w:bCs/>
        </w:rPr>
        <w:t>data</w:t>
      </w:r>
      <w:r>
        <w:rPr>
          <w:b/>
          <w:bCs/>
        </w:rPr>
        <w:t xml:space="preserve"> in their interventions</w:t>
      </w:r>
      <w:r w:rsidRPr="00FA0167">
        <w:rPr>
          <w:b/>
          <w:bCs/>
        </w:rPr>
        <w:t>,</w:t>
      </w:r>
      <w:r>
        <w:rPr>
          <w:b/>
          <w:bCs/>
        </w:rPr>
        <w:t xml:space="preserve"> </w:t>
      </w:r>
      <w:r w:rsidRPr="00FA0167">
        <w:rPr>
          <w:b/>
          <w:bCs/>
        </w:rPr>
        <w:t>as well as seek the input of all population</w:t>
      </w:r>
      <w:r>
        <w:rPr>
          <w:b/>
          <w:bCs/>
        </w:rPr>
        <w:t xml:space="preserve"> </w:t>
      </w:r>
      <w:r w:rsidRPr="00FA0167">
        <w:rPr>
          <w:b/>
          <w:bCs/>
        </w:rPr>
        <w:t>groups affected</w:t>
      </w:r>
      <w:r>
        <w:rPr>
          <w:b/>
          <w:bCs/>
        </w:rPr>
        <w:t xml:space="preserve"> by the conflict</w:t>
      </w:r>
      <w:r w:rsidRPr="00FA0167">
        <w:rPr>
          <w:b/>
          <w:bCs/>
        </w:rPr>
        <w:t xml:space="preserve">, including </w:t>
      </w:r>
      <w:r>
        <w:rPr>
          <w:b/>
          <w:bCs/>
        </w:rPr>
        <w:t>women and children with disabilities;</w:t>
      </w:r>
    </w:p>
    <w:p w14:paraId="3BCDB5A3" w14:textId="6CCCC0DD" w:rsidR="00F44AE8" w:rsidRDefault="00FA0167" w:rsidP="003C3A8C">
      <w:pPr>
        <w:pStyle w:val="SingleTxtG"/>
        <w:ind w:left="720"/>
        <w:rPr>
          <w:b/>
          <w:bCs/>
        </w:rPr>
      </w:pPr>
      <w:r>
        <w:rPr>
          <w:b/>
          <w:bCs/>
        </w:rPr>
        <w:tab/>
        <w:t>(c)</w:t>
      </w:r>
      <w:r>
        <w:rPr>
          <w:b/>
          <w:bCs/>
        </w:rPr>
        <w:tab/>
      </w:r>
      <w:r w:rsidRPr="00FA0167">
        <w:rPr>
          <w:b/>
          <w:bCs/>
        </w:rPr>
        <w:t xml:space="preserve">Require the use of gender </w:t>
      </w:r>
      <w:r>
        <w:rPr>
          <w:b/>
          <w:bCs/>
        </w:rPr>
        <w:t xml:space="preserve">and disability </w:t>
      </w:r>
      <w:r w:rsidRPr="00FA0167">
        <w:rPr>
          <w:b/>
          <w:bCs/>
        </w:rPr>
        <w:t>markers for the allocation</w:t>
      </w:r>
      <w:r w:rsidRPr="00FA0167">
        <w:rPr>
          <w:b/>
          <w:bCs/>
        </w:rPr>
        <w:br/>
        <w:t>of funds for humanitarian interventions</w:t>
      </w:r>
      <w:r>
        <w:rPr>
          <w:b/>
          <w:bCs/>
        </w:rPr>
        <w:t>.</w:t>
      </w:r>
    </w:p>
    <w:p w14:paraId="3E1BCD0B" w14:textId="042E74A8" w:rsidR="00653BBF" w:rsidRPr="00653BBF" w:rsidRDefault="00276848" w:rsidP="003C3A8C">
      <w:pPr>
        <w:pStyle w:val="SingleTxtG"/>
        <w:ind w:left="720"/>
      </w:pPr>
      <w:r>
        <w:t>33</w:t>
      </w:r>
      <w:r w:rsidR="00BE3D97" w:rsidRPr="00653BBF">
        <w:t>.</w:t>
      </w:r>
      <w:r w:rsidR="00BE3D97" w:rsidRPr="00653BBF">
        <w:tab/>
        <w:t xml:space="preserve">The Committee is concerned about </w:t>
      </w:r>
      <w:r w:rsidR="00A20078">
        <w:t>insufficient</w:t>
      </w:r>
      <w:r w:rsidR="00722998" w:rsidRPr="00653BBF">
        <w:t xml:space="preserve"> </w:t>
      </w:r>
      <w:r w:rsidR="00BE3D97" w:rsidRPr="00653BBF">
        <w:t xml:space="preserve">harmonization of international </w:t>
      </w:r>
      <w:r w:rsidR="00D41493">
        <w:t xml:space="preserve">humanitarian </w:t>
      </w:r>
      <w:r w:rsidR="00BE3D97" w:rsidRPr="00653BBF">
        <w:t>aid programmes</w:t>
      </w:r>
      <w:r w:rsidR="00D41493">
        <w:t xml:space="preserve">, including </w:t>
      </w:r>
      <w:r w:rsidR="00A24C75">
        <w:t xml:space="preserve">of </w:t>
      </w:r>
      <w:r w:rsidR="00A20078">
        <w:t xml:space="preserve">the </w:t>
      </w:r>
      <w:r w:rsidR="00D41493">
        <w:t>European Union,</w:t>
      </w:r>
      <w:r w:rsidR="00BE3D97" w:rsidRPr="00653BBF">
        <w:t xml:space="preserve"> with the purpose and provisions of the Convention, and </w:t>
      </w:r>
      <w:r w:rsidR="00722998">
        <w:t>lack of</w:t>
      </w:r>
      <w:r w:rsidR="00722998" w:rsidRPr="00653BBF">
        <w:t xml:space="preserve"> </w:t>
      </w:r>
      <w:r w:rsidR="00BE3D97" w:rsidRPr="00653BBF">
        <w:t>involvement of Ukrainian organizations of persons with disabilities in the consultation, development and implementation of international cooperation programmes</w:t>
      </w:r>
      <w:r w:rsidR="00D41493">
        <w:t xml:space="preserve">, including aimed at humanitarian </w:t>
      </w:r>
      <w:r w:rsidR="00D41493" w:rsidRPr="00653BBF">
        <w:t>aid</w:t>
      </w:r>
      <w:r w:rsidR="00BE3D97" w:rsidRPr="00653BBF">
        <w:t xml:space="preserve">. The Committee is further concerned about reports </w:t>
      </w:r>
      <w:r w:rsidR="00044860">
        <w:t>of</w:t>
      </w:r>
      <w:r w:rsidR="00D41493">
        <w:t xml:space="preserve"> residential </w:t>
      </w:r>
      <w:r w:rsidR="00257FF3">
        <w:t xml:space="preserve">care </w:t>
      </w:r>
      <w:r w:rsidR="00D41493">
        <w:t>institutions</w:t>
      </w:r>
      <w:r w:rsidR="00044860">
        <w:t xml:space="preserve"> that are struggling to </w:t>
      </w:r>
      <w:r w:rsidR="002D3D0F">
        <w:t>cover costs of living and medical care</w:t>
      </w:r>
      <w:r w:rsidR="00044860">
        <w:t xml:space="preserve"> for residents</w:t>
      </w:r>
      <w:r w:rsidR="002D3D0F">
        <w:t xml:space="preserve"> and are relying on donor support to ensure access to basic needs, including heating in the upcoming winter months.</w:t>
      </w:r>
    </w:p>
    <w:p w14:paraId="060FD307" w14:textId="291530D2" w:rsidR="00BE3D97" w:rsidRDefault="00276848" w:rsidP="003C3A8C">
      <w:pPr>
        <w:pStyle w:val="SingleTxtG"/>
        <w:ind w:left="720"/>
        <w:rPr>
          <w:b/>
          <w:bCs/>
        </w:rPr>
      </w:pPr>
      <w:r>
        <w:rPr>
          <w:b/>
          <w:bCs/>
        </w:rPr>
        <w:t>34</w:t>
      </w:r>
      <w:r w:rsidR="00653BBF">
        <w:rPr>
          <w:b/>
          <w:bCs/>
        </w:rPr>
        <w:t>.</w:t>
      </w:r>
      <w:r w:rsidR="00653BBF">
        <w:rPr>
          <w:b/>
          <w:bCs/>
        </w:rPr>
        <w:tab/>
        <w:t xml:space="preserve">The Committee encourages all concerned States parties to ensure that international cooperation is </w:t>
      </w:r>
      <w:r w:rsidR="00653BBF" w:rsidRPr="00653BBF">
        <w:rPr>
          <w:b/>
          <w:bCs/>
        </w:rPr>
        <w:t xml:space="preserve">inclusive of and accessible to </w:t>
      </w:r>
      <w:r w:rsidR="00653BBF">
        <w:rPr>
          <w:b/>
          <w:bCs/>
        </w:rPr>
        <w:t xml:space="preserve">all </w:t>
      </w:r>
      <w:r w:rsidR="00653BBF" w:rsidRPr="00653BBF">
        <w:rPr>
          <w:b/>
          <w:bCs/>
        </w:rPr>
        <w:t xml:space="preserve">persons with disabilities and </w:t>
      </w:r>
      <w:r w:rsidR="00653BBF">
        <w:rPr>
          <w:b/>
          <w:bCs/>
        </w:rPr>
        <w:t>is</w:t>
      </w:r>
      <w:r w:rsidR="00653BBF" w:rsidRPr="00653BBF">
        <w:rPr>
          <w:b/>
          <w:bCs/>
        </w:rPr>
        <w:t>, in all cases, respectful of the standards set out in the Convention.</w:t>
      </w:r>
      <w:r w:rsidR="00653BBF">
        <w:rPr>
          <w:b/>
          <w:bCs/>
        </w:rPr>
        <w:t xml:space="preserve"> </w:t>
      </w:r>
      <w:r w:rsidR="001B3FD3">
        <w:rPr>
          <w:b/>
          <w:bCs/>
        </w:rPr>
        <w:t xml:space="preserve">It also reminds all concerned parties of the obligation, when using international cooperation funds, </w:t>
      </w:r>
      <w:r w:rsidR="00D41493">
        <w:rPr>
          <w:b/>
          <w:bCs/>
        </w:rPr>
        <w:t xml:space="preserve">including of </w:t>
      </w:r>
      <w:r w:rsidR="00A20078">
        <w:rPr>
          <w:b/>
          <w:bCs/>
        </w:rPr>
        <w:t xml:space="preserve">the </w:t>
      </w:r>
      <w:r w:rsidR="00D41493">
        <w:rPr>
          <w:b/>
          <w:bCs/>
        </w:rPr>
        <w:t xml:space="preserve">European Union, </w:t>
      </w:r>
      <w:r w:rsidR="001B3FD3">
        <w:rPr>
          <w:b/>
          <w:bCs/>
        </w:rPr>
        <w:t xml:space="preserve">to ensure the participation </w:t>
      </w:r>
      <w:r w:rsidR="001B3FD3" w:rsidRPr="001B3FD3">
        <w:rPr>
          <w:b/>
          <w:bCs/>
        </w:rPr>
        <w:t>of persons with disabilities</w:t>
      </w:r>
      <w:r w:rsidR="001B3FD3">
        <w:rPr>
          <w:b/>
          <w:bCs/>
        </w:rPr>
        <w:t xml:space="preserve"> and their </w:t>
      </w:r>
      <w:r w:rsidR="00AD1AD8">
        <w:rPr>
          <w:b/>
          <w:bCs/>
        </w:rPr>
        <w:t xml:space="preserve">representative </w:t>
      </w:r>
      <w:r w:rsidR="001B3FD3">
        <w:rPr>
          <w:b/>
          <w:bCs/>
        </w:rPr>
        <w:t>organizations</w:t>
      </w:r>
      <w:r w:rsidR="001B3FD3" w:rsidRPr="001B3FD3">
        <w:rPr>
          <w:b/>
          <w:bCs/>
        </w:rPr>
        <w:t xml:space="preserve"> in decision-making</w:t>
      </w:r>
      <w:r w:rsidR="000260FC">
        <w:rPr>
          <w:b/>
          <w:bCs/>
        </w:rPr>
        <w:t xml:space="preserve"> processes. Finally, the Committee urges all concerned parties to ensure that </w:t>
      </w:r>
      <w:r w:rsidR="00A24C75">
        <w:rPr>
          <w:b/>
          <w:bCs/>
        </w:rPr>
        <w:t xml:space="preserve">international </w:t>
      </w:r>
      <w:r w:rsidR="000260FC">
        <w:rPr>
          <w:b/>
          <w:bCs/>
        </w:rPr>
        <w:t xml:space="preserve">funds are not invested in </w:t>
      </w:r>
      <w:r w:rsidR="000260FC" w:rsidRPr="003B3745">
        <w:rPr>
          <w:b/>
          <w:bCs/>
        </w:rPr>
        <w:t>rebuilding, expanding or renovating</w:t>
      </w:r>
      <w:r w:rsidR="00D41493" w:rsidRPr="003B3745">
        <w:rPr>
          <w:b/>
          <w:bCs/>
        </w:rPr>
        <w:t xml:space="preserve"> residential </w:t>
      </w:r>
      <w:r w:rsidR="00257FF3">
        <w:rPr>
          <w:b/>
          <w:bCs/>
        </w:rPr>
        <w:t xml:space="preserve">care </w:t>
      </w:r>
      <w:r w:rsidR="00D41493" w:rsidRPr="003B3745">
        <w:rPr>
          <w:b/>
          <w:bCs/>
        </w:rPr>
        <w:t>institutions</w:t>
      </w:r>
      <w:r w:rsidR="003B3745">
        <w:rPr>
          <w:b/>
          <w:bCs/>
        </w:rPr>
        <w:t xml:space="preserve"> for persons with disabilities</w:t>
      </w:r>
      <w:r w:rsidR="000260FC">
        <w:rPr>
          <w:b/>
          <w:bCs/>
        </w:rPr>
        <w:t xml:space="preserve">, </w:t>
      </w:r>
      <w:r w:rsidR="0076541E">
        <w:rPr>
          <w:b/>
          <w:bCs/>
        </w:rPr>
        <w:t xml:space="preserve">and </w:t>
      </w:r>
      <w:r w:rsidR="000260FC">
        <w:rPr>
          <w:b/>
          <w:bCs/>
        </w:rPr>
        <w:t>are</w:t>
      </w:r>
      <w:r w:rsidR="0076541E">
        <w:rPr>
          <w:b/>
          <w:bCs/>
        </w:rPr>
        <w:t xml:space="preserve"> instead</w:t>
      </w:r>
      <w:r w:rsidR="000260FC">
        <w:rPr>
          <w:b/>
          <w:bCs/>
        </w:rPr>
        <w:t xml:space="preserve"> directed towards </w:t>
      </w:r>
      <w:r w:rsidR="00AD2B57" w:rsidRPr="00AD2B57">
        <w:rPr>
          <w:b/>
          <w:bCs/>
        </w:rPr>
        <w:t xml:space="preserve">the development of independent living </w:t>
      </w:r>
      <w:r w:rsidR="00E172C7">
        <w:rPr>
          <w:b/>
          <w:bCs/>
        </w:rPr>
        <w:t>provisions</w:t>
      </w:r>
      <w:r w:rsidR="00E172C7" w:rsidRPr="00AD2B57">
        <w:rPr>
          <w:b/>
          <w:bCs/>
        </w:rPr>
        <w:t xml:space="preserve"> </w:t>
      </w:r>
      <w:r w:rsidR="00AD2B57" w:rsidRPr="00AD2B57">
        <w:rPr>
          <w:b/>
          <w:bCs/>
        </w:rPr>
        <w:t xml:space="preserve">that </w:t>
      </w:r>
      <w:r w:rsidR="00E172C7">
        <w:rPr>
          <w:b/>
          <w:bCs/>
        </w:rPr>
        <w:t xml:space="preserve">are aimed at renovating and creating </w:t>
      </w:r>
      <w:r w:rsidR="00AD2B57" w:rsidRPr="00AD2B57">
        <w:rPr>
          <w:b/>
          <w:bCs/>
        </w:rPr>
        <w:t>accessible community</w:t>
      </w:r>
      <w:r w:rsidR="00E172C7">
        <w:rPr>
          <w:b/>
          <w:bCs/>
        </w:rPr>
        <w:t>-support</w:t>
      </w:r>
      <w:r w:rsidR="00AD2B57" w:rsidRPr="00AD2B57">
        <w:rPr>
          <w:b/>
          <w:bCs/>
        </w:rPr>
        <w:t xml:space="preserve"> services</w:t>
      </w:r>
      <w:r w:rsidR="00B864C6" w:rsidRPr="00B864C6">
        <w:rPr>
          <w:b/>
          <w:bCs/>
        </w:rPr>
        <w:t xml:space="preserve"> </w:t>
      </w:r>
      <w:r w:rsidR="00B864C6" w:rsidRPr="00AD2B57">
        <w:rPr>
          <w:b/>
          <w:bCs/>
        </w:rPr>
        <w:t xml:space="preserve">and </w:t>
      </w:r>
      <w:r w:rsidR="00B864C6" w:rsidRPr="00AD2B57">
        <w:rPr>
          <w:b/>
          <w:bCs/>
        </w:rPr>
        <w:lastRenderedPageBreak/>
        <w:t>facilities</w:t>
      </w:r>
      <w:r w:rsidR="00AD2B57" w:rsidRPr="00AD2B57">
        <w:rPr>
          <w:b/>
          <w:bCs/>
        </w:rPr>
        <w:t xml:space="preserve">, </w:t>
      </w:r>
      <w:r w:rsidR="00E172C7">
        <w:rPr>
          <w:b/>
          <w:bCs/>
        </w:rPr>
        <w:t xml:space="preserve">in-home services, </w:t>
      </w:r>
      <w:r w:rsidR="00D41493">
        <w:rPr>
          <w:b/>
          <w:bCs/>
        </w:rPr>
        <w:t xml:space="preserve">personalised </w:t>
      </w:r>
      <w:r w:rsidR="00AD2B57" w:rsidRPr="00AD2B57">
        <w:rPr>
          <w:b/>
          <w:bCs/>
        </w:rPr>
        <w:t>supports, including affordable housing</w:t>
      </w:r>
      <w:r w:rsidR="00D41493">
        <w:rPr>
          <w:b/>
          <w:bCs/>
        </w:rPr>
        <w:t xml:space="preserve"> in the community on equal bases with others</w:t>
      </w:r>
      <w:r w:rsidR="000D1224">
        <w:rPr>
          <w:b/>
          <w:bCs/>
        </w:rPr>
        <w:t>.</w:t>
      </w:r>
    </w:p>
    <w:p w14:paraId="2C5B0B85" w14:textId="195F8561" w:rsidR="00F44AE8" w:rsidRPr="000268CC" w:rsidRDefault="00276848" w:rsidP="003C3A8C">
      <w:pPr>
        <w:pStyle w:val="SingleTxtG"/>
        <w:ind w:left="720"/>
        <w:rPr>
          <w:color w:val="000000" w:themeColor="text1"/>
        </w:rPr>
      </w:pPr>
      <w:r>
        <w:rPr>
          <w:color w:val="000000" w:themeColor="text1"/>
        </w:rPr>
        <w:t>35</w:t>
      </w:r>
      <w:r w:rsidR="007D2528" w:rsidRPr="000268CC">
        <w:rPr>
          <w:color w:val="000000" w:themeColor="text1"/>
        </w:rPr>
        <w:t>.</w:t>
      </w:r>
      <w:r w:rsidR="007D2528" w:rsidRPr="000268CC">
        <w:rPr>
          <w:color w:val="000000" w:themeColor="text1"/>
        </w:rPr>
        <w:tab/>
        <w:t>The Committee notes with concern the lack of ac</w:t>
      </w:r>
      <w:r w:rsidR="00AD2B57" w:rsidRPr="000268CC">
        <w:rPr>
          <w:color w:val="000000" w:themeColor="text1"/>
        </w:rPr>
        <w:t xml:space="preserve">cessible built environments in Ukraine, including </w:t>
      </w:r>
      <w:r w:rsidR="000268CC">
        <w:rPr>
          <w:color w:val="000000" w:themeColor="text1"/>
        </w:rPr>
        <w:t xml:space="preserve">emergency shelters, </w:t>
      </w:r>
      <w:r w:rsidR="00AD2B57" w:rsidRPr="000268CC">
        <w:rPr>
          <w:color w:val="000000" w:themeColor="text1"/>
        </w:rPr>
        <w:t>public services and public transportation</w:t>
      </w:r>
      <w:r w:rsidR="000268CC">
        <w:rPr>
          <w:color w:val="000000" w:themeColor="text1"/>
        </w:rPr>
        <w:t>,</w:t>
      </w:r>
      <w:r w:rsidR="00AD2B57" w:rsidRPr="000268CC">
        <w:rPr>
          <w:color w:val="000000" w:themeColor="text1"/>
        </w:rPr>
        <w:t xml:space="preserve"> and in particular in rural areas and small towns</w:t>
      </w:r>
      <w:r w:rsidR="00A84CF8">
        <w:rPr>
          <w:color w:val="000000" w:themeColor="text1"/>
        </w:rPr>
        <w:t>, situation which has exacerbated after 24 February 2022</w:t>
      </w:r>
      <w:r w:rsidR="00AD2B57" w:rsidRPr="000268CC">
        <w:rPr>
          <w:color w:val="000000" w:themeColor="text1"/>
        </w:rPr>
        <w:t xml:space="preserve">. </w:t>
      </w:r>
    </w:p>
    <w:p w14:paraId="651C1BAE" w14:textId="7CA36E49" w:rsidR="00A426F0" w:rsidRPr="000268CC" w:rsidRDefault="00276848" w:rsidP="003C3A8C">
      <w:pPr>
        <w:pStyle w:val="SingleTxtG"/>
        <w:ind w:left="720"/>
        <w:rPr>
          <w:b/>
          <w:bCs/>
          <w:color w:val="000000" w:themeColor="text1"/>
        </w:rPr>
      </w:pPr>
      <w:r>
        <w:rPr>
          <w:b/>
          <w:bCs/>
          <w:color w:val="000000" w:themeColor="text1"/>
        </w:rPr>
        <w:t>36</w:t>
      </w:r>
      <w:r w:rsidR="00A426F0" w:rsidRPr="000268CC">
        <w:rPr>
          <w:b/>
          <w:bCs/>
          <w:color w:val="000000" w:themeColor="text1"/>
        </w:rPr>
        <w:t>.</w:t>
      </w:r>
      <w:r w:rsidR="00A426F0" w:rsidRPr="000268CC">
        <w:rPr>
          <w:b/>
          <w:bCs/>
          <w:color w:val="000000" w:themeColor="text1"/>
        </w:rPr>
        <w:tab/>
        <w:t xml:space="preserve">The Committee recommends </w:t>
      </w:r>
      <w:r w:rsidR="00A94A84">
        <w:rPr>
          <w:b/>
          <w:bCs/>
          <w:color w:val="000000" w:themeColor="text1"/>
        </w:rPr>
        <w:t>that Ukraine</w:t>
      </w:r>
      <w:r w:rsidR="00A426F0" w:rsidRPr="000268CC">
        <w:rPr>
          <w:b/>
          <w:bCs/>
          <w:color w:val="000000" w:themeColor="text1"/>
        </w:rPr>
        <w:t xml:space="preserve"> ensure accessibility through universal design in all post-war reconstruction and rebuilding plans and strategies, particularly during planning and reconstruction of infrastructure </w:t>
      </w:r>
      <w:r w:rsidR="000268CC" w:rsidRPr="000268CC">
        <w:rPr>
          <w:b/>
          <w:bCs/>
          <w:color w:val="000000" w:themeColor="text1"/>
        </w:rPr>
        <w:t>and public facilities</w:t>
      </w:r>
      <w:r w:rsidR="00A426F0" w:rsidRPr="000268CC">
        <w:rPr>
          <w:b/>
          <w:bCs/>
          <w:color w:val="000000" w:themeColor="text1"/>
        </w:rPr>
        <w:t>.</w:t>
      </w:r>
    </w:p>
    <w:p w14:paraId="55B1A847" w14:textId="23EFB30E" w:rsidR="00F44AE8" w:rsidRDefault="00276848" w:rsidP="003C3A8C">
      <w:pPr>
        <w:pStyle w:val="SingleTxtG"/>
        <w:ind w:left="720"/>
        <w:rPr>
          <w:color w:val="000000" w:themeColor="text1"/>
        </w:rPr>
      </w:pPr>
      <w:r>
        <w:rPr>
          <w:color w:val="000000" w:themeColor="text1"/>
        </w:rPr>
        <w:t>37</w:t>
      </w:r>
      <w:r w:rsidR="000268CC" w:rsidRPr="000268CC">
        <w:rPr>
          <w:color w:val="000000" w:themeColor="text1"/>
        </w:rPr>
        <w:t>.</w:t>
      </w:r>
      <w:r w:rsidR="000268CC" w:rsidRPr="000268CC">
        <w:rPr>
          <w:color w:val="000000" w:themeColor="text1"/>
        </w:rPr>
        <w:tab/>
      </w:r>
      <w:r w:rsidR="00F44AE8" w:rsidRPr="000268CC">
        <w:rPr>
          <w:color w:val="000000" w:themeColor="text1"/>
        </w:rPr>
        <w:t>The Committee remains seized o</w:t>
      </w:r>
      <w:r w:rsidR="00B204D1">
        <w:rPr>
          <w:color w:val="000000" w:themeColor="text1"/>
        </w:rPr>
        <w:t>f</w:t>
      </w:r>
      <w:r w:rsidR="00F44AE8" w:rsidRPr="000268CC">
        <w:rPr>
          <w:color w:val="000000" w:themeColor="text1"/>
        </w:rPr>
        <w:t xml:space="preserve"> the matter.</w:t>
      </w:r>
    </w:p>
    <w:p w14:paraId="77D5D960" w14:textId="63A76758" w:rsidR="007F5CC9" w:rsidRDefault="007F5CC9" w:rsidP="007F5CC9">
      <w:pPr>
        <w:pStyle w:val="SingleTxtG"/>
        <w:ind w:left="720"/>
        <w:rPr>
          <w:color w:val="000000" w:themeColor="text1"/>
        </w:rPr>
      </w:pPr>
      <w:r>
        <w:rPr>
          <w:color w:val="000000" w:themeColor="text1"/>
        </w:rPr>
        <w:t xml:space="preserve">38. </w:t>
      </w:r>
      <w:r>
        <w:rPr>
          <w:color w:val="000000" w:themeColor="text1"/>
        </w:rPr>
        <w:tab/>
        <w:t>T</w:t>
      </w:r>
      <w:r w:rsidRPr="007F5CC9">
        <w:rPr>
          <w:color w:val="000000" w:themeColor="text1"/>
        </w:rPr>
        <w:t xml:space="preserve">he Committee </w:t>
      </w:r>
      <w:r>
        <w:rPr>
          <w:color w:val="000000" w:themeColor="text1"/>
        </w:rPr>
        <w:t>reiterate</w:t>
      </w:r>
      <w:r w:rsidR="0026127F">
        <w:rPr>
          <w:color w:val="000000" w:themeColor="text1"/>
        </w:rPr>
        <w:t>s</w:t>
      </w:r>
      <w:r>
        <w:rPr>
          <w:color w:val="000000" w:themeColor="text1"/>
        </w:rPr>
        <w:t xml:space="preserve"> its </w:t>
      </w:r>
      <w:r w:rsidRPr="007F5CC9">
        <w:rPr>
          <w:color w:val="000000" w:themeColor="text1"/>
        </w:rPr>
        <w:t xml:space="preserve">calls </w:t>
      </w:r>
      <w:r w:rsidR="0026127F">
        <w:rPr>
          <w:color w:val="000000" w:themeColor="text1"/>
        </w:rPr>
        <w:t>upon</w:t>
      </w:r>
      <w:r w:rsidR="0026127F" w:rsidRPr="007F5CC9">
        <w:rPr>
          <w:color w:val="000000" w:themeColor="text1"/>
        </w:rPr>
        <w:t xml:space="preserve"> </w:t>
      </w:r>
      <w:r w:rsidRPr="007F5CC9">
        <w:rPr>
          <w:color w:val="000000" w:themeColor="text1"/>
        </w:rPr>
        <w:t>the Russian Federation</w:t>
      </w:r>
      <w:r>
        <w:rPr>
          <w:color w:val="000000" w:themeColor="text1"/>
        </w:rPr>
        <w:t xml:space="preserve">, made in its </w:t>
      </w:r>
      <w:r w:rsidR="00AD1AD8" w:rsidRPr="004A50FA">
        <w:t>statement of 14 April 2022</w:t>
      </w:r>
      <w:r w:rsidR="00AD1AD8">
        <w:rPr>
          <w:rStyle w:val="FootnoteReference"/>
        </w:rPr>
        <w:footnoteReference w:id="23"/>
      </w:r>
      <w:r>
        <w:rPr>
          <w:color w:val="000000" w:themeColor="text1"/>
        </w:rPr>
        <w:t>,</w:t>
      </w:r>
      <w:r w:rsidRPr="007F5CC9">
        <w:rPr>
          <w:color w:val="000000" w:themeColor="text1"/>
        </w:rPr>
        <w:t xml:space="preserve"> to immediately end the hostilities and observe and respect the principles of international human rights and humanitarian law.</w:t>
      </w:r>
    </w:p>
    <w:p w14:paraId="60059AA7" w14:textId="7642B2E4" w:rsidR="004972B2" w:rsidRPr="000268CC" w:rsidRDefault="004972B2" w:rsidP="004A50FA">
      <w:pPr>
        <w:pStyle w:val="SingleTxtG"/>
        <w:ind w:left="720"/>
        <w:jc w:val="center"/>
        <w:rPr>
          <w:color w:val="000000" w:themeColor="text1"/>
        </w:rPr>
      </w:pPr>
      <w:r>
        <w:rPr>
          <w:color w:val="000000" w:themeColor="text1"/>
        </w:rPr>
        <w:t>______</w:t>
      </w:r>
    </w:p>
    <w:sectPr w:rsidR="004972B2" w:rsidRPr="000268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4A88" w14:textId="77777777" w:rsidR="0008540C" w:rsidRDefault="0008540C" w:rsidP="00A8744A">
      <w:r>
        <w:separator/>
      </w:r>
    </w:p>
  </w:endnote>
  <w:endnote w:type="continuationSeparator" w:id="0">
    <w:p w14:paraId="1D0E61CE" w14:textId="77777777" w:rsidR="0008540C" w:rsidRDefault="0008540C" w:rsidP="00A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42B04" w14:textId="77777777" w:rsidR="0008540C" w:rsidRDefault="0008540C" w:rsidP="00A8744A">
      <w:r>
        <w:separator/>
      </w:r>
    </w:p>
  </w:footnote>
  <w:footnote w:type="continuationSeparator" w:id="0">
    <w:p w14:paraId="2A8604A2" w14:textId="77777777" w:rsidR="0008540C" w:rsidRDefault="0008540C" w:rsidP="00A8744A">
      <w:r>
        <w:continuationSeparator/>
      </w:r>
    </w:p>
  </w:footnote>
  <w:footnote w:id="1">
    <w:p w14:paraId="5410A491" w14:textId="0A8DBAB5" w:rsidR="001F0489" w:rsidRPr="001F0489" w:rsidRDefault="002D16F9" w:rsidP="00892F17">
      <w:pPr>
        <w:pStyle w:val="FootnoteText"/>
      </w:pPr>
      <w:r>
        <w:rPr>
          <w:rStyle w:val="FootnoteReference"/>
          <w:vertAlign w:val="baseline"/>
        </w:rPr>
        <w:tab/>
      </w:r>
      <w:r w:rsidR="001F0489" w:rsidRPr="00A4297D">
        <w:rPr>
          <w:rStyle w:val="FootnoteReference"/>
          <w:vertAlign w:val="baseline"/>
        </w:rPr>
        <w:footnoteRef/>
      </w:r>
      <w:r>
        <w:rPr>
          <w:rStyle w:val="FootnoteReference"/>
          <w:vertAlign w:val="baseline"/>
        </w:rPr>
        <w:tab/>
      </w:r>
      <w:r w:rsidR="00C20209" w:rsidRPr="00892F17">
        <w:t xml:space="preserve">General Assembly Resolution ES-11/1, of 2 March 2022 (A/RES/ES-11/1), </w:t>
      </w:r>
      <w:r w:rsidR="001F0489" w:rsidRPr="00892F17">
        <w:t>Human Rights Council Resolution 49/1, of 4 March 2022 (A/HRC/RES/49/1</w:t>
      </w:r>
      <w:r w:rsidR="000D45AC" w:rsidRPr="00892F17">
        <w:t>).</w:t>
      </w:r>
    </w:p>
  </w:footnote>
  <w:footnote w:id="2">
    <w:p w14:paraId="6153A6DE" w14:textId="29A29C18" w:rsidR="006424F5" w:rsidRPr="00756603" w:rsidRDefault="002D16F9" w:rsidP="00756603">
      <w:pPr>
        <w:pStyle w:val="FootnoteText"/>
        <w:ind w:left="0" w:firstLine="0"/>
      </w:pPr>
      <w:r>
        <w:tab/>
      </w:r>
      <w:r w:rsidR="006424F5" w:rsidRPr="00756603">
        <w:rPr>
          <w:rStyle w:val="FootnoteReference"/>
          <w:vertAlign w:val="baseline"/>
        </w:rPr>
        <w:footnoteRef/>
      </w:r>
      <w:r>
        <w:tab/>
      </w:r>
      <w:r w:rsidR="006424F5" w:rsidRPr="00756603">
        <w:t xml:space="preserve">Belarus, </w:t>
      </w:r>
      <w:r w:rsidR="00A61747" w:rsidRPr="00756603">
        <w:t xml:space="preserve">European Union, </w:t>
      </w:r>
      <w:r w:rsidR="00664666" w:rsidRPr="00756603">
        <w:t xml:space="preserve">Finland, </w:t>
      </w:r>
      <w:r w:rsidR="00947740" w:rsidRPr="00756603">
        <w:t xml:space="preserve">Latvia, </w:t>
      </w:r>
      <w:r w:rsidR="00F40F70" w:rsidRPr="00756603">
        <w:t xml:space="preserve">Lithuania, Republic of Moldova, </w:t>
      </w:r>
      <w:proofErr w:type="spellStart"/>
      <w:r w:rsidR="00A61747" w:rsidRPr="00756603">
        <w:t>Türkiye</w:t>
      </w:r>
      <w:proofErr w:type="spellEnd"/>
      <w:r w:rsidR="000D45AC">
        <w:t>.</w:t>
      </w:r>
    </w:p>
  </w:footnote>
  <w:footnote w:id="3">
    <w:p w14:paraId="7D7BB62C" w14:textId="33D71EDC" w:rsidR="006424F5" w:rsidRPr="00756603" w:rsidRDefault="002D16F9" w:rsidP="00756603">
      <w:pPr>
        <w:pStyle w:val="FootnoteText"/>
        <w:ind w:left="0" w:firstLine="0"/>
      </w:pPr>
      <w:r>
        <w:tab/>
      </w:r>
      <w:r w:rsidR="006424F5" w:rsidRPr="00756603">
        <w:rPr>
          <w:rStyle w:val="FootnoteReference"/>
          <w:vertAlign w:val="baseline"/>
        </w:rPr>
        <w:footnoteRef/>
      </w:r>
      <w:r>
        <w:tab/>
      </w:r>
      <w:r w:rsidR="006424F5" w:rsidRPr="00756603">
        <w:t xml:space="preserve">Belarus, </w:t>
      </w:r>
      <w:r w:rsidR="00664666" w:rsidRPr="00756603">
        <w:t>Bulgaria,</w:t>
      </w:r>
      <w:r w:rsidR="00A61747" w:rsidRPr="00756603">
        <w:t xml:space="preserve"> European Union,</w:t>
      </w:r>
      <w:r w:rsidR="00664666" w:rsidRPr="00756603">
        <w:t xml:space="preserve"> Finland, </w:t>
      </w:r>
      <w:r w:rsidR="00F722BE" w:rsidRPr="00756603">
        <w:t xml:space="preserve">Hungary, </w:t>
      </w:r>
      <w:r w:rsidR="00947740" w:rsidRPr="00756603">
        <w:t xml:space="preserve">Latvia, </w:t>
      </w:r>
      <w:r w:rsidR="00F40F70" w:rsidRPr="00756603">
        <w:t xml:space="preserve">Lithuania, Republic of </w:t>
      </w:r>
      <w:r>
        <w:tab/>
      </w:r>
      <w:r>
        <w:tab/>
      </w:r>
      <w:r w:rsidR="00F40F70" w:rsidRPr="00756603">
        <w:t xml:space="preserve">Moldova, </w:t>
      </w:r>
      <w:proofErr w:type="spellStart"/>
      <w:r w:rsidR="00A61747" w:rsidRPr="00756603">
        <w:t>Türkiye</w:t>
      </w:r>
      <w:proofErr w:type="spellEnd"/>
      <w:r w:rsidR="000D45AC">
        <w:t>.</w:t>
      </w:r>
    </w:p>
  </w:footnote>
  <w:footnote w:id="4">
    <w:p w14:paraId="0CEE0EE0" w14:textId="4D96ED4E" w:rsidR="006424F5" w:rsidRPr="00756603" w:rsidRDefault="002D16F9" w:rsidP="00756603">
      <w:pPr>
        <w:pStyle w:val="FootnoteText"/>
        <w:ind w:left="0" w:firstLine="0"/>
      </w:pPr>
      <w:r>
        <w:tab/>
      </w:r>
      <w:r w:rsidR="006424F5" w:rsidRPr="00756603">
        <w:rPr>
          <w:rStyle w:val="FootnoteReference"/>
          <w:vertAlign w:val="baseline"/>
        </w:rPr>
        <w:footnoteRef/>
      </w:r>
      <w:r>
        <w:tab/>
      </w:r>
      <w:r w:rsidR="00A61747" w:rsidRPr="00756603">
        <w:t xml:space="preserve">European Union, </w:t>
      </w:r>
      <w:r w:rsidR="00947740" w:rsidRPr="00756603">
        <w:t xml:space="preserve">Latvia, </w:t>
      </w:r>
      <w:r w:rsidR="00F40F70" w:rsidRPr="00756603">
        <w:t>Lithuania, Republic of Moldova</w:t>
      </w:r>
      <w:r w:rsidR="000D45AC">
        <w:t>.</w:t>
      </w:r>
    </w:p>
  </w:footnote>
  <w:footnote w:id="5">
    <w:p w14:paraId="24180809" w14:textId="4F4EE483" w:rsidR="006424F5" w:rsidRPr="00505DEF" w:rsidRDefault="002D16F9" w:rsidP="00756603">
      <w:pPr>
        <w:pStyle w:val="FootnoteText"/>
        <w:ind w:left="0" w:firstLine="0"/>
        <w:rPr>
          <w:lang w:val="es-ES"/>
        </w:rPr>
      </w:pPr>
      <w:r>
        <w:rPr>
          <w:lang w:val="es-ES"/>
        </w:rPr>
        <w:tab/>
      </w:r>
      <w:r w:rsidR="006424F5" w:rsidRPr="00756603">
        <w:rPr>
          <w:rStyle w:val="FootnoteReference"/>
          <w:vertAlign w:val="baseline"/>
        </w:rPr>
        <w:footnoteRef/>
      </w:r>
      <w:r>
        <w:rPr>
          <w:lang w:val="es-ES"/>
        </w:rPr>
        <w:tab/>
      </w:r>
      <w:r w:rsidR="006424F5" w:rsidRPr="00505DEF">
        <w:rPr>
          <w:lang w:val="es-ES"/>
        </w:rPr>
        <w:t xml:space="preserve">Bulgaria, </w:t>
      </w:r>
      <w:r w:rsidR="00A61747" w:rsidRPr="00505DEF">
        <w:rPr>
          <w:lang w:val="es-ES"/>
        </w:rPr>
        <w:t xml:space="preserve">European Union, </w:t>
      </w:r>
      <w:proofErr w:type="spellStart"/>
      <w:r w:rsidR="00F722BE" w:rsidRPr="00505DEF">
        <w:rPr>
          <w:lang w:val="es-ES"/>
        </w:rPr>
        <w:t>Hungary</w:t>
      </w:r>
      <w:proofErr w:type="spellEnd"/>
      <w:r w:rsidR="00F722BE" w:rsidRPr="00505DEF">
        <w:rPr>
          <w:lang w:val="es-ES"/>
        </w:rPr>
        <w:t xml:space="preserve">, </w:t>
      </w:r>
      <w:proofErr w:type="spellStart"/>
      <w:r w:rsidR="00947740" w:rsidRPr="00505DEF">
        <w:rPr>
          <w:lang w:val="es-ES"/>
        </w:rPr>
        <w:t>Latvia</w:t>
      </w:r>
      <w:proofErr w:type="spellEnd"/>
      <w:r w:rsidR="000D45AC" w:rsidRPr="00505DEF">
        <w:rPr>
          <w:lang w:val="es-ES"/>
        </w:rPr>
        <w:t>.</w:t>
      </w:r>
    </w:p>
  </w:footnote>
  <w:footnote w:id="6">
    <w:p w14:paraId="38AFE74A" w14:textId="1B1F30A4" w:rsidR="006424F5" w:rsidRPr="00060654" w:rsidRDefault="002D16F9" w:rsidP="00756603">
      <w:pPr>
        <w:pStyle w:val="FootnoteText"/>
        <w:ind w:left="0" w:firstLine="0"/>
        <w:rPr>
          <w:lang w:val="es-ES"/>
        </w:rPr>
      </w:pPr>
      <w:r>
        <w:rPr>
          <w:lang w:val="es-ES"/>
        </w:rPr>
        <w:tab/>
      </w:r>
      <w:r w:rsidR="006424F5" w:rsidRPr="00756603">
        <w:rPr>
          <w:rStyle w:val="FootnoteReference"/>
          <w:vertAlign w:val="baseline"/>
        </w:rPr>
        <w:footnoteRef/>
      </w:r>
      <w:r>
        <w:rPr>
          <w:lang w:val="es-ES"/>
        </w:rPr>
        <w:tab/>
      </w:r>
      <w:proofErr w:type="spellStart"/>
      <w:r w:rsidR="00947740" w:rsidRPr="00060654">
        <w:rPr>
          <w:lang w:val="es-ES"/>
        </w:rPr>
        <w:t>Latvia</w:t>
      </w:r>
      <w:proofErr w:type="spellEnd"/>
      <w:r w:rsidR="00947740" w:rsidRPr="00060654">
        <w:rPr>
          <w:lang w:val="es-ES"/>
        </w:rPr>
        <w:t xml:space="preserve">, </w:t>
      </w:r>
      <w:proofErr w:type="spellStart"/>
      <w:r w:rsidR="00F40F70" w:rsidRPr="00060654">
        <w:rPr>
          <w:lang w:val="es-ES"/>
        </w:rPr>
        <w:t>Lithuania</w:t>
      </w:r>
      <w:proofErr w:type="spellEnd"/>
      <w:r w:rsidR="00F40F70" w:rsidRPr="00060654">
        <w:rPr>
          <w:lang w:val="es-ES"/>
        </w:rPr>
        <w:t xml:space="preserve">, </w:t>
      </w:r>
      <w:proofErr w:type="spellStart"/>
      <w:r w:rsidR="00F40F70" w:rsidRPr="00060654">
        <w:rPr>
          <w:lang w:val="es-ES"/>
        </w:rPr>
        <w:t>Republic</w:t>
      </w:r>
      <w:proofErr w:type="spellEnd"/>
      <w:r w:rsidR="00F40F70" w:rsidRPr="00060654">
        <w:rPr>
          <w:lang w:val="es-ES"/>
        </w:rPr>
        <w:t xml:space="preserve"> of </w:t>
      </w:r>
      <w:proofErr w:type="spellStart"/>
      <w:r w:rsidR="00F40F70" w:rsidRPr="00060654">
        <w:rPr>
          <w:lang w:val="es-ES"/>
        </w:rPr>
        <w:t>Moldova</w:t>
      </w:r>
      <w:proofErr w:type="spellEnd"/>
      <w:r w:rsidR="000D45AC" w:rsidRPr="00060654">
        <w:rPr>
          <w:lang w:val="es-ES"/>
        </w:rPr>
        <w:t>.</w:t>
      </w:r>
    </w:p>
  </w:footnote>
  <w:footnote w:id="7">
    <w:p w14:paraId="2F2CABBD" w14:textId="693B9E81" w:rsidR="000A13D3" w:rsidRPr="007E3C06" w:rsidRDefault="002D16F9" w:rsidP="00F67D9E">
      <w:pPr>
        <w:pStyle w:val="FootnoteText"/>
        <w:ind w:left="0" w:firstLine="0"/>
        <w:rPr>
          <w:lang w:val="es-ES"/>
        </w:rPr>
      </w:pPr>
      <w:r>
        <w:rPr>
          <w:lang w:val="es-ES"/>
        </w:rPr>
        <w:tab/>
      </w:r>
      <w:r w:rsidR="000A13D3" w:rsidRPr="00756603">
        <w:rPr>
          <w:rStyle w:val="FootnoteReference"/>
          <w:vertAlign w:val="baseline"/>
        </w:rPr>
        <w:footnoteRef/>
      </w:r>
      <w:r>
        <w:rPr>
          <w:lang w:val="es-ES"/>
        </w:rPr>
        <w:tab/>
      </w:r>
      <w:r w:rsidR="00756603" w:rsidRPr="007E3C06">
        <w:rPr>
          <w:lang w:val="es-ES"/>
        </w:rPr>
        <w:t>A/7</w:t>
      </w:r>
      <w:r w:rsidR="00AD0D45" w:rsidRPr="007E3C06">
        <w:rPr>
          <w:lang w:val="es-ES"/>
        </w:rPr>
        <w:t>2</w:t>
      </w:r>
      <w:r w:rsidR="00756603" w:rsidRPr="007E3C06">
        <w:rPr>
          <w:lang w:val="es-ES"/>
        </w:rPr>
        <w:t>/55</w:t>
      </w:r>
      <w:r w:rsidR="000D45AC" w:rsidRPr="007E3C06">
        <w:rPr>
          <w:lang w:val="es-ES"/>
        </w:rPr>
        <w:t>, para. 32.</w:t>
      </w:r>
    </w:p>
  </w:footnote>
  <w:footnote w:id="8">
    <w:p w14:paraId="075073F4" w14:textId="2696E38F" w:rsidR="00460870" w:rsidRPr="007E3C06" w:rsidRDefault="002D16F9" w:rsidP="00460870">
      <w:pPr>
        <w:pStyle w:val="FootnoteText"/>
        <w:rPr>
          <w:lang w:val="es-ES"/>
        </w:rPr>
      </w:pPr>
      <w:r>
        <w:rPr>
          <w:lang w:val="es-ES"/>
        </w:rPr>
        <w:tab/>
      </w:r>
      <w:r w:rsidR="00460870" w:rsidRPr="00460870">
        <w:rPr>
          <w:rStyle w:val="FootnoteReference"/>
          <w:vertAlign w:val="baseline"/>
        </w:rPr>
        <w:footnoteRef/>
      </w:r>
      <w:r>
        <w:rPr>
          <w:lang w:val="es-ES"/>
        </w:rPr>
        <w:tab/>
      </w:r>
      <w:r w:rsidR="00460870" w:rsidRPr="007E3C06">
        <w:rPr>
          <w:lang w:val="es-ES"/>
        </w:rPr>
        <w:t>A/76/55, para. 21.</w:t>
      </w:r>
    </w:p>
  </w:footnote>
  <w:footnote w:id="9">
    <w:p w14:paraId="4947C8D8" w14:textId="0397FFDF" w:rsidR="00F67D9E" w:rsidRPr="00505DEF" w:rsidRDefault="002D16F9" w:rsidP="00C163BD">
      <w:pPr>
        <w:pStyle w:val="FootnoteText"/>
        <w:ind w:left="0" w:firstLine="0"/>
        <w:rPr>
          <w:lang w:val="es-ES"/>
        </w:rPr>
      </w:pPr>
      <w:r>
        <w:rPr>
          <w:lang w:val="es-ES"/>
        </w:rPr>
        <w:tab/>
      </w:r>
      <w:r w:rsidR="00F67D9E" w:rsidRPr="00F67D9E">
        <w:rPr>
          <w:rStyle w:val="FootnoteReference"/>
          <w:vertAlign w:val="baseline"/>
        </w:rPr>
        <w:footnoteRef/>
      </w:r>
      <w:r>
        <w:rPr>
          <w:lang w:val="es-ES"/>
        </w:rPr>
        <w:tab/>
      </w:r>
      <w:r w:rsidR="00F67D9E" w:rsidRPr="00505DEF">
        <w:rPr>
          <w:lang w:val="es-ES"/>
        </w:rPr>
        <w:t>A/74/55</w:t>
      </w:r>
      <w:r w:rsidR="000D45AC" w:rsidRPr="00505DEF">
        <w:rPr>
          <w:lang w:val="es-ES"/>
        </w:rPr>
        <w:t>, para. 74.</w:t>
      </w:r>
    </w:p>
  </w:footnote>
  <w:footnote w:id="10">
    <w:p w14:paraId="48F0C069" w14:textId="30A2FFDF" w:rsidR="00480224" w:rsidRPr="00505DEF" w:rsidRDefault="002D16F9" w:rsidP="000D45AC">
      <w:pPr>
        <w:pStyle w:val="FootnoteText"/>
        <w:rPr>
          <w:lang w:val="es-ES"/>
        </w:rPr>
      </w:pPr>
      <w:r>
        <w:rPr>
          <w:lang w:val="es-ES"/>
        </w:rPr>
        <w:tab/>
      </w:r>
      <w:r w:rsidR="00480224" w:rsidRPr="000D45AC">
        <w:rPr>
          <w:rStyle w:val="FootnoteReference"/>
          <w:vertAlign w:val="baseline"/>
        </w:rPr>
        <w:footnoteRef/>
      </w:r>
      <w:r>
        <w:rPr>
          <w:lang w:val="es-ES"/>
        </w:rPr>
        <w:tab/>
      </w:r>
      <w:r w:rsidR="00480224" w:rsidRPr="00505DEF">
        <w:rPr>
          <w:lang w:val="es-ES"/>
        </w:rPr>
        <w:t>A/70/55</w:t>
      </w:r>
      <w:r w:rsidR="000D45AC" w:rsidRPr="00505DEF">
        <w:rPr>
          <w:lang w:val="es-ES"/>
        </w:rPr>
        <w:t>, para. 31.</w:t>
      </w:r>
    </w:p>
  </w:footnote>
  <w:footnote w:id="11">
    <w:p w14:paraId="3E4511C2" w14:textId="4B8B657A" w:rsidR="008C2C75" w:rsidRPr="00505DEF" w:rsidRDefault="002D16F9" w:rsidP="008C2C75">
      <w:pPr>
        <w:pStyle w:val="FootnoteText"/>
        <w:rPr>
          <w:lang w:val="es-ES"/>
        </w:rPr>
      </w:pPr>
      <w:r>
        <w:rPr>
          <w:lang w:val="es-ES"/>
        </w:rPr>
        <w:tab/>
      </w:r>
      <w:r w:rsidR="008C2C75" w:rsidRPr="00C163BD">
        <w:rPr>
          <w:rStyle w:val="FootnoteReference"/>
          <w:vertAlign w:val="baseline"/>
        </w:rPr>
        <w:footnoteRef/>
      </w:r>
      <w:r>
        <w:rPr>
          <w:lang w:val="es-ES"/>
        </w:rPr>
        <w:tab/>
      </w:r>
      <w:r w:rsidR="008C2C75" w:rsidRPr="00505DEF">
        <w:rPr>
          <w:lang w:val="es-ES"/>
        </w:rPr>
        <w:t>A/76/55</w:t>
      </w:r>
      <w:r w:rsidR="000D45AC" w:rsidRPr="00505DEF">
        <w:rPr>
          <w:lang w:val="es-ES"/>
        </w:rPr>
        <w:t>, para. 21.</w:t>
      </w:r>
    </w:p>
  </w:footnote>
  <w:footnote w:id="12">
    <w:p w14:paraId="23926DBB" w14:textId="243383C5" w:rsidR="000D45AC" w:rsidRPr="00505DEF" w:rsidRDefault="002D16F9" w:rsidP="000D45AC">
      <w:pPr>
        <w:pStyle w:val="FootnoteText"/>
        <w:rPr>
          <w:lang w:val="es-ES"/>
        </w:rPr>
      </w:pPr>
      <w:r>
        <w:rPr>
          <w:lang w:val="es-ES"/>
        </w:rPr>
        <w:tab/>
      </w:r>
      <w:r w:rsidR="000D45AC" w:rsidRPr="000D45AC">
        <w:rPr>
          <w:rStyle w:val="FootnoteReference"/>
          <w:vertAlign w:val="baseline"/>
        </w:rPr>
        <w:footnoteRef/>
      </w:r>
      <w:r>
        <w:rPr>
          <w:lang w:val="es-ES"/>
        </w:rPr>
        <w:tab/>
      </w:r>
      <w:r w:rsidR="000D45AC" w:rsidRPr="00505DEF">
        <w:rPr>
          <w:lang w:val="es-ES"/>
        </w:rPr>
        <w:t>CRPD/C/UKR/CO/1, para.14.</w:t>
      </w:r>
    </w:p>
  </w:footnote>
  <w:footnote w:id="13">
    <w:p w14:paraId="4CB501B4" w14:textId="53DDC6D7" w:rsidR="00E45AE3" w:rsidRPr="00505DEF" w:rsidRDefault="002D16F9" w:rsidP="00E45AE3">
      <w:pPr>
        <w:pStyle w:val="FootnoteText"/>
        <w:rPr>
          <w:lang w:val="es-ES"/>
        </w:rPr>
      </w:pPr>
      <w:r>
        <w:rPr>
          <w:lang w:val="es-ES"/>
        </w:rPr>
        <w:tab/>
      </w:r>
      <w:r w:rsidR="00E45AE3" w:rsidRPr="00E45AE3">
        <w:rPr>
          <w:rStyle w:val="FootnoteReference"/>
          <w:vertAlign w:val="baseline"/>
        </w:rPr>
        <w:footnoteRef/>
      </w:r>
      <w:r>
        <w:rPr>
          <w:lang w:val="es-ES"/>
        </w:rPr>
        <w:tab/>
      </w:r>
      <w:proofErr w:type="spellStart"/>
      <w:r w:rsidR="00E45AE3" w:rsidRPr="00505DEF">
        <w:rPr>
          <w:lang w:val="es-ES"/>
        </w:rPr>
        <w:t>Ibid</w:t>
      </w:r>
      <w:proofErr w:type="spellEnd"/>
      <w:r w:rsidR="00E45AE3" w:rsidRPr="00505DEF">
        <w:rPr>
          <w:lang w:val="es-ES"/>
        </w:rPr>
        <w:t>., para. 25.</w:t>
      </w:r>
    </w:p>
  </w:footnote>
  <w:footnote w:id="14">
    <w:p w14:paraId="4E09C385" w14:textId="46F3FD19" w:rsidR="00E45AE3" w:rsidRPr="00505DEF" w:rsidRDefault="002D16F9" w:rsidP="00205986">
      <w:pPr>
        <w:pStyle w:val="FootnoteText"/>
        <w:rPr>
          <w:lang w:val="es-ES"/>
        </w:rPr>
      </w:pPr>
      <w:r>
        <w:rPr>
          <w:lang w:val="es-ES"/>
        </w:rPr>
        <w:tab/>
      </w:r>
      <w:r w:rsidR="00E45AE3" w:rsidRPr="00205986">
        <w:rPr>
          <w:rStyle w:val="FootnoteReference"/>
          <w:vertAlign w:val="baseline"/>
        </w:rPr>
        <w:footnoteRef/>
      </w:r>
      <w:r>
        <w:rPr>
          <w:lang w:val="es-ES"/>
        </w:rPr>
        <w:tab/>
      </w:r>
      <w:r w:rsidR="00E45AE3" w:rsidRPr="00505DEF">
        <w:rPr>
          <w:lang w:val="es-ES"/>
        </w:rPr>
        <w:t>CRPD/C/KEN/CO/1, para.22 (c).</w:t>
      </w:r>
    </w:p>
  </w:footnote>
  <w:footnote w:id="15">
    <w:p w14:paraId="4EE486BD" w14:textId="4B7B8FD7" w:rsidR="00205986" w:rsidRPr="007E3C06" w:rsidRDefault="002D16F9" w:rsidP="00205986">
      <w:pPr>
        <w:pStyle w:val="FootnoteText"/>
      </w:pPr>
      <w:r>
        <w:tab/>
      </w:r>
      <w:r w:rsidR="00205986" w:rsidRPr="00205986">
        <w:rPr>
          <w:rStyle w:val="FootnoteReference"/>
          <w:vertAlign w:val="baseline"/>
        </w:rPr>
        <w:footnoteRef/>
      </w:r>
      <w:r>
        <w:tab/>
      </w:r>
      <w:r w:rsidR="00205986" w:rsidRPr="007E3C06">
        <w:t>CRPD/C/UKR/CO/1, para</w:t>
      </w:r>
      <w:r w:rsidR="00065315" w:rsidRPr="007E3C06">
        <w:t>s</w:t>
      </w:r>
      <w:r w:rsidR="00205986" w:rsidRPr="007E3C06">
        <w:t>.14, 37.</w:t>
      </w:r>
    </w:p>
  </w:footnote>
  <w:footnote w:id="16">
    <w:p w14:paraId="5333AC8A" w14:textId="0087F825" w:rsidR="00FE2952" w:rsidRPr="00892F17" w:rsidRDefault="002D16F9" w:rsidP="00892F17">
      <w:pPr>
        <w:pStyle w:val="FootnoteText"/>
      </w:pPr>
      <w:r>
        <w:tab/>
      </w:r>
      <w:r w:rsidR="00FE2952" w:rsidRPr="00892F17">
        <w:rPr>
          <w:rStyle w:val="FootnoteReference"/>
          <w:vertAlign w:val="baseline"/>
        </w:rPr>
        <w:footnoteRef/>
      </w:r>
      <w:r>
        <w:tab/>
      </w:r>
      <w:r w:rsidR="00FE2952" w:rsidRPr="00892F17">
        <w:t>E/CN.4/1998/53/Add.2</w:t>
      </w:r>
    </w:p>
  </w:footnote>
  <w:footnote w:id="17">
    <w:p w14:paraId="51011E9D" w14:textId="3EBE47F3" w:rsidR="00BF0640" w:rsidRPr="00DE7C45" w:rsidRDefault="002D16F9" w:rsidP="00DE7C45">
      <w:pPr>
        <w:pStyle w:val="FootnoteText"/>
        <w:ind w:left="0" w:firstLine="0"/>
      </w:pPr>
      <w:r>
        <w:tab/>
      </w:r>
      <w:r w:rsidR="00BF0640" w:rsidRPr="00DE7C45">
        <w:rPr>
          <w:rStyle w:val="FootnoteReference"/>
          <w:vertAlign w:val="baseline"/>
        </w:rPr>
        <w:footnoteRef/>
      </w:r>
      <w:r>
        <w:tab/>
      </w:r>
      <w:r w:rsidR="00BF0640" w:rsidRPr="00DE7C45">
        <w:t xml:space="preserve">OHCHR, The situation of human rights in Ukraine in the context of the armed attack by the </w:t>
      </w:r>
      <w:r>
        <w:tab/>
      </w:r>
      <w:r>
        <w:tab/>
      </w:r>
      <w:r w:rsidR="00BF0640" w:rsidRPr="00DE7C45">
        <w:t>Russian Federation, 24 February to 15 May 2022, para</w:t>
      </w:r>
      <w:r w:rsidR="00DE7C45" w:rsidRPr="00DE7C45">
        <w:t>. 69</w:t>
      </w:r>
      <w:r w:rsidR="007F1FD2">
        <w:t>.</w:t>
      </w:r>
    </w:p>
  </w:footnote>
  <w:footnote w:id="18">
    <w:p w14:paraId="32DAB711" w14:textId="42E252B6" w:rsidR="00C045FD" w:rsidRPr="00C045FD" w:rsidRDefault="002D16F9" w:rsidP="00C045FD">
      <w:pPr>
        <w:pStyle w:val="FootnoteText"/>
      </w:pPr>
      <w:r>
        <w:tab/>
      </w:r>
      <w:r w:rsidR="00C045FD" w:rsidRPr="00C045FD">
        <w:rPr>
          <w:rStyle w:val="FootnoteReference"/>
          <w:vertAlign w:val="baseline"/>
        </w:rPr>
        <w:footnoteRef/>
      </w:r>
      <w:r>
        <w:tab/>
      </w:r>
      <w:r w:rsidR="00C045FD" w:rsidRPr="00C045FD">
        <w:t>Ibid., para. 37</w:t>
      </w:r>
      <w:r w:rsidR="007F1FD2">
        <w:t>.</w:t>
      </w:r>
    </w:p>
  </w:footnote>
  <w:footnote w:id="19">
    <w:p w14:paraId="5EC851C8" w14:textId="2DE7A1E2" w:rsidR="007D5F4C" w:rsidRDefault="002D16F9" w:rsidP="00DC03A7">
      <w:pPr>
        <w:pStyle w:val="FootnoteText"/>
      </w:pPr>
      <w:r>
        <w:tab/>
      </w:r>
      <w:r w:rsidR="007D5F4C" w:rsidRPr="00DC03A7">
        <w:rPr>
          <w:rStyle w:val="FootnoteReference"/>
          <w:vertAlign w:val="baseline"/>
        </w:rPr>
        <w:footnoteRef/>
      </w:r>
      <w:r>
        <w:tab/>
      </w:r>
      <w:r w:rsidR="00DC03A7" w:rsidRPr="00DC03A7">
        <w:t>UN Women Report “Rapid Gender Analysis of Ukraine” of 4 May 2022</w:t>
      </w:r>
      <w:r w:rsidR="007F1FD2">
        <w:t>.</w:t>
      </w:r>
    </w:p>
  </w:footnote>
  <w:footnote w:id="20">
    <w:p w14:paraId="50C004D0" w14:textId="3B8F6709" w:rsidR="004B6AE5" w:rsidRPr="002910EC" w:rsidRDefault="002D16F9" w:rsidP="002910EC">
      <w:pPr>
        <w:pStyle w:val="FootnoteText"/>
      </w:pPr>
      <w:r>
        <w:tab/>
      </w:r>
      <w:r w:rsidR="004B6AE5" w:rsidRPr="002910EC">
        <w:rPr>
          <w:rStyle w:val="FootnoteReference"/>
          <w:vertAlign w:val="baseline"/>
        </w:rPr>
        <w:footnoteRef/>
      </w:r>
      <w:r>
        <w:tab/>
      </w:r>
      <w:r w:rsidR="00DC03A7" w:rsidRPr="002910EC">
        <w:t>Ibid.</w:t>
      </w:r>
    </w:p>
  </w:footnote>
  <w:footnote w:id="21">
    <w:p w14:paraId="52386E21" w14:textId="3F8DF495" w:rsidR="00AB233C" w:rsidRDefault="002D16F9" w:rsidP="00AB233C">
      <w:pPr>
        <w:pStyle w:val="FootnoteText"/>
        <w:ind w:left="0" w:firstLine="0"/>
      </w:pPr>
      <w:r>
        <w:tab/>
      </w:r>
      <w:r w:rsidR="00AB233C" w:rsidRPr="007E099A">
        <w:rPr>
          <w:rStyle w:val="FootnoteReference"/>
          <w:vertAlign w:val="baseline"/>
        </w:rPr>
        <w:footnoteRef/>
      </w:r>
      <w:r>
        <w:tab/>
      </w:r>
      <w:r w:rsidR="00AB233C" w:rsidRPr="007E099A">
        <w:t>WHO, Emergency in Ukraine: external situation report #19, 11 August 2022</w:t>
      </w:r>
    </w:p>
  </w:footnote>
  <w:footnote w:id="22">
    <w:p w14:paraId="1676EEB5" w14:textId="1A9BA069" w:rsidR="00645223" w:rsidRDefault="002D16F9">
      <w:pPr>
        <w:pStyle w:val="FootnoteText"/>
      </w:pPr>
      <w:r>
        <w:tab/>
      </w:r>
      <w:r w:rsidR="00645223" w:rsidRPr="00645223">
        <w:rPr>
          <w:rStyle w:val="FootnoteReference"/>
          <w:vertAlign w:val="baseline"/>
        </w:rPr>
        <w:footnoteRef/>
      </w:r>
      <w:r>
        <w:tab/>
      </w:r>
      <w:r w:rsidR="00645223" w:rsidRPr="00645223">
        <w:t xml:space="preserve">UN General Assembly, Res. 2675 (XXV) </w:t>
      </w:r>
    </w:p>
  </w:footnote>
  <w:footnote w:id="23">
    <w:p w14:paraId="519B2DE7" w14:textId="3B6C960F" w:rsidR="00AD1AD8" w:rsidRPr="00892F17" w:rsidRDefault="002D16F9" w:rsidP="00892F17">
      <w:pPr>
        <w:pStyle w:val="FootnoteText"/>
      </w:pPr>
      <w:r>
        <w:tab/>
      </w:r>
      <w:bookmarkStart w:id="1" w:name="_GoBack"/>
      <w:bookmarkEnd w:id="1"/>
      <w:r w:rsidR="00AD1AD8" w:rsidRPr="00892F17">
        <w:rPr>
          <w:rStyle w:val="FootnoteReference"/>
          <w:vertAlign w:val="baseline"/>
        </w:rPr>
        <w:footnoteRef/>
      </w:r>
      <w:r>
        <w:tab/>
      </w:r>
      <w:r w:rsidR="00AD1AD8" w:rsidRPr="00892F17">
        <w:t>www.ohchr.org/en/statements/2022/04/ukraine-27-million-people-disabilities-risk-un-committee-warns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A"/>
    <w:rsid w:val="00013C81"/>
    <w:rsid w:val="00016D48"/>
    <w:rsid w:val="000240D1"/>
    <w:rsid w:val="000260FC"/>
    <w:rsid w:val="000268CC"/>
    <w:rsid w:val="00044860"/>
    <w:rsid w:val="0004496A"/>
    <w:rsid w:val="00047479"/>
    <w:rsid w:val="00051957"/>
    <w:rsid w:val="00060654"/>
    <w:rsid w:val="0006271D"/>
    <w:rsid w:val="00065315"/>
    <w:rsid w:val="00065318"/>
    <w:rsid w:val="000676CE"/>
    <w:rsid w:val="0008540C"/>
    <w:rsid w:val="000A13D3"/>
    <w:rsid w:val="000A1D6C"/>
    <w:rsid w:val="000D1224"/>
    <w:rsid w:val="000D45AC"/>
    <w:rsid w:val="000F3CBA"/>
    <w:rsid w:val="00101A30"/>
    <w:rsid w:val="0011445D"/>
    <w:rsid w:val="00140EFD"/>
    <w:rsid w:val="00141520"/>
    <w:rsid w:val="00146CCB"/>
    <w:rsid w:val="00153AB4"/>
    <w:rsid w:val="00166E0C"/>
    <w:rsid w:val="001760E5"/>
    <w:rsid w:val="00180623"/>
    <w:rsid w:val="0018459F"/>
    <w:rsid w:val="00184E03"/>
    <w:rsid w:val="00187DD3"/>
    <w:rsid w:val="001A3377"/>
    <w:rsid w:val="001B3FD3"/>
    <w:rsid w:val="001B5126"/>
    <w:rsid w:val="001C0BCC"/>
    <w:rsid w:val="001D1699"/>
    <w:rsid w:val="001F0489"/>
    <w:rsid w:val="001F5F6B"/>
    <w:rsid w:val="00205986"/>
    <w:rsid w:val="00205F2C"/>
    <w:rsid w:val="00206F09"/>
    <w:rsid w:val="00223CF9"/>
    <w:rsid w:val="00224804"/>
    <w:rsid w:val="00226547"/>
    <w:rsid w:val="002402A9"/>
    <w:rsid w:val="0025348C"/>
    <w:rsid w:val="00257FF3"/>
    <w:rsid w:val="0026127F"/>
    <w:rsid w:val="002639DA"/>
    <w:rsid w:val="002664B6"/>
    <w:rsid w:val="002711C6"/>
    <w:rsid w:val="002712AD"/>
    <w:rsid w:val="002727C6"/>
    <w:rsid w:val="00276848"/>
    <w:rsid w:val="002805A4"/>
    <w:rsid w:val="002910EC"/>
    <w:rsid w:val="002B08E2"/>
    <w:rsid w:val="002C20CF"/>
    <w:rsid w:val="002C258D"/>
    <w:rsid w:val="002C2AE8"/>
    <w:rsid w:val="002C396D"/>
    <w:rsid w:val="002D16F9"/>
    <w:rsid w:val="002D3D0F"/>
    <w:rsid w:val="003016D0"/>
    <w:rsid w:val="00313404"/>
    <w:rsid w:val="0031704D"/>
    <w:rsid w:val="00341E09"/>
    <w:rsid w:val="00341F08"/>
    <w:rsid w:val="00356AE0"/>
    <w:rsid w:val="003779D0"/>
    <w:rsid w:val="00382465"/>
    <w:rsid w:val="00386263"/>
    <w:rsid w:val="0039193A"/>
    <w:rsid w:val="003B117D"/>
    <w:rsid w:val="003B3745"/>
    <w:rsid w:val="003C3051"/>
    <w:rsid w:val="003C306D"/>
    <w:rsid w:val="003C3A8C"/>
    <w:rsid w:val="003C72A3"/>
    <w:rsid w:val="003D5FD2"/>
    <w:rsid w:val="003F2C5A"/>
    <w:rsid w:val="004212D1"/>
    <w:rsid w:val="00437056"/>
    <w:rsid w:val="00454E31"/>
    <w:rsid w:val="00460870"/>
    <w:rsid w:val="00466AEE"/>
    <w:rsid w:val="00480224"/>
    <w:rsid w:val="00481320"/>
    <w:rsid w:val="00486FD8"/>
    <w:rsid w:val="0049106E"/>
    <w:rsid w:val="004959D8"/>
    <w:rsid w:val="00496BC3"/>
    <w:rsid w:val="004972B2"/>
    <w:rsid w:val="004A1B2D"/>
    <w:rsid w:val="004A50FA"/>
    <w:rsid w:val="004B3387"/>
    <w:rsid w:val="004B3AAE"/>
    <w:rsid w:val="004B6AE5"/>
    <w:rsid w:val="004C6046"/>
    <w:rsid w:val="004D0750"/>
    <w:rsid w:val="004E23AF"/>
    <w:rsid w:val="004E5915"/>
    <w:rsid w:val="004F299C"/>
    <w:rsid w:val="004F3046"/>
    <w:rsid w:val="004F62CC"/>
    <w:rsid w:val="0050137D"/>
    <w:rsid w:val="00505DEF"/>
    <w:rsid w:val="005066FF"/>
    <w:rsid w:val="00506898"/>
    <w:rsid w:val="00522038"/>
    <w:rsid w:val="0054295B"/>
    <w:rsid w:val="00560380"/>
    <w:rsid w:val="00562363"/>
    <w:rsid w:val="00566A97"/>
    <w:rsid w:val="0057009D"/>
    <w:rsid w:val="005727A7"/>
    <w:rsid w:val="005754FC"/>
    <w:rsid w:val="005820F2"/>
    <w:rsid w:val="005837A3"/>
    <w:rsid w:val="005A12F6"/>
    <w:rsid w:val="005A5577"/>
    <w:rsid w:val="005B3DF7"/>
    <w:rsid w:val="005B3E13"/>
    <w:rsid w:val="005B7D97"/>
    <w:rsid w:val="005C7064"/>
    <w:rsid w:val="005D4140"/>
    <w:rsid w:val="005F7F3D"/>
    <w:rsid w:val="00607D32"/>
    <w:rsid w:val="00610374"/>
    <w:rsid w:val="006210A5"/>
    <w:rsid w:val="00633596"/>
    <w:rsid w:val="006419A7"/>
    <w:rsid w:val="006424F5"/>
    <w:rsid w:val="00645223"/>
    <w:rsid w:val="00653BBF"/>
    <w:rsid w:val="00664666"/>
    <w:rsid w:val="006659D5"/>
    <w:rsid w:val="00675271"/>
    <w:rsid w:val="0068022F"/>
    <w:rsid w:val="00680748"/>
    <w:rsid w:val="00681852"/>
    <w:rsid w:val="00684D5F"/>
    <w:rsid w:val="00690D57"/>
    <w:rsid w:val="00696DAB"/>
    <w:rsid w:val="006A7792"/>
    <w:rsid w:val="006C63BC"/>
    <w:rsid w:val="006D2E39"/>
    <w:rsid w:val="006D6281"/>
    <w:rsid w:val="006E4E24"/>
    <w:rsid w:val="00701E3D"/>
    <w:rsid w:val="007109AE"/>
    <w:rsid w:val="00722998"/>
    <w:rsid w:val="00722DD8"/>
    <w:rsid w:val="00723CFB"/>
    <w:rsid w:val="007355F1"/>
    <w:rsid w:val="0074128F"/>
    <w:rsid w:val="00742D70"/>
    <w:rsid w:val="00755BFC"/>
    <w:rsid w:val="00756603"/>
    <w:rsid w:val="0076541E"/>
    <w:rsid w:val="00765964"/>
    <w:rsid w:val="007821AA"/>
    <w:rsid w:val="007859B1"/>
    <w:rsid w:val="007932AD"/>
    <w:rsid w:val="007A136F"/>
    <w:rsid w:val="007A4BBF"/>
    <w:rsid w:val="007A7D73"/>
    <w:rsid w:val="007B4D53"/>
    <w:rsid w:val="007B6714"/>
    <w:rsid w:val="007C329F"/>
    <w:rsid w:val="007D2528"/>
    <w:rsid w:val="007D5F4C"/>
    <w:rsid w:val="007E099A"/>
    <w:rsid w:val="007E3C06"/>
    <w:rsid w:val="007F08BB"/>
    <w:rsid w:val="007F1FD2"/>
    <w:rsid w:val="007F4A80"/>
    <w:rsid w:val="007F5CC9"/>
    <w:rsid w:val="007F624F"/>
    <w:rsid w:val="00806BC7"/>
    <w:rsid w:val="008214C9"/>
    <w:rsid w:val="008224A8"/>
    <w:rsid w:val="00827BB1"/>
    <w:rsid w:val="008410F6"/>
    <w:rsid w:val="00843BA2"/>
    <w:rsid w:val="0085469D"/>
    <w:rsid w:val="008676A2"/>
    <w:rsid w:val="00870C93"/>
    <w:rsid w:val="0088546D"/>
    <w:rsid w:val="008925E1"/>
    <w:rsid w:val="00892F17"/>
    <w:rsid w:val="00896A35"/>
    <w:rsid w:val="008A59C0"/>
    <w:rsid w:val="008B31B4"/>
    <w:rsid w:val="008C0123"/>
    <w:rsid w:val="008C2447"/>
    <w:rsid w:val="008C2C75"/>
    <w:rsid w:val="008C66E1"/>
    <w:rsid w:val="008D27DB"/>
    <w:rsid w:val="008F0AC2"/>
    <w:rsid w:val="008F7337"/>
    <w:rsid w:val="00902F0B"/>
    <w:rsid w:val="00916846"/>
    <w:rsid w:val="00927358"/>
    <w:rsid w:val="00944BCA"/>
    <w:rsid w:val="009461A4"/>
    <w:rsid w:val="00947740"/>
    <w:rsid w:val="009539F0"/>
    <w:rsid w:val="009563C4"/>
    <w:rsid w:val="009577EA"/>
    <w:rsid w:val="009847B4"/>
    <w:rsid w:val="009A3CA1"/>
    <w:rsid w:val="009B14CA"/>
    <w:rsid w:val="009C2F57"/>
    <w:rsid w:val="009C6119"/>
    <w:rsid w:val="009D2DCC"/>
    <w:rsid w:val="009E6817"/>
    <w:rsid w:val="009F18AB"/>
    <w:rsid w:val="009F7B6D"/>
    <w:rsid w:val="00A13E8E"/>
    <w:rsid w:val="00A20078"/>
    <w:rsid w:val="00A24C75"/>
    <w:rsid w:val="00A25C87"/>
    <w:rsid w:val="00A41C6E"/>
    <w:rsid w:val="00A426F0"/>
    <w:rsid w:val="00A4297D"/>
    <w:rsid w:val="00A472B5"/>
    <w:rsid w:val="00A56BF0"/>
    <w:rsid w:val="00A61747"/>
    <w:rsid w:val="00A648F3"/>
    <w:rsid w:val="00A80E79"/>
    <w:rsid w:val="00A82BF7"/>
    <w:rsid w:val="00A84C9A"/>
    <w:rsid w:val="00A84CF8"/>
    <w:rsid w:val="00A8744A"/>
    <w:rsid w:val="00A94A84"/>
    <w:rsid w:val="00AA60D6"/>
    <w:rsid w:val="00AA6551"/>
    <w:rsid w:val="00AA7CB0"/>
    <w:rsid w:val="00AB1941"/>
    <w:rsid w:val="00AB233C"/>
    <w:rsid w:val="00AC09E0"/>
    <w:rsid w:val="00AC27B5"/>
    <w:rsid w:val="00AD0D45"/>
    <w:rsid w:val="00AD1AD8"/>
    <w:rsid w:val="00AD2978"/>
    <w:rsid w:val="00AD2B57"/>
    <w:rsid w:val="00AF179C"/>
    <w:rsid w:val="00AF42F2"/>
    <w:rsid w:val="00B022D1"/>
    <w:rsid w:val="00B04528"/>
    <w:rsid w:val="00B204D1"/>
    <w:rsid w:val="00B22557"/>
    <w:rsid w:val="00B40114"/>
    <w:rsid w:val="00B51367"/>
    <w:rsid w:val="00B56712"/>
    <w:rsid w:val="00B56843"/>
    <w:rsid w:val="00B864C6"/>
    <w:rsid w:val="00BA1063"/>
    <w:rsid w:val="00BB5B72"/>
    <w:rsid w:val="00BC02DA"/>
    <w:rsid w:val="00BD3919"/>
    <w:rsid w:val="00BE1EC5"/>
    <w:rsid w:val="00BE3D97"/>
    <w:rsid w:val="00BE44AD"/>
    <w:rsid w:val="00BF0640"/>
    <w:rsid w:val="00BF3F19"/>
    <w:rsid w:val="00BF4BF2"/>
    <w:rsid w:val="00C045FD"/>
    <w:rsid w:val="00C135C9"/>
    <w:rsid w:val="00C163BD"/>
    <w:rsid w:val="00C20209"/>
    <w:rsid w:val="00C20761"/>
    <w:rsid w:val="00C31710"/>
    <w:rsid w:val="00C44D90"/>
    <w:rsid w:val="00C4627C"/>
    <w:rsid w:val="00C54EDD"/>
    <w:rsid w:val="00C5651A"/>
    <w:rsid w:val="00C579B6"/>
    <w:rsid w:val="00C63CFF"/>
    <w:rsid w:val="00C80174"/>
    <w:rsid w:val="00C80CA3"/>
    <w:rsid w:val="00CB5907"/>
    <w:rsid w:val="00CB6BBE"/>
    <w:rsid w:val="00CD31DF"/>
    <w:rsid w:val="00CD7FF5"/>
    <w:rsid w:val="00CE162B"/>
    <w:rsid w:val="00CE593C"/>
    <w:rsid w:val="00CE6901"/>
    <w:rsid w:val="00CF13C7"/>
    <w:rsid w:val="00CF5EAB"/>
    <w:rsid w:val="00D01872"/>
    <w:rsid w:val="00D04788"/>
    <w:rsid w:val="00D04B27"/>
    <w:rsid w:val="00D154E2"/>
    <w:rsid w:val="00D34279"/>
    <w:rsid w:val="00D41493"/>
    <w:rsid w:val="00D4496D"/>
    <w:rsid w:val="00D96400"/>
    <w:rsid w:val="00DA04F2"/>
    <w:rsid w:val="00DA6D21"/>
    <w:rsid w:val="00DC03A7"/>
    <w:rsid w:val="00DC3094"/>
    <w:rsid w:val="00DC3C97"/>
    <w:rsid w:val="00DE51C4"/>
    <w:rsid w:val="00DE7C45"/>
    <w:rsid w:val="00DF7030"/>
    <w:rsid w:val="00E03935"/>
    <w:rsid w:val="00E06A20"/>
    <w:rsid w:val="00E172C7"/>
    <w:rsid w:val="00E21F08"/>
    <w:rsid w:val="00E240EF"/>
    <w:rsid w:val="00E26CDE"/>
    <w:rsid w:val="00E43C93"/>
    <w:rsid w:val="00E45AE3"/>
    <w:rsid w:val="00E60B15"/>
    <w:rsid w:val="00E61002"/>
    <w:rsid w:val="00E740AF"/>
    <w:rsid w:val="00E75E2F"/>
    <w:rsid w:val="00E85DA7"/>
    <w:rsid w:val="00E934DB"/>
    <w:rsid w:val="00EB22CE"/>
    <w:rsid w:val="00EC0ED2"/>
    <w:rsid w:val="00ED015E"/>
    <w:rsid w:val="00ED5E08"/>
    <w:rsid w:val="00EF61B4"/>
    <w:rsid w:val="00F05FBB"/>
    <w:rsid w:val="00F07FA8"/>
    <w:rsid w:val="00F30846"/>
    <w:rsid w:val="00F40F70"/>
    <w:rsid w:val="00F41C27"/>
    <w:rsid w:val="00F44AE8"/>
    <w:rsid w:val="00F46630"/>
    <w:rsid w:val="00F66F60"/>
    <w:rsid w:val="00F67D9E"/>
    <w:rsid w:val="00F722BE"/>
    <w:rsid w:val="00F85EB3"/>
    <w:rsid w:val="00F93ACA"/>
    <w:rsid w:val="00F95F97"/>
    <w:rsid w:val="00F97867"/>
    <w:rsid w:val="00FA0167"/>
    <w:rsid w:val="00FB2A16"/>
    <w:rsid w:val="00FC33B0"/>
    <w:rsid w:val="00FE2952"/>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96F1"/>
  <w15:chartTrackingRefBased/>
  <w15:docId w15:val="{F79EEB39-B3D2-1A44-A7FC-5DF05D98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2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12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A8744A"/>
    <w:pPr>
      <w:keepNext/>
      <w:keepLines/>
      <w:tabs>
        <w:tab w:val="right" w:pos="851"/>
      </w:tabs>
      <w:suppressAutoHyphens/>
      <w:spacing w:before="360" w:after="240" w:line="300" w:lineRule="exact"/>
      <w:ind w:left="1134" w:right="1134" w:hanging="1134"/>
      <w:outlineLvl w:val="1"/>
    </w:pPr>
    <w:rPr>
      <w:rFonts w:ascii="Times New Roman" w:eastAsia="SimSun" w:hAnsi="Times New Roman" w:cs="Times New Roman"/>
      <w:b/>
      <w:sz w:val="28"/>
      <w:szCs w:val="20"/>
      <w:lang w:eastAsia="zh-CN"/>
    </w:rPr>
  </w:style>
  <w:style w:type="paragraph" w:customStyle="1" w:styleId="SingleTxtG">
    <w:name w:val="_ Single Txt_G"/>
    <w:basedOn w:val="Normal"/>
    <w:link w:val="SingleTxtGChar"/>
    <w:rsid w:val="00A8744A"/>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eastAsia="zh-CN"/>
    </w:rPr>
  </w:style>
  <w:style w:type="paragraph" w:styleId="FootnoteText">
    <w:name w:val="footnote text"/>
    <w:aliases w:val="5_G"/>
    <w:basedOn w:val="Normal"/>
    <w:link w:val="FootnoteTextChar"/>
    <w:rsid w:val="00A8744A"/>
    <w:pPr>
      <w:tabs>
        <w:tab w:val="right" w:pos="1021"/>
        <w:tab w:val="left" w:pos="1134"/>
        <w:tab w:val="left" w:pos="1701"/>
        <w:tab w:val="left" w:pos="2268"/>
      </w:tabs>
      <w:suppressAutoHyphens/>
      <w:spacing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A8744A"/>
    <w:rPr>
      <w:rFonts w:ascii="Times New Roman" w:eastAsia="SimSun" w:hAnsi="Times New Roman" w:cs="Times New Roman"/>
      <w:sz w:val="18"/>
      <w:szCs w:val="20"/>
      <w:lang w:val="en-GB" w:eastAsia="zh-CN"/>
    </w:rPr>
  </w:style>
  <w:style w:type="character" w:styleId="FootnoteReference">
    <w:name w:val="footnote reference"/>
    <w:aliases w:val="4_G"/>
    <w:rsid w:val="00A8744A"/>
    <w:rPr>
      <w:rFonts w:ascii="Times New Roman" w:hAnsi="Times New Roman"/>
      <w:sz w:val="18"/>
      <w:vertAlign w:val="superscript"/>
    </w:rPr>
  </w:style>
  <w:style w:type="character" w:customStyle="1" w:styleId="SingleTxtGChar">
    <w:name w:val="_ Single Txt_G Char"/>
    <w:basedOn w:val="DefaultParagraphFont"/>
    <w:link w:val="SingleTxtG"/>
    <w:rsid w:val="00A8744A"/>
    <w:rPr>
      <w:rFonts w:ascii="Times New Roman" w:eastAsia="SimSun" w:hAnsi="Times New Roman" w:cs="Times New Roman"/>
      <w:sz w:val="20"/>
      <w:szCs w:val="20"/>
      <w:lang w:val="en-GB" w:eastAsia="zh-CN"/>
    </w:rPr>
  </w:style>
  <w:style w:type="character" w:styleId="Hyperlink">
    <w:name w:val="Hyperlink"/>
    <w:basedOn w:val="DefaultParagraphFont"/>
    <w:rsid w:val="00A8744A"/>
    <w:rPr>
      <w:color w:val="0563C1" w:themeColor="hyperlink"/>
      <w:u w:val="none"/>
    </w:rPr>
  </w:style>
  <w:style w:type="character" w:styleId="CommentReference">
    <w:name w:val="annotation reference"/>
    <w:basedOn w:val="DefaultParagraphFont"/>
    <w:uiPriority w:val="99"/>
    <w:semiHidden/>
    <w:unhideWhenUsed/>
    <w:rsid w:val="0006271D"/>
    <w:rPr>
      <w:sz w:val="16"/>
      <w:szCs w:val="16"/>
    </w:rPr>
  </w:style>
  <w:style w:type="paragraph" w:styleId="CommentText">
    <w:name w:val="annotation text"/>
    <w:basedOn w:val="Normal"/>
    <w:link w:val="CommentTextChar"/>
    <w:uiPriority w:val="99"/>
    <w:unhideWhenUsed/>
    <w:rsid w:val="0006271D"/>
    <w:rPr>
      <w:sz w:val="20"/>
      <w:szCs w:val="20"/>
    </w:rPr>
  </w:style>
  <w:style w:type="character" w:customStyle="1" w:styleId="CommentTextChar">
    <w:name w:val="Comment Text Char"/>
    <w:basedOn w:val="DefaultParagraphFont"/>
    <w:link w:val="CommentText"/>
    <w:uiPriority w:val="99"/>
    <w:rsid w:val="0006271D"/>
    <w:rPr>
      <w:sz w:val="20"/>
      <w:szCs w:val="20"/>
    </w:rPr>
  </w:style>
  <w:style w:type="paragraph" w:styleId="CommentSubject">
    <w:name w:val="annotation subject"/>
    <w:basedOn w:val="CommentText"/>
    <w:next w:val="CommentText"/>
    <w:link w:val="CommentSubjectChar"/>
    <w:uiPriority w:val="99"/>
    <w:semiHidden/>
    <w:unhideWhenUsed/>
    <w:rsid w:val="0006271D"/>
    <w:rPr>
      <w:b/>
      <w:bCs/>
    </w:rPr>
  </w:style>
  <w:style w:type="character" w:customStyle="1" w:styleId="CommentSubjectChar">
    <w:name w:val="Comment Subject Char"/>
    <w:basedOn w:val="CommentTextChar"/>
    <w:link w:val="CommentSubject"/>
    <w:uiPriority w:val="99"/>
    <w:semiHidden/>
    <w:rsid w:val="0006271D"/>
    <w:rPr>
      <w:b/>
      <w:bCs/>
      <w:sz w:val="20"/>
      <w:szCs w:val="20"/>
    </w:rPr>
  </w:style>
  <w:style w:type="character" w:customStyle="1" w:styleId="UnresolvedMention1">
    <w:name w:val="Unresolved Mention1"/>
    <w:basedOn w:val="DefaultParagraphFont"/>
    <w:uiPriority w:val="99"/>
    <w:semiHidden/>
    <w:unhideWhenUsed/>
    <w:rsid w:val="00BF3F19"/>
    <w:rPr>
      <w:color w:val="605E5C"/>
      <w:shd w:val="clear" w:color="auto" w:fill="E1DFDD"/>
    </w:rPr>
  </w:style>
  <w:style w:type="character" w:customStyle="1" w:styleId="Heading1Char">
    <w:name w:val="Heading 1 Char"/>
    <w:basedOn w:val="DefaultParagraphFont"/>
    <w:link w:val="Heading1"/>
    <w:uiPriority w:val="9"/>
    <w:rsid w:val="005A12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12F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30846"/>
  </w:style>
  <w:style w:type="paragraph" w:styleId="BalloonText">
    <w:name w:val="Balloon Text"/>
    <w:basedOn w:val="Normal"/>
    <w:link w:val="BalloonTextChar"/>
    <w:uiPriority w:val="99"/>
    <w:semiHidden/>
    <w:unhideWhenUsed/>
    <w:rsid w:val="00633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61">
      <w:bodyDiv w:val="1"/>
      <w:marLeft w:val="0"/>
      <w:marRight w:val="0"/>
      <w:marTop w:val="0"/>
      <w:marBottom w:val="0"/>
      <w:divBdr>
        <w:top w:val="none" w:sz="0" w:space="0" w:color="auto"/>
        <w:left w:val="none" w:sz="0" w:space="0" w:color="auto"/>
        <w:bottom w:val="none" w:sz="0" w:space="0" w:color="auto"/>
        <w:right w:val="none" w:sz="0" w:space="0" w:color="auto"/>
      </w:divBdr>
    </w:div>
    <w:div w:id="102649049">
      <w:bodyDiv w:val="1"/>
      <w:marLeft w:val="0"/>
      <w:marRight w:val="0"/>
      <w:marTop w:val="0"/>
      <w:marBottom w:val="0"/>
      <w:divBdr>
        <w:top w:val="none" w:sz="0" w:space="0" w:color="auto"/>
        <w:left w:val="none" w:sz="0" w:space="0" w:color="auto"/>
        <w:bottom w:val="none" w:sz="0" w:space="0" w:color="auto"/>
        <w:right w:val="none" w:sz="0" w:space="0" w:color="auto"/>
      </w:divBdr>
    </w:div>
    <w:div w:id="115802840">
      <w:bodyDiv w:val="1"/>
      <w:marLeft w:val="0"/>
      <w:marRight w:val="0"/>
      <w:marTop w:val="0"/>
      <w:marBottom w:val="0"/>
      <w:divBdr>
        <w:top w:val="none" w:sz="0" w:space="0" w:color="auto"/>
        <w:left w:val="none" w:sz="0" w:space="0" w:color="auto"/>
        <w:bottom w:val="none" w:sz="0" w:space="0" w:color="auto"/>
        <w:right w:val="none" w:sz="0" w:space="0" w:color="auto"/>
      </w:divBdr>
    </w:div>
    <w:div w:id="128133334">
      <w:bodyDiv w:val="1"/>
      <w:marLeft w:val="0"/>
      <w:marRight w:val="0"/>
      <w:marTop w:val="0"/>
      <w:marBottom w:val="0"/>
      <w:divBdr>
        <w:top w:val="none" w:sz="0" w:space="0" w:color="auto"/>
        <w:left w:val="none" w:sz="0" w:space="0" w:color="auto"/>
        <w:bottom w:val="none" w:sz="0" w:space="0" w:color="auto"/>
        <w:right w:val="none" w:sz="0" w:space="0" w:color="auto"/>
      </w:divBdr>
    </w:div>
    <w:div w:id="163593701">
      <w:bodyDiv w:val="1"/>
      <w:marLeft w:val="0"/>
      <w:marRight w:val="0"/>
      <w:marTop w:val="0"/>
      <w:marBottom w:val="0"/>
      <w:divBdr>
        <w:top w:val="none" w:sz="0" w:space="0" w:color="auto"/>
        <w:left w:val="none" w:sz="0" w:space="0" w:color="auto"/>
        <w:bottom w:val="none" w:sz="0" w:space="0" w:color="auto"/>
        <w:right w:val="none" w:sz="0" w:space="0" w:color="auto"/>
      </w:divBdr>
    </w:div>
    <w:div w:id="211699351">
      <w:bodyDiv w:val="1"/>
      <w:marLeft w:val="0"/>
      <w:marRight w:val="0"/>
      <w:marTop w:val="0"/>
      <w:marBottom w:val="0"/>
      <w:divBdr>
        <w:top w:val="none" w:sz="0" w:space="0" w:color="auto"/>
        <w:left w:val="none" w:sz="0" w:space="0" w:color="auto"/>
        <w:bottom w:val="none" w:sz="0" w:space="0" w:color="auto"/>
        <w:right w:val="none" w:sz="0" w:space="0" w:color="auto"/>
      </w:divBdr>
    </w:div>
    <w:div w:id="231307401">
      <w:bodyDiv w:val="1"/>
      <w:marLeft w:val="0"/>
      <w:marRight w:val="0"/>
      <w:marTop w:val="0"/>
      <w:marBottom w:val="0"/>
      <w:divBdr>
        <w:top w:val="none" w:sz="0" w:space="0" w:color="auto"/>
        <w:left w:val="none" w:sz="0" w:space="0" w:color="auto"/>
        <w:bottom w:val="none" w:sz="0" w:space="0" w:color="auto"/>
        <w:right w:val="none" w:sz="0" w:space="0" w:color="auto"/>
      </w:divBdr>
    </w:div>
    <w:div w:id="283001297">
      <w:bodyDiv w:val="1"/>
      <w:marLeft w:val="0"/>
      <w:marRight w:val="0"/>
      <w:marTop w:val="0"/>
      <w:marBottom w:val="0"/>
      <w:divBdr>
        <w:top w:val="none" w:sz="0" w:space="0" w:color="auto"/>
        <w:left w:val="none" w:sz="0" w:space="0" w:color="auto"/>
        <w:bottom w:val="none" w:sz="0" w:space="0" w:color="auto"/>
        <w:right w:val="none" w:sz="0" w:space="0" w:color="auto"/>
      </w:divBdr>
    </w:div>
    <w:div w:id="367728903">
      <w:bodyDiv w:val="1"/>
      <w:marLeft w:val="0"/>
      <w:marRight w:val="0"/>
      <w:marTop w:val="0"/>
      <w:marBottom w:val="0"/>
      <w:divBdr>
        <w:top w:val="none" w:sz="0" w:space="0" w:color="auto"/>
        <w:left w:val="none" w:sz="0" w:space="0" w:color="auto"/>
        <w:bottom w:val="none" w:sz="0" w:space="0" w:color="auto"/>
        <w:right w:val="none" w:sz="0" w:space="0" w:color="auto"/>
      </w:divBdr>
    </w:div>
    <w:div w:id="374551703">
      <w:bodyDiv w:val="1"/>
      <w:marLeft w:val="0"/>
      <w:marRight w:val="0"/>
      <w:marTop w:val="0"/>
      <w:marBottom w:val="0"/>
      <w:divBdr>
        <w:top w:val="none" w:sz="0" w:space="0" w:color="auto"/>
        <w:left w:val="none" w:sz="0" w:space="0" w:color="auto"/>
        <w:bottom w:val="none" w:sz="0" w:space="0" w:color="auto"/>
        <w:right w:val="none" w:sz="0" w:space="0" w:color="auto"/>
      </w:divBdr>
    </w:div>
    <w:div w:id="447234897">
      <w:bodyDiv w:val="1"/>
      <w:marLeft w:val="0"/>
      <w:marRight w:val="0"/>
      <w:marTop w:val="0"/>
      <w:marBottom w:val="0"/>
      <w:divBdr>
        <w:top w:val="none" w:sz="0" w:space="0" w:color="auto"/>
        <w:left w:val="none" w:sz="0" w:space="0" w:color="auto"/>
        <w:bottom w:val="none" w:sz="0" w:space="0" w:color="auto"/>
        <w:right w:val="none" w:sz="0" w:space="0" w:color="auto"/>
      </w:divBdr>
    </w:div>
    <w:div w:id="465706861">
      <w:bodyDiv w:val="1"/>
      <w:marLeft w:val="0"/>
      <w:marRight w:val="0"/>
      <w:marTop w:val="0"/>
      <w:marBottom w:val="0"/>
      <w:divBdr>
        <w:top w:val="none" w:sz="0" w:space="0" w:color="auto"/>
        <w:left w:val="none" w:sz="0" w:space="0" w:color="auto"/>
        <w:bottom w:val="none" w:sz="0" w:space="0" w:color="auto"/>
        <w:right w:val="none" w:sz="0" w:space="0" w:color="auto"/>
      </w:divBdr>
    </w:div>
    <w:div w:id="469639557">
      <w:bodyDiv w:val="1"/>
      <w:marLeft w:val="0"/>
      <w:marRight w:val="0"/>
      <w:marTop w:val="0"/>
      <w:marBottom w:val="0"/>
      <w:divBdr>
        <w:top w:val="none" w:sz="0" w:space="0" w:color="auto"/>
        <w:left w:val="none" w:sz="0" w:space="0" w:color="auto"/>
        <w:bottom w:val="none" w:sz="0" w:space="0" w:color="auto"/>
        <w:right w:val="none" w:sz="0" w:space="0" w:color="auto"/>
      </w:divBdr>
    </w:div>
    <w:div w:id="525145865">
      <w:bodyDiv w:val="1"/>
      <w:marLeft w:val="0"/>
      <w:marRight w:val="0"/>
      <w:marTop w:val="0"/>
      <w:marBottom w:val="0"/>
      <w:divBdr>
        <w:top w:val="none" w:sz="0" w:space="0" w:color="auto"/>
        <w:left w:val="none" w:sz="0" w:space="0" w:color="auto"/>
        <w:bottom w:val="none" w:sz="0" w:space="0" w:color="auto"/>
        <w:right w:val="none" w:sz="0" w:space="0" w:color="auto"/>
      </w:divBdr>
    </w:div>
    <w:div w:id="526063987">
      <w:bodyDiv w:val="1"/>
      <w:marLeft w:val="0"/>
      <w:marRight w:val="0"/>
      <w:marTop w:val="0"/>
      <w:marBottom w:val="0"/>
      <w:divBdr>
        <w:top w:val="none" w:sz="0" w:space="0" w:color="auto"/>
        <w:left w:val="none" w:sz="0" w:space="0" w:color="auto"/>
        <w:bottom w:val="none" w:sz="0" w:space="0" w:color="auto"/>
        <w:right w:val="none" w:sz="0" w:space="0" w:color="auto"/>
      </w:divBdr>
    </w:div>
    <w:div w:id="585303423">
      <w:bodyDiv w:val="1"/>
      <w:marLeft w:val="0"/>
      <w:marRight w:val="0"/>
      <w:marTop w:val="0"/>
      <w:marBottom w:val="0"/>
      <w:divBdr>
        <w:top w:val="none" w:sz="0" w:space="0" w:color="auto"/>
        <w:left w:val="none" w:sz="0" w:space="0" w:color="auto"/>
        <w:bottom w:val="none" w:sz="0" w:space="0" w:color="auto"/>
        <w:right w:val="none" w:sz="0" w:space="0" w:color="auto"/>
      </w:divBdr>
    </w:div>
    <w:div w:id="603273270">
      <w:bodyDiv w:val="1"/>
      <w:marLeft w:val="0"/>
      <w:marRight w:val="0"/>
      <w:marTop w:val="0"/>
      <w:marBottom w:val="0"/>
      <w:divBdr>
        <w:top w:val="none" w:sz="0" w:space="0" w:color="auto"/>
        <w:left w:val="none" w:sz="0" w:space="0" w:color="auto"/>
        <w:bottom w:val="none" w:sz="0" w:space="0" w:color="auto"/>
        <w:right w:val="none" w:sz="0" w:space="0" w:color="auto"/>
      </w:divBdr>
    </w:div>
    <w:div w:id="628440197">
      <w:bodyDiv w:val="1"/>
      <w:marLeft w:val="0"/>
      <w:marRight w:val="0"/>
      <w:marTop w:val="0"/>
      <w:marBottom w:val="0"/>
      <w:divBdr>
        <w:top w:val="none" w:sz="0" w:space="0" w:color="auto"/>
        <w:left w:val="none" w:sz="0" w:space="0" w:color="auto"/>
        <w:bottom w:val="none" w:sz="0" w:space="0" w:color="auto"/>
        <w:right w:val="none" w:sz="0" w:space="0" w:color="auto"/>
      </w:divBdr>
    </w:div>
    <w:div w:id="728192940">
      <w:bodyDiv w:val="1"/>
      <w:marLeft w:val="0"/>
      <w:marRight w:val="0"/>
      <w:marTop w:val="0"/>
      <w:marBottom w:val="0"/>
      <w:divBdr>
        <w:top w:val="none" w:sz="0" w:space="0" w:color="auto"/>
        <w:left w:val="none" w:sz="0" w:space="0" w:color="auto"/>
        <w:bottom w:val="none" w:sz="0" w:space="0" w:color="auto"/>
        <w:right w:val="none" w:sz="0" w:space="0" w:color="auto"/>
      </w:divBdr>
    </w:div>
    <w:div w:id="816074044">
      <w:bodyDiv w:val="1"/>
      <w:marLeft w:val="0"/>
      <w:marRight w:val="0"/>
      <w:marTop w:val="0"/>
      <w:marBottom w:val="0"/>
      <w:divBdr>
        <w:top w:val="none" w:sz="0" w:space="0" w:color="auto"/>
        <w:left w:val="none" w:sz="0" w:space="0" w:color="auto"/>
        <w:bottom w:val="none" w:sz="0" w:space="0" w:color="auto"/>
        <w:right w:val="none" w:sz="0" w:space="0" w:color="auto"/>
      </w:divBdr>
    </w:div>
    <w:div w:id="891844297">
      <w:bodyDiv w:val="1"/>
      <w:marLeft w:val="0"/>
      <w:marRight w:val="0"/>
      <w:marTop w:val="0"/>
      <w:marBottom w:val="0"/>
      <w:divBdr>
        <w:top w:val="none" w:sz="0" w:space="0" w:color="auto"/>
        <w:left w:val="none" w:sz="0" w:space="0" w:color="auto"/>
        <w:bottom w:val="none" w:sz="0" w:space="0" w:color="auto"/>
        <w:right w:val="none" w:sz="0" w:space="0" w:color="auto"/>
      </w:divBdr>
    </w:div>
    <w:div w:id="997998149">
      <w:bodyDiv w:val="1"/>
      <w:marLeft w:val="0"/>
      <w:marRight w:val="0"/>
      <w:marTop w:val="0"/>
      <w:marBottom w:val="0"/>
      <w:divBdr>
        <w:top w:val="none" w:sz="0" w:space="0" w:color="auto"/>
        <w:left w:val="none" w:sz="0" w:space="0" w:color="auto"/>
        <w:bottom w:val="none" w:sz="0" w:space="0" w:color="auto"/>
        <w:right w:val="none" w:sz="0" w:space="0" w:color="auto"/>
      </w:divBdr>
    </w:div>
    <w:div w:id="1006905896">
      <w:bodyDiv w:val="1"/>
      <w:marLeft w:val="0"/>
      <w:marRight w:val="0"/>
      <w:marTop w:val="0"/>
      <w:marBottom w:val="0"/>
      <w:divBdr>
        <w:top w:val="none" w:sz="0" w:space="0" w:color="auto"/>
        <w:left w:val="none" w:sz="0" w:space="0" w:color="auto"/>
        <w:bottom w:val="none" w:sz="0" w:space="0" w:color="auto"/>
        <w:right w:val="none" w:sz="0" w:space="0" w:color="auto"/>
      </w:divBdr>
    </w:div>
    <w:div w:id="1040128370">
      <w:bodyDiv w:val="1"/>
      <w:marLeft w:val="0"/>
      <w:marRight w:val="0"/>
      <w:marTop w:val="0"/>
      <w:marBottom w:val="0"/>
      <w:divBdr>
        <w:top w:val="none" w:sz="0" w:space="0" w:color="auto"/>
        <w:left w:val="none" w:sz="0" w:space="0" w:color="auto"/>
        <w:bottom w:val="none" w:sz="0" w:space="0" w:color="auto"/>
        <w:right w:val="none" w:sz="0" w:space="0" w:color="auto"/>
      </w:divBdr>
    </w:div>
    <w:div w:id="1083144546">
      <w:bodyDiv w:val="1"/>
      <w:marLeft w:val="0"/>
      <w:marRight w:val="0"/>
      <w:marTop w:val="0"/>
      <w:marBottom w:val="0"/>
      <w:divBdr>
        <w:top w:val="none" w:sz="0" w:space="0" w:color="auto"/>
        <w:left w:val="none" w:sz="0" w:space="0" w:color="auto"/>
        <w:bottom w:val="none" w:sz="0" w:space="0" w:color="auto"/>
        <w:right w:val="none" w:sz="0" w:space="0" w:color="auto"/>
      </w:divBdr>
    </w:div>
    <w:div w:id="1100754264">
      <w:bodyDiv w:val="1"/>
      <w:marLeft w:val="0"/>
      <w:marRight w:val="0"/>
      <w:marTop w:val="0"/>
      <w:marBottom w:val="0"/>
      <w:divBdr>
        <w:top w:val="none" w:sz="0" w:space="0" w:color="auto"/>
        <w:left w:val="none" w:sz="0" w:space="0" w:color="auto"/>
        <w:bottom w:val="none" w:sz="0" w:space="0" w:color="auto"/>
        <w:right w:val="none" w:sz="0" w:space="0" w:color="auto"/>
      </w:divBdr>
    </w:div>
    <w:div w:id="1135565873">
      <w:bodyDiv w:val="1"/>
      <w:marLeft w:val="0"/>
      <w:marRight w:val="0"/>
      <w:marTop w:val="0"/>
      <w:marBottom w:val="0"/>
      <w:divBdr>
        <w:top w:val="none" w:sz="0" w:space="0" w:color="auto"/>
        <w:left w:val="none" w:sz="0" w:space="0" w:color="auto"/>
        <w:bottom w:val="none" w:sz="0" w:space="0" w:color="auto"/>
        <w:right w:val="none" w:sz="0" w:space="0" w:color="auto"/>
      </w:divBdr>
    </w:div>
    <w:div w:id="1135686090">
      <w:bodyDiv w:val="1"/>
      <w:marLeft w:val="0"/>
      <w:marRight w:val="0"/>
      <w:marTop w:val="0"/>
      <w:marBottom w:val="0"/>
      <w:divBdr>
        <w:top w:val="none" w:sz="0" w:space="0" w:color="auto"/>
        <w:left w:val="none" w:sz="0" w:space="0" w:color="auto"/>
        <w:bottom w:val="none" w:sz="0" w:space="0" w:color="auto"/>
        <w:right w:val="none" w:sz="0" w:space="0" w:color="auto"/>
      </w:divBdr>
    </w:div>
    <w:div w:id="1145396577">
      <w:bodyDiv w:val="1"/>
      <w:marLeft w:val="0"/>
      <w:marRight w:val="0"/>
      <w:marTop w:val="0"/>
      <w:marBottom w:val="0"/>
      <w:divBdr>
        <w:top w:val="none" w:sz="0" w:space="0" w:color="auto"/>
        <w:left w:val="none" w:sz="0" w:space="0" w:color="auto"/>
        <w:bottom w:val="none" w:sz="0" w:space="0" w:color="auto"/>
        <w:right w:val="none" w:sz="0" w:space="0" w:color="auto"/>
      </w:divBdr>
    </w:div>
    <w:div w:id="1145588445">
      <w:bodyDiv w:val="1"/>
      <w:marLeft w:val="0"/>
      <w:marRight w:val="0"/>
      <w:marTop w:val="0"/>
      <w:marBottom w:val="0"/>
      <w:divBdr>
        <w:top w:val="none" w:sz="0" w:space="0" w:color="auto"/>
        <w:left w:val="none" w:sz="0" w:space="0" w:color="auto"/>
        <w:bottom w:val="none" w:sz="0" w:space="0" w:color="auto"/>
        <w:right w:val="none" w:sz="0" w:space="0" w:color="auto"/>
      </w:divBdr>
    </w:div>
    <w:div w:id="1157917473">
      <w:bodyDiv w:val="1"/>
      <w:marLeft w:val="0"/>
      <w:marRight w:val="0"/>
      <w:marTop w:val="0"/>
      <w:marBottom w:val="0"/>
      <w:divBdr>
        <w:top w:val="none" w:sz="0" w:space="0" w:color="auto"/>
        <w:left w:val="none" w:sz="0" w:space="0" w:color="auto"/>
        <w:bottom w:val="none" w:sz="0" w:space="0" w:color="auto"/>
        <w:right w:val="none" w:sz="0" w:space="0" w:color="auto"/>
      </w:divBdr>
    </w:div>
    <w:div w:id="1169056866">
      <w:bodyDiv w:val="1"/>
      <w:marLeft w:val="0"/>
      <w:marRight w:val="0"/>
      <w:marTop w:val="0"/>
      <w:marBottom w:val="0"/>
      <w:divBdr>
        <w:top w:val="none" w:sz="0" w:space="0" w:color="auto"/>
        <w:left w:val="none" w:sz="0" w:space="0" w:color="auto"/>
        <w:bottom w:val="none" w:sz="0" w:space="0" w:color="auto"/>
        <w:right w:val="none" w:sz="0" w:space="0" w:color="auto"/>
      </w:divBdr>
    </w:div>
    <w:div w:id="1248032409">
      <w:bodyDiv w:val="1"/>
      <w:marLeft w:val="0"/>
      <w:marRight w:val="0"/>
      <w:marTop w:val="0"/>
      <w:marBottom w:val="0"/>
      <w:divBdr>
        <w:top w:val="none" w:sz="0" w:space="0" w:color="auto"/>
        <w:left w:val="none" w:sz="0" w:space="0" w:color="auto"/>
        <w:bottom w:val="none" w:sz="0" w:space="0" w:color="auto"/>
        <w:right w:val="none" w:sz="0" w:space="0" w:color="auto"/>
      </w:divBdr>
    </w:div>
    <w:div w:id="1271282890">
      <w:bodyDiv w:val="1"/>
      <w:marLeft w:val="0"/>
      <w:marRight w:val="0"/>
      <w:marTop w:val="0"/>
      <w:marBottom w:val="0"/>
      <w:divBdr>
        <w:top w:val="none" w:sz="0" w:space="0" w:color="auto"/>
        <w:left w:val="none" w:sz="0" w:space="0" w:color="auto"/>
        <w:bottom w:val="none" w:sz="0" w:space="0" w:color="auto"/>
        <w:right w:val="none" w:sz="0" w:space="0" w:color="auto"/>
      </w:divBdr>
    </w:div>
    <w:div w:id="1293707556">
      <w:bodyDiv w:val="1"/>
      <w:marLeft w:val="0"/>
      <w:marRight w:val="0"/>
      <w:marTop w:val="0"/>
      <w:marBottom w:val="0"/>
      <w:divBdr>
        <w:top w:val="none" w:sz="0" w:space="0" w:color="auto"/>
        <w:left w:val="none" w:sz="0" w:space="0" w:color="auto"/>
        <w:bottom w:val="none" w:sz="0" w:space="0" w:color="auto"/>
        <w:right w:val="none" w:sz="0" w:space="0" w:color="auto"/>
      </w:divBdr>
    </w:div>
    <w:div w:id="1345326160">
      <w:bodyDiv w:val="1"/>
      <w:marLeft w:val="0"/>
      <w:marRight w:val="0"/>
      <w:marTop w:val="0"/>
      <w:marBottom w:val="0"/>
      <w:divBdr>
        <w:top w:val="none" w:sz="0" w:space="0" w:color="auto"/>
        <w:left w:val="none" w:sz="0" w:space="0" w:color="auto"/>
        <w:bottom w:val="none" w:sz="0" w:space="0" w:color="auto"/>
        <w:right w:val="none" w:sz="0" w:space="0" w:color="auto"/>
      </w:divBdr>
    </w:div>
    <w:div w:id="1348673342">
      <w:bodyDiv w:val="1"/>
      <w:marLeft w:val="0"/>
      <w:marRight w:val="0"/>
      <w:marTop w:val="0"/>
      <w:marBottom w:val="0"/>
      <w:divBdr>
        <w:top w:val="none" w:sz="0" w:space="0" w:color="auto"/>
        <w:left w:val="none" w:sz="0" w:space="0" w:color="auto"/>
        <w:bottom w:val="none" w:sz="0" w:space="0" w:color="auto"/>
        <w:right w:val="none" w:sz="0" w:space="0" w:color="auto"/>
      </w:divBdr>
    </w:div>
    <w:div w:id="1354308696">
      <w:bodyDiv w:val="1"/>
      <w:marLeft w:val="0"/>
      <w:marRight w:val="0"/>
      <w:marTop w:val="0"/>
      <w:marBottom w:val="0"/>
      <w:divBdr>
        <w:top w:val="none" w:sz="0" w:space="0" w:color="auto"/>
        <w:left w:val="none" w:sz="0" w:space="0" w:color="auto"/>
        <w:bottom w:val="none" w:sz="0" w:space="0" w:color="auto"/>
        <w:right w:val="none" w:sz="0" w:space="0" w:color="auto"/>
      </w:divBdr>
    </w:div>
    <w:div w:id="1370836076">
      <w:bodyDiv w:val="1"/>
      <w:marLeft w:val="0"/>
      <w:marRight w:val="0"/>
      <w:marTop w:val="0"/>
      <w:marBottom w:val="0"/>
      <w:divBdr>
        <w:top w:val="none" w:sz="0" w:space="0" w:color="auto"/>
        <w:left w:val="none" w:sz="0" w:space="0" w:color="auto"/>
        <w:bottom w:val="none" w:sz="0" w:space="0" w:color="auto"/>
        <w:right w:val="none" w:sz="0" w:space="0" w:color="auto"/>
      </w:divBdr>
    </w:div>
    <w:div w:id="1383560386">
      <w:bodyDiv w:val="1"/>
      <w:marLeft w:val="0"/>
      <w:marRight w:val="0"/>
      <w:marTop w:val="0"/>
      <w:marBottom w:val="0"/>
      <w:divBdr>
        <w:top w:val="none" w:sz="0" w:space="0" w:color="auto"/>
        <w:left w:val="none" w:sz="0" w:space="0" w:color="auto"/>
        <w:bottom w:val="none" w:sz="0" w:space="0" w:color="auto"/>
        <w:right w:val="none" w:sz="0" w:space="0" w:color="auto"/>
      </w:divBdr>
    </w:div>
    <w:div w:id="1400984588">
      <w:bodyDiv w:val="1"/>
      <w:marLeft w:val="0"/>
      <w:marRight w:val="0"/>
      <w:marTop w:val="0"/>
      <w:marBottom w:val="0"/>
      <w:divBdr>
        <w:top w:val="none" w:sz="0" w:space="0" w:color="auto"/>
        <w:left w:val="none" w:sz="0" w:space="0" w:color="auto"/>
        <w:bottom w:val="none" w:sz="0" w:space="0" w:color="auto"/>
        <w:right w:val="none" w:sz="0" w:space="0" w:color="auto"/>
      </w:divBdr>
    </w:div>
    <w:div w:id="1430468061">
      <w:bodyDiv w:val="1"/>
      <w:marLeft w:val="0"/>
      <w:marRight w:val="0"/>
      <w:marTop w:val="0"/>
      <w:marBottom w:val="0"/>
      <w:divBdr>
        <w:top w:val="none" w:sz="0" w:space="0" w:color="auto"/>
        <w:left w:val="none" w:sz="0" w:space="0" w:color="auto"/>
        <w:bottom w:val="none" w:sz="0" w:space="0" w:color="auto"/>
        <w:right w:val="none" w:sz="0" w:space="0" w:color="auto"/>
      </w:divBdr>
    </w:div>
    <w:div w:id="1498156604">
      <w:bodyDiv w:val="1"/>
      <w:marLeft w:val="0"/>
      <w:marRight w:val="0"/>
      <w:marTop w:val="0"/>
      <w:marBottom w:val="0"/>
      <w:divBdr>
        <w:top w:val="none" w:sz="0" w:space="0" w:color="auto"/>
        <w:left w:val="none" w:sz="0" w:space="0" w:color="auto"/>
        <w:bottom w:val="none" w:sz="0" w:space="0" w:color="auto"/>
        <w:right w:val="none" w:sz="0" w:space="0" w:color="auto"/>
      </w:divBdr>
    </w:div>
    <w:div w:id="1518153937">
      <w:bodyDiv w:val="1"/>
      <w:marLeft w:val="0"/>
      <w:marRight w:val="0"/>
      <w:marTop w:val="0"/>
      <w:marBottom w:val="0"/>
      <w:divBdr>
        <w:top w:val="none" w:sz="0" w:space="0" w:color="auto"/>
        <w:left w:val="none" w:sz="0" w:space="0" w:color="auto"/>
        <w:bottom w:val="none" w:sz="0" w:space="0" w:color="auto"/>
        <w:right w:val="none" w:sz="0" w:space="0" w:color="auto"/>
      </w:divBdr>
    </w:div>
    <w:div w:id="1541631755">
      <w:bodyDiv w:val="1"/>
      <w:marLeft w:val="0"/>
      <w:marRight w:val="0"/>
      <w:marTop w:val="0"/>
      <w:marBottom w:val="0"/>
      <w:divBdr>
        <w:top w:val="none" w:sz="0" w:space="0" w:color="auto"/>
        <w:left w:val="none" w:sz="0" w:space="0" w:color="auto"/>
        <w:bottom w:val="none" w:sz="0" w:space="0" w:color="auto"/>
        <w:right w:val="none" w:sz="0" w:space="0" w:color="auto"/>
      </w:divBdr>
    </w:div>
    <w:div w:id="1625963300">
      <w:bodyDiv w:val="1"/>
      <w:marLeft w:val="0"/>
      <w:marRight w:val="0"/>
      <w:marTop w:val="0"/>
      <w:marBottom w:val="0"/>
      <w:divBdr>
        <w:top w:val="none" w:sz="0" w:space="0" w:color="auto"/>
        <w:left w:val="none" w:sz="0" w:space="0" w:color="auto"/>
        <w:bottom w:val="none" w:sz="0" w:space="0" w:color="auto"/>
        <w:right w:val="none" w:sz="0" w:space="0" w:color="auto"/>
      </w:divBdr>
    </w:div>
    <w:div w:id="1634409868">
      <w:bodyDiv w:val="1"/>
      <w:marLeft w:val="0"/>
      <w:marRight w:val="0"/>
      <w:marTop w:val="0"/>
      <w:marBottom w:val="0"/>
      <w:divBdr>
        <w:top w:val="none" w:sz="0" w:space="0" w:color="auto"/>
        <w:left w:val="none" w:sz="0" w:space="0" w:color="auto"/>
        <w:bottom w:val="none" w:sz="0" w:space="0" w:color="auto"/>
        <w:right w:val="none" w:sz="0" w:space="0" w:color="auto"/>
      </w:divBdr>
    </w:div>
    <w:div w:id="1677264380">
      <w:bodyDiv w:val="1"/>
      <w:marLeft w:val="0"/>
      <w:marRight w:val="0"/>
      <w:marTop w:val="0"/>
      <w:marBottom w:val="0"/>
      <w:divBdr>
        <w:top w:val="none" w:sz="0" w:space="0" w:color="auto"/>
        <w:left w:val="none" w:sz="0" w:space="0" w:color="auto"/>
        <w:bottom w:val="none" w:sz="0" w:space="0" w:color="auto"/>
        <w:right w:val="none" w:sz="0" w:space="0" w:color="auto"/>
      </w:divBdr>
    </w:div>
    <w:div w:id="1683971890">
      <w:bodyDiv w:val="1"/>
      <w:marLeft w:val="0"/>
      <w:marRight w:val="0"/>
      <w:marTop w:val="0"/>
      <w:marBottom w:val="0"/>
      <w:divBdr>
        <w:top w:val="none" w:sz="0" w:space="0" w:color="auto"/>
        <w:left w:val="none" w:sz="0" w:space="0" w:color="auto"/>
        <w:bottom w:val="none" w:sz="0" w:space="0" w:color="auto"/>
        <w:right w:val="none" w:sz="0" w:space="0" w:color="auto"/>
      </w:divBdr>
    </w:div>
    <w:div w:id="1686051190">
      <w:bodyDiv w:val="1"/>
      <w:marLeft w:val="0"/>
      <w:marRight w:val="0"/>
      <w:marTop w:val="0"/>
      <w:marBottom w:val="0"/>
      <w:divBdr>
        <w:top w:val="none" w:sz="0" w:space="0" w:color="auto"/>
        <w:left w:val="none" w:sz="0" w:space="0" w:color="auto"/>
        <w:bottom w:val="none" w:sz="0" w:space="0" w:color="auto"/>
        <w:right w:val="none" w:sz="0" w:space="0" w:color="auto"/>
      </w:divBdr>
    </w:div>
    <w:div w:id="1753812183">
      <w:bodyDiv w:val="1"/>
      <w:marLeft w:val="0"/>
      <w:marRight w:val="0"/>
      <w:marTop w:val="0"/>
      <w:marBottom w:val="0"/>
      <w:divBdr>
        <w:top w:val="none" w:sz="0" w:space="0" w:color="auto"/>
        <w:left w:val="none" w:sz="0" w:space="0" w:color="auto"/>
        <w:bottom w:val="none" w:sz="0" w:space="0" w:color="auto"/>
        <w:right w:val="none" w:sz="0" w:space="0" w:color="auto"/>
      </w:divBdr>
    </w:div>
    <w:div w:id="1789009307">
      <w:bodyDiv w:val="1"/>
      <w:marLeft w:val="0"/>
      <w:marRight w:val="0"/>
      <w:marTop w:val="0"/>
      <w:marBottom w:val="0"/>
      <w:divBdr>
        <w:top w:val="none" w:sz="0" w:space="0" w:color="auto"/>
        <w:left w:val="none" w:sz="0" w:space="0" w:color="auto"/>
        <w:bottom w:val="none" w:sz="0" w:space="0" w:color="auto"/>
        <w:right w:val="none" w:sz="0" w:space="0" w:color="auto"/>
      </w:divBdr>
    </w:div>
    <w:div w:id="1823964367">
      <w:bodyDiv w:val="1"/>
      <w:marLeft w:val="0"/>
      <w:marRight w:val="0"/>
      <w:marTop w:val="0"/>
      <w:marBottom w:val="0"/>
      <w:divBdr>
        <w:top w:val="none" w:sz="0" w:space="0" w:color="auto"/>
        <w:left w:val="none" w:sz="0" w:space="0" w:color="auto"/>
        <w:bottom w:val="none" w:sz="0" w:space="0" w:color="auto"/>
        <w:right w:val="none" w:sz="0" w:space="0" w:color="auto"/>
      </w:divBdr>
    </w:div>
    <w:div w:id="1826703110">
      <w:bodyDiv w:val="1"/>
      <w:marLeft w:val="0"/>
      <w:marRight w:val="0"/>
      <w:marTop w:val="0"/>
      <w:marBottom w:val="0"/>
      <w:divBdr>
        <w:top w:val="none" w:sz="0" w:space="0" w:color="auto"/>
        <w:left w:val="none" w:sz="0" w:space="0" w:color="auto"/>
        <w:bottom w:val="none" w:sz="0" w:space="0" w:color="auto"/>
        <w:right w:val="none" w:sz="0" w:space="0" w:color="auto"/>
      </w:divBdr>
    </w:div>
    <w:div w:id="1860045890">
      <w:bodyDiv w:val="1"/>
      <w:marLeft w:val="0"/>
      <w:marRight w:val="0"/>
      <w:marTop w:val="0"/>
      <w:marBottom w:val="0"/>
      <w:divBdr>
        <w:top w:val="none" w:sz="0" w:space="0" w:color="auto"/>
        <w:left w:val="none" w:sz="0" w:space="0" w:color="auto"/>
        <w:bottom w:val="none" w:sz="0" w:space="0" w:color="auto"/>
        <w:right w:val="none" w:sz="0" w:space="0" w:color="auto"/>
      </w:divBdr>
    </w:div>
    <w:div w:id="1909151800">
      <w:bodyDiv w:val="1"/>
      <w:marLeft w:val="0"/>
      <w:marRight w:val="0"/>
      <w:marTop w:val="0"/>
      <w:marBottom w:val="0"/>
      <w:divBdr>
        <w:top w:val="none" w:sz="0" w:space="0" w:color="auto"/>
        <w:left w:val="none" w:sz="0" w:space="0" w:color="auto"/>
        <w:bottom w:val="none" w:sz="0" w:space="0" w:color="auto"/>
        <w:right w:val="none" w:sz="0" w:space="0" w:color="auto"/>
      </w:divBdr>
    </w:div>
    <w:div w:id="1984381998">
      <w:bodyDiv w:val="1"/>
      <w:marLeft w:val="0"/>
      <w:marRight w:val="0"/>
      <w:marTop w:val="0"/>
      <w:marBottom w:val="0"/>
      <w:divBdr>
        <w:top w:val="none" w:sz="0" w:space="0" w:color="auto"/>
        <w:left w:val="none" w:sz="0" w:space="0" w:color="auto"/>
        <w:bottom w:val="none" w:sz="0" w:space="0" w:color="auto"/>
        <w:right w:val="none" w:sz="0" w:space="0" w:color="auto"/>
      </w:divBdr>
    </w:div>
    <w:div w:id="2016610447">
      <w:bodyDiv w:val="1"/>
      <w:marLeft w:val="0"/>
      <w:marRight w:val="0"/>
      <w:marTop w:val="0"/>
      <w:marBottom w:val="0"/>
      <w:divBdr>
        <w:top w:val="none" w:sz="0" w:space="0" w:color="auto"/>
        <w:left w:val="none" w:sz="0" w:space="0" w:color="auto"/>
        <w:bottom w:val="none" w:sz="0" w:space="0" w:color="auto"/>
        <w:right w:val="none" w:sz="0" w:space="0" w:color="auto"/>
      </w:divBdr>
    </w:div>
    <w:div w:id="2046130414">
      <w:bodyDiv w:val="1"/>
      <w:marLeft w:val="0"/>
      <w:marRight w:val="0"/>
      <w:marTop w:val="0"/>
      <w:marBottom w:val="0"/>
      <w:divBdr>
        <w:top w:val="none" w:sz="0" w:space="0" w:color="auto"/>
        <w:left w:val="none" w:sz="0" w:space="0" w:color="auto"/>
        <w:bottom w:val="none" w:sz="0" w:space="0" w:color="auto"/>
        <w:right w:val="none" w:sz="0" w:space="0" w:color="auto"/>
      </w:divBdr>
    </w:div>
    <w:div w:id="2073116932">
      <w:bodyDiv w:val="1"/>
      <w:marLeft w:val="0"/>
      <w:marRight w:val="0"/>
      <w:marTop w:val="0"/>
      <w:marBottom w:val="0"/>
      <w:divBdr>
        <w:top w:val="none" w:sz="0" w:space="0" w:color="auto"/>
        <w:left w:val="none" w:sz="0" w:space="0" w:color="auto"/>
        <w:bottom w:val="none" w:sz="0" w:space="0" w:color="auto"/>
        <w:right w:val="none" w:sz="0" w:space="0" w:color="auto"/>
      </w:divBdr>
    </w:div>
    <w:div w:id="2096659344">
      <w:bodyDiv w:val="1"/>
      <w:marLeft w:val="0"/>
      <w:marRight w:val="0"/>
      <w:marTop w:val="0"/>
      <w:marBottom w:val="0"/>
      <w:divBdr>
        <w:top w:val="none" w:sz="0" w:space="0" w:color="auto"/>
        <w:left w:val="none" w:sz="0" w:space="0" w:color="auto"/>
        <w:bottom w:val="none" w:sz="0" w:space="0" w:color="auto"/>
        <w:right w:val="none" w:sz="0" w:space="0" w:color="auto"/>
      </w:divBdr>
    </w:div>
    <w:div w:id="2108843172">
      <w:bodyDiv w:val="1"/>
      <w:marLeft w:val="0"/>
      <w:marRight w:val="0"/>
      <w:marTop w:val="0"/>
      <w:marBottom w:val="0"/>
      <w:divBdr>
        <w:top w:val="none" w:sz="0" w:space="0" w:color="auto"/>
        <w:left w:val="none" w:sz="0" w:space="0" w:color="auto"/>
        <w:bottom w:val="none" w:sz="0" w:space="0" w:color="auto"/>
        <w:right w:val="none" w:sz="0" w:space="0" w:color="auto"/>
      </w:divBdr>
    </w:div>
    <w:div w:id="2128233165">
      <w:bodyDiv w:val="1"/>
      <w:marLeft w:val="0"/>
      <w:marRight w:val="0"/>
      <w:marTop w:val="0"/>
      <w:marBottom w:val="0"/>
      <w:divBdr>
        <w:top w:val="none" w:sz="0" w:space="0" w:color="auto"/>
        <w:left w:val="none" w:sz="0" w:space="0" w:color="auto"/>
        <w:bottom w:val="none" w:sz="0" w:space="0" w:color="auto"/>
        <w:right w:val="none" w:sz="0" w:space="0" w:color="auto"/>
      </w:divBdr>
    </w:div>
    <w:div w:id="21394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CBD7-847F-4A83-A3DC-8296FC8A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FELLOW3 FUNDS</dc:creator>
  <cp:keywords/>
  <dc:description/>
  <cp:lastModifiedBy>OUKO Robert</cp:lastModifiedBy>
  <cp:revision>3</cp:revision>
  <dcterms:created xsi:type="dcterms:W3CDTF">2022-09-09T11:31:00Z</dcterms:created>
  <dcterms:modified xsi:type="dcterms:W3CDTF">2022-09-09T11:33:00Z</dcterms:modified>
</cp:coreProperties>
</file>