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9" w:rsidRDefault="009F0C9C" w:rsidP="009824D8">
      <w:pPr>
        <w:spacing w:after="120"/>
        <w:ind w:left="851" w:hanging="851"/>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C421FE">
        <w:rPr>
          <w:b/>
          <w:sz w:val="24"/>
          <w:szCs w:val="24"/>
          <w:u w:val="single"/>
          <w:lang w:val="fr-FR"/>
        </w:rPr>
        <w:t>les</w:t>
      </w:r>
      <w:r>
        <w:rPr>
          <w:b/>
          <w:sz w:val="24"/>
          <w:szCs w:val="24"/>
          <w:u w:val="single"/>
          <w:lang w:val="fr-FR"/>
        </w:rPr>
        <w:t xml:space="preserve"> </w:t>
      </w:r>
      <w:r w:rsidRPr="00DE5A37">
        <w:rPr>
          <w:b/>
          <w:sz w:val="24"/>
          <w:szCs w:val="24"/>
          <w:u w:val="single"/>
          <w:lang w:val="fr-FR"/>
        </w:rPr>
        <w:t>titulaires de mandats devant être nommés lors de la 4</w:t>
      </w:r>
      <w:r w:rsidR="00FC5165">
        <w:rPr>
          <w:b/>
          <w:sz w:val="24"/>
          <w:szCs w:val="24"/>
          <w:u w:val="single"/>
          <w:lang w:val="fr-FR"/>
        </w:rPr>
        <w:t>7</w:t>
      </w:r>
      <w:r w:rsidRPr="00DE5A37">
        <w:rPr>
          <w:b/>
          <w:sz w:val="24"/>
          <w:szCs w:val="24"/>
          <w:u w:val="single"/>
          <w:vertAlign w:val="superscript"/>
          <w:lang w:val="fr-FR"/>
        </w:rPr>
        <w:t>e</w:t>
      </w:r>
      <w:r w:rsidRPr="00DE5A37">
        <w:rPr>
          <w:b/>
          <w:sz w:val="24"/>
          <w:szCs w:val="24"/>
          <w:u w:val="single"/>
          <w:lang w:val="fr-FR"/>
        </w:rPr>
        <w:t xml:space="preserve"> session du Conseil des droits de l'homme</w:t>
      </w:r>
    </w:p>
    <w:p w:rsidR="006E5399" w:rsidRDefault="006E5399" w:rsidP="009F0C9C">
      <w:pPr>
        <w:ind w:firstLine="851"/>
        <w:jc w:val="both"/>
        <w:rPr>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informer que les titulaires de mandats ci-dessous sont à pourvoir lors de la 4</w:t>
      </w:r>
      <w:r w:rsidR="00FC5165">
        <w:rPr>
          <w:rStyle w:val="hps"/>
          <w:sz w:val="24"/>
          <w:szCs w:val="24"/>
          <w:lang w:val="fr-FR"/>
        </w:rPr>
        <w:t>7</w:t>
      </w:r>
      <w:r w:rsidRPr="00DE5A37">
        <w:rPr>
          <w:rStyle w:val="hps"/>
          <w:sz w:val="24"/>
          <w:szCs w:val="24"/>
          <w:vertAlign w:val="superscript"/>
          <w:lang w:val="fr-FR"/>
        </w:rPr>
        <w:t>e</w:t>
      </w:r>
      <w:r w:rsidRPr="00DE5A37">
        <w:rPr>
          <w:rStyle w:val="hps"/>
          <w:sz w:val="24"/>
          <w:szCs w:val="24"/>
          <w:lang w:val="fr-FR"/>
        </w:rPr>
        <w:t xml:space="preserve"> </w:t>
      </w:r>
      <w:r w:rsidRPr="00DE5A37">
        <w:rPr>
          <w:sz w:val="24"/>
          <w:szCs w:val="24"/>
          <w:lang w:val="fr-FR"/>
        </w:rPr>
        <w:t>session du Conseil des droits de l'homme (</w:t>
      </w:r>
      <w:r w:rsidR="00FC5165">
        <w:rPr>
          <w:sz w:val="24"/>
          <w:szCs w:val="24"/>
          <w:lang w:val="fr-FR"/>
        </w:rPr>
        <w:t>21 juin</w:t>
      </w:r>
      <w:r w:rsidR="00EC2F75">
        <w:rPr>
          <w:sz w:val="24"/>
          <w:szCs w:val="24"/>
          <w:lang w:val="fr-FR"/>
        </w:rPr>
        <w:t xml:space="preserve"> </w:t>
      </w:r>
      <w:r w:rsidRPr="00DE5A37">
        <w:rPr>
          <w:sz w:val="24"/>
          <w:szCs w:val="24"/>
          <w:lang w:val="fr-FR"/>
        </w:rPr>
        <w:t xml:space="preserve">au </w:t>
      </w:r>
      <w:r w:rsidR="00FC5165">
        <w:rPr>
          <w:sz w:val="24"/>
          <w:szCs w:val="24"/>
          <w:lang w:val="fr-FR"/>
        </w:rPr>
        <w:t>9 juillet</w:t>
      </w:r>
      <w:r w:rsidRPr="00DE5A37">
        <w:rPr>
          <w:sz w:val="24"/>
          <w:szCs w:val="24"/>
          <w:lang w:val="fr-FR"/>
        </w:rPr>
        <w:t xml:space="preserve"> 202</w:t>
      </w:r>
      <w:r w:rsidR="00EC2F75">
        <w:rPr>
          <w:sz w:val="24"/>
          <w:szCs w:val="24"/>
          <w:lang w:val="fr-FR"/>
        </w:rPr>
        <w:t>1</w:t>
      </w:r>
      <w:r w:rsidRPr="00DE5A37">
        <w:rPr>
          <w:sz w:val="24"/>
          <w:szCs w:val="24"/>
          <w:lang w:val="fr-FR"/>
        </w:rPr>
        <w:t>)</w:t>
      </w:r>
      <w:r w:rsidR="00096F0A">
        <w:rPr>
          <w:sz w:val="24"/>
          <w:szCs w:val="24"/>
          <w:lang w:val="fr-FR"/>
        </w:rPr>
        <w:t xml:space="preserve">. </w:t>
      </w:r>
      <w:r w:rsidR="00096F0A" w:rsidRPr="00096F0A">
        <w:rPr>
          <w:sz w:val="24"/>
          <w:szCs w:val="24"/>
          <w:lang w:val="fr-FR"/>
        </w:rPr>
        <w:t>Les titulaires des mandats suivis d’un astérisque seront nommés à condition que les mandats soient prolongés par le Conseil.</w:t>
      </w:r>
      <w:r w:rsidRPr="00DE5A37">
        <w:rPr>
          <w:sz w:val="24"/>
          <w:szCs w:val="24"/>
          <w:lang w:val="fr-FR"/>
        </w:rPr>
        <w:t xml:space="preserve"> </w:t>
      </w:r>
    </w:p>
    <w:p w:rsidR="009F0C9C" w:rsidRPr="00DE5A37" w:rsidRDefault="009F0C9C" w:rsidP="009F0C9C">
      <w:pPr>
        <w:ind w:firstLine="851"/>
        <w:jc w:val="both"/>
        <w:rPr>
          <w:sz w:val="24"/>
          <w:szCs w:val="24"/>
          <w:lang w:val="fr-FR"/>
        </w:rPr>
      </w:pPr>
    </w:p>
    <w:p w:rsidR="00776B7D" w:rsidRPr="00776B7D" w:rsidRDefault="00776B7D" w:rsidP="00776B7D">
      <w:pPr>
        <w:shd w:val="clear" w:color="auto" w:fill="FFFFFF"/>
        <w:spacing w:after="120"/>
        <w:ind w:left="1060" w:hanging="720"/>
        <w:outlineLvl w:val="3"/>
        <w:rPr>
          <w:b/>
          <w:bCs/>
          <w:sz w:val="24"/>
          <w:szCs w:val="24"/>
          <w:lang w:val="fr-CA" w:eastAsia="en-GB"/>
        </w:rPr>
      </w:pPr>
      <w:r w:rsidRPr="00776B7D">
        <w:rPr>
          <w:b/>
          <w:bCs/>
          <w:sz w:val="24"/>
          <w:szCs w:val="24"/>
          <w:lang w:val="fr-FR" w:eastAsia="en-GB"/>
        </w:rPr>
        <w:t>1.</w:t>
      </w:r>
      <w:r w:rsidRPr="00776B7D">
        <w:rPr>
          <w:b/>
          <w:bCs/>
          <w:sz w:val="24"/>
          <w:szCs w:val="24"/>
          <w:lang w:val="fr-FR" w:eastAsia="en-GB"/>
        </w:rPr>
        <w:tab/>
        <w:t>Expert indépendant sur l’exercice des droits de l’homme par les personnes atteintes d’albinisme (</w:t>
      </w:r>
      <w:hyperlink r:id="rId12" w:history="1">
        <w:r w:rsidRPr="00776B7D">
          <w:rPr>
            <w:rStyle w:val="Hyperlink"/>
            <w:b/>
            <w:bCs/>
            <w:sz w:val="24"/>
            <w:szCs w:val="24"/>
            <w:lang w:val="fr-FR" w:eastAsia="en-GB"/>
          </w:rPr>
          <w:t>résolution 37/5 du Conseil des droits de l’homme</w:t>
        </w:r>
      </w:hyperlink>
      <w:r w:rsidRPr="00776B7D">
        <w:rPr>
          <w:b/>
          <w:bCs/>
          <w:sz w:val="24"/>
          <w:szCs w:val="24"/>
          <w:lang w:val="fr-FR" w:eastAsia="en-GB"/>
        </w:rPr>
        <w:t>)*</w:t>
      </w:r>
    </w:p>
    <w:p w:rsidR="00776B7D" w:rsidRPr="00776B7D" w:rsidRDefault="00776B7D" w:rsidP="00776B7D">
      <w:pPr>
        <w:shd w:val="clear" w:color="auto" w:fill="FFFFFF"/>
        <w:spacing w:after="120"/>
        <w:ind w:left="1060" w:hanging="720"/>
        <w:outlineLvl w:val="3"/>
        <w:rPr>
          <w:b/>
          <w:bCs/>
          <w:sz w:val="24"/>
          <w:szCs w:val="24"/>
          <w:lang w:val="fr-CA" w:eastAsia="en-GB"/>
        </w:rPr>
      </w:pPr>
      <w:r w:rsidRPr="00776B7D">
        <w:rPr>
          <w:b/>
          <w:bCs/>
          <w:sz w:val="24"/>
          <w:szCs w:val="24"/>
          <w:lang w:val="fr-FR" w:eastAsia="en-GB"/>
        </w:rPr>
        <w:t>2.</w:t>
      </w:r>
      <w:r w:rsidRPr="00776B7D">
        <w:rPr>
          <w:b/>
          <w:bCs/>
          <w:sz w:val="24"/>
          <w:szCs w:val="24"/>
          <w:lang w:val="fr-FR" w:eastAsia="en-GB"/>
        </w:rPr>
        <w:tab/>
        <w:t>Rapporteur spécial sur le droit à la vie privée (</w:t>
      </w:r>
      <w:hyperlink r:id="rId13" w:history="1">
        <w:r w:rsidRPr="00776B7D">
          <w:rPr>
            <w:rStyle w:val="Hyperlink"/>
            <w:b/>
            <w:bCs/>
            <w:sz w:val="24"/>
            <w:szCs w:val="24"/>
            <w:lang w:val="fr-FR" w:eastAsia="en-GB"/>
          </w:rPr>
          <w:t>résolution 37/2 du Conseil des droits de l’homme</w:t>
        </w:r>
      </w:hyperlink>
      <w:r w:rsidRPr="00776B7D">
        <w:rPr>
          <w:b/>
          <w:bCs/>
          <w:sz w:val="24"/>
          <w:szCs w:val="24"/>
          <w:lang w:val="fr-FR" w:eastAsia="en-GB"/>
        </w:rPr>
        <w:t>)*</w:t>
      </w:r>
    </w:p>
    <w:p w:rsidR="00776B7D" w:rsidRPr="00776B7D" w:rsidRDefault="00776B7D" w:rsidP="00776B7D">
      <w:pPr>
        <w:shd w:val="clear" w:color="auto" w:fill="FFFFFF"/>
        <w:spacing w:after="120"/>
        <w:ind w:left="1060" w:hanging="720"/>
        <w:outlineLvl w:val="3"/>
        <w:rPr>
          <w:b/>
          <w:bCs/>
          <w:sz w:val="24"/>
          <w:szCs w:val="24"/>
          <w:lang w:val="fr-CA" w:eastAsia="en-GB"/>
        </w:rPr>
      </w:pPr>
      <w:r w:rsidRPr="00776B7D">
        <w:rPr>
          <w:b/>
          <w:bCs/>
          <w:sz w:val="24"/>
          <w:szCs w:val="24"/>
          <w:lang w:val="fr-FR" w:eastAsia="en-GB"/>
        </w:rPr>
        <w:t>3.</w:t>
      </w:r>
      <w:r w:rsidRPr="00776B7D">
        <w:rPr>
          <w:b/>
          <w:bCs/>
          <w:sz w:val="24"/>
          <w:szCs w:val="24"/>
          <w:lang w:val="fr-FR" w:eastAsia="en-GB"/>
        </w:rPr>
        <w:tab/>
        <w:t>Rapporteur spécial sur la violence contre les femmes, ses causes et ses conséquences (</w:t>
      </w:r>
      <w:hyperlink r:id="rId14" w:history="1">
        <w:r w:rsidRPr="00776B7D">
          <w:rPr>
            <w:rStyle w:val="Hyperlink"/>
            <w:b/>
            <w:bCs/>
            <w:sz w:val="24"/>
            <w:szCs w:val="24"/>
            <w:lang w:val="fr-FR" w:eastAsia="en-GB"/>
          </w:rPr>
          <w:t>résolution 41/17 du Conseil des droits de l’homme</w:t>
        </w:r>
      </w:hyperlink>
      <w:r w:rsidRPr="00776B7D">
        <w:rPr>
          <w:b/>
          <w:bCs/>
          <w:sz w:val="24"/>
          <w:szCs w:val="24"/>
          <w:lang w:val="fr-FR" w:eastAsia="en-GB"/>
        </w:rPr>
        <w:t>)</w:t>
      </w:r>
    </w:p>
    <w:p w:rsidR="00776B7D" w:rsidRPr="00776B7D" w:rsidRDefault="00776B7D" w:rsidP="00776B7D">
      <w:pPr>
        <w:shd w:val="clear" w:color="auto" w:fill="FFFFFF"/>
        <w:spacing w:after="120"/>
        <w:ind w:left="1060" w:hanging="720"/>
        <w:outlineLvl w:val="3"/>
        <w:rPr>
          <w:b/>
          <w:bCs/>
          <w:sz w:val="24"/>
          <w:szCs w:val="24"/>
          <w:lang w:val="fr-CA" w:eastAsia="en-GB"/>
        </w:rPr>
      </w:pPr>
      <w:r w:rsidRPr="00776B7D">
        <w:rPr>
          <w:b/>
          <w:bCs/>
          <w:sz w:val="24"/>
          <w:szCs w:val="24"/>
          <w:lang w:val="fr-FR" w:eastAsia="en-GB"/>
        </w:rPr>
        <w:t>4.</w:t>
      </w:r>
      <w:r w:rsidRPr="00776B7D">
        <w:rPr>
          <w:b/>
          <w:bCs/>
          <w:sz w:val="24"/>
          <w:szCs w:val="24"/>
          <w:lang w:val="fr-FR" w:eastAsia="en-GB"/>
        </w:rPr>
        <w:tab/>
        <w:t>Groupe de travail d’experts sur les personnes d’ascendance africaine (membre issu des États d’Asie et du Pacifique) (</w:t>
      </w:r>
      <w:hyperlink r:id="rId15" w:history="1">
        <w:r w:rsidRPr="00776B7D">
          <w:rPr>
            <w:rStyle w:val="Hyperlink"/>
            <w:b/>
            <w:bCs/>
            <w:sz w:val="24"/>
            <w:szCs w:val="24"/>
            <w:lang w:val="fr-FR" w:eastAsia="en-GB"/>
          </w:rPr>
          <w:t>résolution 45/24 du Conseil des droits de l’homme</w:t>
        </w:r>
      </w:hyperlink>
      <w:r w:rsidRPr="00776B7D">
        <w:rPr>
          <w:b/>
          <w:bCs/>
          <w:sz w:val="24"/>
          <w:szCs w:val="24"/>
          <w:lang w:val="fr-FR" w:eastAsia="en-GB"/>
        </w:rPr>
        <w:t>)</w:t>
      </w:r>
    </w:p>
    <w:p w:rsidR="00776B7D" w:rsidRPr="00776B7D" w:rsidRDefault="00776B7D" w:rsidP="00776B7D">
      <w:pPr>
        <w:shd w:val="clear" w:color="auto" w:fill="FFFFFF"/>
        <w:spacing w:after="120"/>
        <w:ind w:left="1060" w:hanging="720"/>
        <w:outlineLvl w:val="3"/>
        <w:rPr>
          <w:b/>
          <w:bCs/>
          <w:sz w:val="24"/>
          <w:szCs w:val="24"/>
          <w:lang w:val="fr-CA" w:eastAsia="en-GB"/>
        </w:rPr>
      </w:pPr>
      <w:r w:rsidRPr="00776B7D">
        <w:rPr>
          <w:b/>
          <w:bCs/>
          <w:sz w:val="24"/>
          <w:szCs w:val="24"/>
          <w:lang w:val="fr-FR" w:eastAsia="en-GB"/>
        </w:rPr>
        <w:t>5.</w:t>
      </w:r>
      <w:r w:rsidRPr="00776B7D">
        <w:rPr>
          <w:b/>
          <w:bCs/>
          <w:sz w:val="24"/>
          <w:szCs w:val="24"/>
          <w:lang w:val="fr-FR" w:eastAsia="en-GB"/>
        </w:rPr>
        <w:tab/>
        <w:t>Groupe de travail d’experts sur les personnes d’ascendance africaine (membre issu des États d’Europe orientale) (</w:t>
      </w:r>
      <w:hyperlink r:id="rId16" w:history="1">
        <w:r w:rsidRPr="00776B7D">
          <w:rPr>
            <w:rStyle w:val="Hyperlink"/>
            <w:b/>
            <w:bCs/>
            <w:sz w:val="24"/>
            <w:szCs w:val="24"/>
            <w:lang w:val="fr-FR" w:eastAsia="en-GB"/>
          </w:rPr>
          <w:t>résolution 45/24 du Conseil des droits de l’homme</w:t>
        </w:r>
      </w:hyperlink>
      <w:r w:rsidRPr="00776B7D">
        <w:rPr>
          <w:b/>
          <w:bCs/>
          <w:sz w:val="24"/>
          <w:szCs w:val="24"/>
          <w:lang w:val="fr-FR" w:eastAsia="en-GB"/>
        </w:rPr>
        <w:t>)</w:t>
      </w:r>
    </w:p>
    <w:p w:rsidR="00776B7D" w:rsidRPr="00776B7D" w:rsidRDefault="00776B7D" w:rsidP="00776B7D">
      <w:pPr>
        <w:shd w:val="clear" w:color="auto" w:fill="FFFFFF"/>
        <w:spacing w:after="120"/>
        <w:ind w:left="1060" w:hanging="720"/>
        <w:outlineLvl w:val="3"/>
        <w:rPr>
          <w:b/>
          <w:bCs/>
          <w:sz w:val="24"/>
          <w:szCs w:val="24"/>
          <w:lang w:val="fr-CA" w:eastAsia="en-GB"/>
        </w:rPr>
      </w:pPr>
      <w:r w:rsidRPr="00776B7D">
        <w:rPr>
          <w:b/>
          <w:bCs/>
          <w:sz w:val="24"/>
          <w:szCs w:val="24"/>
          <w:lang w:val="fr-FR" w:eastAsia="en-GB"/>
        </w:rPr>
        <w:t>6.</w:t>
      </w:r>
      <w:r w:rsidRPr="00776B7D">
        <w:rPr>
          <w:b/>
          <w:bCs/>
          <w:sz w:val="24"/>
          <w:szCs w:val="24"/>
          <w:lang w:val="fr-FR" w:eastAsia="en-GB"/>
        </w:rPr>
        <w:tab/>
        <w:t>Groupe de travail sur les disparitions forcées ou involontaires (membre issu des États d’Europe occidentale et autres États) (</w:t>
      </w:r>
      <w:hyperlink r:id="rId17" w:history="1">
        <w:r w:rsidRPr="00776B7D">
          <w:rPr>
            <w:rStyle w:val="Hyperlink"/>
            <w:b/>
            <w:bCs/>
            <w:sz w:val="24"/>
            <w:szCs w:val="24"/>
            <w:lang w:val="fr-FR" w:eastAsia="en-GB"/>
          </w:rPr>
          <w:t>résolution 45/3 du Conseil des droits de l’homme</w:t>
        </w:r>
      </w:hyperlink>
      <w:r w:rsidRPr="00776B7D">
        <w:rPr>
          <w:b/>
          <w:bCs/>
          <w:sz w:val="24"/>
          <w:szCs w:val="24"/>
          <w:lang w:val="fr-FR" w:eastAsia="en-GB"/>
        </w:rPr>
        <w:t>)</w:t>
      </w:r>
    </w:p>
    <w:p w:rsidR="006E5399" w:rsidRPr="00776B7D" w:rsidRDefault="006E5399" w:rsidP="006E5399">
      <w:pPr>
        <w:shd w:val="clear" w:color="auto" w:fill="FFFFFF"/>
        <w:outlineLvl w:val="3"/>
        <w:rPr>
          <w:b/>
          <w:bCs/>
          <w:sz w:val="24"/>
          <w:szCs w:val="24"/>
          <w:lang w:val="fr-CA" w:eastAsia="en-GB"/>
        </w:rPr>
      </w:pPr>
    </w:p>
    <w:p w:rsidR="006E5399" w:rsidRPr="00DE5A37" w:rsidRDefault="006E5399" w:rsidP="006E5399">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313D38" w:rsidRPr="00313D38">
        <w:rPr>
          <w:sz w:val="24"/>
          <w:szCs w:val="24"/>
          <w:lang w:val="fr-FR"/>
        </w:rPr>
        <w:t xml:space="preserve">le </w:t>
      </w:r>
      <w:r w:rsidR="00313D38" w:rsidRPr="00313D38">
        <w:rPr>
          <w:b/>
          <w:bCs/>
          <w:sz w:val="24"/>
          <w:szCs w:val="24"/>
          <w:lang w:val="fr-FR"/>
        </w:rPr>
        <w:t>13 avril 2021 à midi (heure de Genève</w:t>
      </w:r>
      <w:r w:rsidR="00313D38">
        <w:rPr>
          <w:b/>
          <w:bCs/>
          <w:sz w:val="24"/>
          <w:szCs w:val="24"/>
          <w:lang w:val="fr-FR"/>
        </w:rPr>
        <w:t>)</w:t>
      </w:r>
      <w:r w:rsidR="00313D38" w:rsidRPr="00313D38">
        <w:rPr>
          <w:sz w:val="24"/>
          <w:szCs w:val="24"/>
          <w:lang w:val="fr-FR"/>
        </w:rPr>
        <w:t xml:space="preserve"> </w:t>
      </w:r>
      <w:r w:rsidRPr="00DE5A37">
        <w:rPr>
          <w:sz w:val="24"/>
          <w:szCs w:val="24"/>
          <w:lang w:val="fr-FR"/>
        </w:rPr>
        <w:t xml:space="preserve">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w:t>
      </w:r>
      <w:r w:rsidR="00C421FE">
        <w:rPr>
          <w:sz w:val="24"/>
          <w:szCs w:val="24"/>
          <w:lang w:val="fr-FR"/>
        </w:rPr>
        <w:t>, ainsi que l’appel à candidatures dans les six langues officielles des Nations Unies,</w:t>
      </w:r>
      <w:bookmarkStart w:id="0" w:name="_GoBack"/>
      <w:bookmarkEnd w:id="0"/>
      <w:r w:rsidRPr="00DE5A37">
        <w:rPr>
          <w:sz w:val="24"/>
          <w:szCs w:val="24"/>
          <w:lang w:val="fr-FR"/>
        </w:rPr>
        <w:t xml:space="preserve"> sont disponibles au lien électronique suivant : </w:t>
      </w:r>
    </w:p>
    <w:p w:rsidR="006E5399" w:rsidRPr="00DE5A37" w:rsidRDefault="00C421FE" w:rsidP="006E5399">
      <w:pPr>
        <w:spacing w:after="120"/>
        <w:jc w:val="both"/>
        <w:rPr>
          <w:sz w:val="24"/>
          <w:szCs w:val="24"/>
          <w:lang w:val="fr-FR"/>
        </w:rPr>
      </w:pPr>
      <w:hyperlink r:id="rId18"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6E5399">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9" w:history="1">
        <w:r w:rsidRPr="00DE5A37">
          <w:rPr>
            <w:rStyle w:val="Hyperlink"/>
            <w:sz w:val="24"/>
            <w:szCs w:val="24"/>
            <w:lang w:val="fr-FR"/>
          </w:rPr>
          <w:t>hrcspecialprocedures@ohchr.org</w:t>
        </w:r>
      </w:hyperlink>
      <w:r w:rsidR="0080537D" w:rsidRPr="0080537D">
        <w:rPr>
          <w:rStyle w:val="Hyperlink"/>
          <w:color w:val="000000" w:themeColor="text1"/>
          <w:sz w:val="24"/>
          <w:szCs w:val="24"/>
          <w:u w:val="none"/>
          <w:lang w:val="fr-FR"/>
        </w:rPr>
        <w:t xml:space="preserve"> </w:t>
      </w:r>
      <w:r w:rsidRPr="0080537D">
        <w:rPr>
          <w:color w:val="000000" w:themeColor="text1"/>
          <w:sz w:val="24"/>
          <w:szCs w:val="24"/>
          <w:lang w:val="fr-FR"/>
        </w:rPr>
        <w:t>.</w:t>
      </w:r>
    </w:p>
    <w:p w:rsidR="009824D8" w:rsidRDefault="006E5399" w:rsidP="009824D8">
      <w:pPr>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Default="0080537D" w:rsidP="009824D8">
      <w:pPr>
        <w:ind w:firstLine="851"/>
        <w:jc w:val="both"/>
        <w:rPr>
          <w:sz w:val="24"/>
          <w:szCs w:val="24"/>
          <w:lang w:val="fr-FR"/>
        </w:rPr>
      </w:pPr>
    </w:p>
    <w:p w:rsidR="009F0C9C" w:rsidRPr="009824D8" w:rsidRDefault="00FC5165" w:rsidP="009824D8">
      <w:pPr>
        <w:ind w:firstLine="851"/>
        <w:jc w:val="right"/>
        <w:rPr>
          <w:sz w:val="24"/>
          <w:szCs w:val="24"/>
          <w:lang w:val="fr-FR"/>
        </w:rPr>
      </w:pPr>
      <w:r>
        <w:rPr>
          <w:sz w:val="24"/>
          <w:szCs w:val="24"/>
          <w:lang w:val="fr-FR"/>
        </w:rPr>
        <w:t>2 mars 2021</w:t>
      </w:r>
    </w:p>
    <w:sectPr w:rsidR="009F0C9C" w:rsidRPr="009824D8" w:rsidSect="009824D8">
      <w:headerReference w:type="default" r:id="rId20"/>
      <w:footerReference w:type="default" r:id="rId21"/>
      <w:headerReference w:type="first" r:id="rId22"/>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AA3470">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96F0A"/>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5605"/>
    <w:rsid w:val="002A7066"/>
    <w:rsid w:val="002D1B96"/>
    <w:rsid w:val="002E3722"/>
    <w:rsid w:val="002E6117"/>
    <w:rsid w:val="002E65F4"/>
    <w:rsid w:val="00313D38"/>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12363"/>
    <w:rsid w:val="007210F6"/>
    <w:rsid w:val="00721D17"/>
    <w:rsid w:val="00723438"/>
    <w:rsid w:val="00724675"/>
    <w:rsid w:val="00733660"/>
    <w:rsid w:val="00737337"/>
    <w:rsid w:val="00741EBC"/>
    <w:rsid w:val="007432E5"/>
    <w:rsid w:val="007450E8"/>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52C4"/>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43BD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fr/37/2" TargetMode="External"/><Relationship Id="rId18" Type="http://schemas.openxmlformats.org/officeDocument/2006/relationships/hyperlink" Target="https://www.ohchr.org/EN/HRBodies/HRC/SP/Pages/Nomina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undocs.org/fr/37/5" TargetMode="External"/><Relationship Id="rId17" Type="http://schemas.openxmlformats.org/officeDocument/2006/relationships/hyperlink" Target="https://undocs.org/fr/45/3" TargetMode="External"/><Relationship Id="rId2" Type="http://schemas.openxmlformats.org/officeDocument/2006/relationships/customXml" Target="../customXml/item2.xml"/><Relationship Id="rId16" Type="http://schemas.openxmlformats.org/officeDocument/2006/relationships/hyperlink" Target="https://undocs.org/fr/45/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ocs.org/fr/45/2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fr/41/17"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367692-AF00-455D-A9E2-6AD2BBC9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3179</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2021-03-02T09:41:00Z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